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45B0" w14:textId="7E993D9F" w:rsidR="00D323F5" w:rsidRPr="006B4853" w:rsidRDefault="00D323F5" w:rsidP="00D323F5">
      <w:pPr>
        <w:ind w:left="3391" w:firstLine="720"/>
      </w:pPr>
      <w:r w:rsidRPr="006B4853">
        <w:t xml:space="preserve">Administracinio nusižengimo byla Nr. </w:t>
      </w:r>
      <w:r w:rsidR="00A51783" w:rsidRPr="00A51783">
        <w:rPr>
          <w:szCs w:val="20"/>
        </w:rPr>
        <w:t>2AT-33-495/2026</w:t>
      </w:r>
    </w:p>
    <w:p w14:paraId="1B972A1C" w14:textId="3DC13C67" w:rsidR="00D323F5" w:rsidRPr="006B4853" w:rsidRDefault="00D323F5" w:rsidP="00D323F5">
      <w:pPr>
        <w:ind w:left="4111"/>
        <w:contextualSpacing/>
      </w:pPr>
      <w:r w:rsidRPr="006B4853">
        <w:t xml:space="preserve">Teisminio proceso Nr. </w:t>
      </w:r>
      <w:r w:rsidR="00A51783" w:rsidRPr="00A51783">
        <w:rPr>
          <w:bCs/>
        </w:rPr>
        <w:t>4-68-3-01007-2025-8</w:t>
      </w:r>
    </w:p>
    <w:p w14:paraId="42C51C23" w14:textId="117D4656" w:rsidR="002D3E13" w:rsidRDefault="00D323F5" w:rsidP="00D323F5">
      <w:pPr>
        <w:ind w:left="4111"/>
      </w:pPr>
      <w:r w:rsidRPr="00147AF1">
        <w:t xml:space="preserve">Procesinio sprendimo kategorijos: </w:t>
      </w:r>
      <w:r w:rsidR="00147AF1" w:rsidRPr="00147AF1">
        <w:t>8.10; 21.11.9</w:t>
      </w:r>
    </w:p>
    <w:p w14:paraId="4AB19074" w14:textId="2BE45459" w:rsidR="00035D53" w:rsidRDefault="009A5806" w:rsidP="009A5806">
      <w:pPr>
        <w:ind w:left="4111"/>
      </w:pPr>
      <w:r>
        <w:t xml:space="preserve">(S) </w:t>
      </w:r>
    </w:p>
    <w:p w14:paraId="290BC9E6" w14:textId="77777777" w:rsidR="009A5806" w:rsidRDefault="009A5806" w:rsidP="00DC1290"/>
    <w:p w14:paraId="1E4EBBCB" w14:textId="766ECD7E" w:rsidR="00DC1290" w:rsidRPr="006B4853" w:rsidRDefault="00DC1290" w:rsidP="00D323F5">
      <w:pPr>
        <w:jc w:val="center"/>
      </w:pPr>
      <w:r>
        <w:rPr>
          <w:lang w:val="en-GB" w:eastAsia="lt-LT"/>
        </w:rPr>
        <w:object w:dxaOrig="1005" w:dyaOrig="1080" w14:anchorId="53D39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pt" o:ole="" fillcolor="window">
            <v:imagedata r:id="rId8" o:title=""/>
          </v:shape>
          <o:OLEObject Type="Embed" ProgID="Word.Picture.8" ShapeID="_x0000_i1025" DrawAspect="Content" ObjectID="_1843207095" r:id="rId9"/>
        </w:object>
      </w:r>
    </w:p>
    <w:p w14:paraId="18FF840A" w14:textId="77777777" w:rsidR="00035D53" w:rsidRPr="006B4853" w:rsidRDefault="00035D53" w:rsidP="00D323F5">
      <w:pPr>
        <w:jc w:val="center"/>
        <w:rPr>
          <w:b/>
        </w:rPr>
      </w:pPr>
    </w:p>
    <w:p w14:paraId="1D793B91" w14:textId="77777777" w:rsidR="00035D53" w:rsidRPr="00A51783" w:rsidRDefault="00035D53" w:rsidP="00D323F5">
      <w:pPr>
        <w:jc w:val="center"/>
        <w:rPr>
          <w:b/>
          <w:sz w:val="28"/>
          <w:szCs w:val="28"/>
        </w:rPr>
      </w:pPr>
      <w:r w:rsidRPr="00A51783">
        <w:rPr>
          <w:b/>
          <w:sz w:val="28"/>
          <w:szCs w:val="28"/>
        </w:rPr>
        <w:t>LIETUVOS AUKŠČIAUSIASIS TEISMAS</w:t>
      </w:r>
    </w:p>
    <w:p w14:paraId="4EEEEB8A" w14:textId="77777777" w:rsidR="00853C31" w:rsidRPr="00A51783" w:rsidRDefault="00853C31" w:rsidP="00D323F5">
      <w:pPr>
        <w:jc w:val="center"/>
        <w:rPr>
          <w:b/>
          <w:sz w:val="28"/>
          <w:szCs w:val="28"/>
        </w:rPr>
      </w:pPr>
    </w:p>
    <w:p w14:paraId="3ECEDA02" w14:textId="0C66488D" w:rsidR="00035D53" w:rsidRPr="00A51783" w:rsidRDefault="00035D53" w:rsidP="00D323F5">
      <w:pPr>
        <w:jc w:val="center"/>
        <w:rPr>
          <w:b/>
          <w:sz w:val="28"/>
          <w:szCs w:val="28"/>
        </w:rPr>
      </w:pPr>
      <w:r w:rsidRPr="00A51783">
        <w:rPr>
          <w:b/>
          <w:sz w:val="28"/>
          <w:szCs w:val="28"/>
        </w:rPr>
        <w:t>N U T A R T I S</w:t>
      </w:r>
    </w:p>
    <w:p w14:paraId="208E6681" w14:textId="77777777" w:rsidR="00035D53" w:rsidRPr="006B4853" w:rsidRDefault="00035D53" w:rsidP="00D323F5">
      <w:pPr>
        <w:jc w:val="center"/>
      </w:pPr>
      <w:r w:rsidRPr="006B4853">
        <w:t>LIETUVOS RESPUBLIKOS VARDU</w:t>
      </w:r>
    </w:p>
    <w:p w14:paraId="11FF2C4C" w14:textId="77777777" w:rsidR="00035D53" w:rsidRPr="006B4853" w:rsidRDefault="00035D53" w:rsidP="00D323F5">
      <w:pPr>
        <w:jc w:val="center"/>
      </w:pPr>
    </w:p>
    <w:p w14:paraId="0852434D" w14:textId="619F76B8" w:rsidR="00E34D90" w:rsidRPr="00C467FA" w:rsidRDefault="00A51783" w:rsidP="001A1A8C">
      <w:pPr>
        <w:jc w:val="center"/>
      </w:pPr>
      <w:r w:rsidRPr="00C467FA">
        <w:t>2026 m. birželio 17 d.</w:t>
      </w:r>
    </w:p>
    <w:p w14:paraId="5F1B8425" w14:textId="77777777" w:rsidR="00035D53" w:rsidRPr="006B4853" w:rsidRDefault="00035D53" w:rsidP="00D323F5">
      <w:pPr>
        <w:jc w:val="center"/>
      </w:pPr>
      <w:r w:rsidRPr="006B4853">
        <w:t>Vilnius</w:t>
      </w:r>
    </w:p>
    <w:p w14:paraId="3DA96EB6" w14:textId="77777777" w:rsidR="00035D53" w:rsidRPr="006B4853" w:rsidRDefault="00035D53" w:rsidP="0012367D">
      <w:pPr>
        <w:jc w:val="both"/>
      </w:pPr>
    </w:p>
    <w:p w14:paraId="28090BD8" w14:textId="4E5E39D4" w:rsidR="00035D53" w:rsidRPr="006B4853" w:rsidRDefault="00035D53" w:rsidP="00A51783">
      <w:pPr>
        <w:ind w:firstLine="720"/>
        <w:jc w:val="both"/>
      </w:pPr>
      <w:r w:rsidRPr="006B4853">
        <w:t>Lietuvos Aukščiausiojo Teismo Baudžiamųjų bylų skyriaus teisėjų kolegija, susidedanti iš teisėjų</w:t>
      </w:r>
      <w:r w:rsidR="00DB5390" w:rsidRPr="006B4853">
        <w:t xml:space="preserve"> </w:t>
      </w:r>
      <w:r w:rsidR="00A51783" w:rsidRPr="00A51783">
        <w:t xml:space="preserve">Olego </w:t>
      </w:r>
      <w:proofErr w:type="spellStart"/>
      <w:r w:rsidR="00A51783" w:rsidRPr="00A51783">
        <w:t>Fedosiuko</w:t>
      </w:r>
      <w:proofErr w:type="spellEnd"/>
      <w:r w:rsidR="00A51783">
        <w:t xml:space="preserve"> </w:t>
      </w:r>
      <w:r w:rsidR="00A51783" w:rsidRPr="00A51783">
        <w:t xml:space="preserve">(kolegijos pirmininko), Dariaus </w:t>
      </w:r>
      <w:proofErr w:type="spellStart"/>
      <w:r w:rsidR="00A51783" w:rsidRPr="00A51783">
        <w:t>Kantaravičiaus</w:t>
      </w:r>
      <w:proofErr w:type="spellEnd"/>
      <w:r w:rsidR="00A51783" w:rsidRPr="00A51783">
        <w:t xml:space="preserve"> ir Daivos Pranytės-Zalieckienės</w:t>
      </w:r>
      <w:r w:rsidR="007C5A23" w:rsidRPr="006B4853">
        <w:t xml:space="preserve"> </w:t>
      </w:r>
      <w:r w:rsidRPr="006B4853">
        <w:t>(</w:t>
      </w:r>
      <w:r w:rsidR="00A51783" w:rsidRPr="00A51783">
        <w:t>pranešėjos</w:t>
      </w:r>
      <w:r w:rsidRPr="006B4853">
        <w:t>),</w:t>
      </w:r>
    </w:p>
    <w:p w14:paraId="7E181B22" w14:textId="4E82043A" w:rsidR="00035D53" w:rsidRPr="006B4853" w:rsidRDefault="00035D53" w:rsidP="00A51783">
      <w:pPr>
        <w:ind w:firstLine="720"/>
        <w:jc w:val="both"/>
      </w:pPr>
      <w:r w:rsidRPr="006B4853">
        <w:t>teismo posėdyje rašytinio proceso tvarka išnagrinėjo pagal</w:t>
      </w:r>
      <w:r w:rsidR="00DB5390" w:rsidRPr="006B4853">
        <w:t xml:space="preserve"> </w:t>
      </w:r>
      <w:bookmarkStart w:id="0" w:name="_Hlk213281013"/>
      <w:r w:rsidR="00A51783" w:rsidRPr="00A51783">
        <w:rPr>
          <w:b/>
          <w:bCs/>
        </w:rPr>
        <w:t xml:space="preserve">administracinėn atsakomybėn patraukto </w:t>
      </w:r>
      <w:bookmarkStart w:id="1" w:name="Buk_1"/>
      <w:r w:rsidR="009A5806" w:rsidRPr="009A5806">
        <w:rPr>
          <w:b/>
          <w:bCs/>
        </w:rPr>
        <w:t xml:space="preserve">T. P. </w:t>
      </w:r>
      <w:bookmarkEnd w:id="1"/>
      <w:r w:rsidR="00A51783" w:rsidRPr="00A51783">
        <w:rPr>
          <w:b/>
          <w:bCs/>
        </w:rPr>
        <w:t xml:space="preserve">atstovo advokato Henriko </w:t>
      </w:r>
      <w:proofErr w:type="spellStart"/>
      <w:r w:rsidR="00A51783" w:rsidRPr="00A51783">
        <w:rPr>
          <w:b/>
          <w:bCs/>
        </w:rPr>
        <w:t>Stelmokaičio</w:t>
      </w:r>
      <w:bookmarkEnd w:id="0"/>
      <w:proofErr w:type="spellEnd"/>
      <w:r w:rsidR="00A51783">
        <w:t xml:space="preserve"> </w:t>
      </w:r>
      <w:r w:rsidRPr="006B4853">
        <w:rPr>
          <w:color w:val="000000"/>
          <w:spacing w:val="2"/>
        </w:rPr>
        <w:t>prašymą,</w:t>
      </w:r>
      <w:r w:rsidRPr="006B4853">
        <w:t xml:space="preserve"> vadovaujantis Lietuvos Respublikos administracinių </w:t>
      </w:r>
      <w:r w:rsidR="00F2302D" w:rsidRPr="006B4853">
        <w:t>nusižengimų</w:t>
      </w:r>
      <w:r w:rsidRPr="006B4853">
        <w:t xml:space="preserve"> kodekso (toliau – ir A</w:t>
      </w:r>
      <w:r w:rsidR="00F2302D" w:rsidRPr="006B4853">
        <w:t>NK</w:t>
      </w:r>
      <w:r w:rsidRPr="006B4853">
        <w:t xml:space="preserve">) </w:t>
      </w:r>
      <w:r w:rsidR="00F2302D" w:rsidRPr="006B4853">
        <w:t xml:space="preserve">658 </w:t>
      </w:r>
      <w:r w:rsidRPr="006B4853">
        <w:t xml:space="preserve">straipsnio 1 dalies </w:t>
      </w:r>
      <w:r w:rsidR="00E34D90" w:rsidRPr="006B4853">
        <w:t>5</w:t>
      </w:r>
      <w:r w:rsidRPr="006B4853">
        <w:t xml:space="preserve"> punktu, atnaujintą administracinio </w:t>
      </w:r>
      <w:r w:rsidR="00853C31" w:rsidRPr="006B4853">
        <w:t>nusižengimo</w:t>
      </w:r>
      <w:r w:rsidRPr="006B4853">
        <w:t xml:space="preserve"> bylą.</w:t>
      </w:r>
    </w:p>
    <w:p w14:paraId="7DD5D3FF" w14:textId="3F2B058C" w:rsidR="00035D53" w:rsidRPr="006B4853" w:rsidRDefault="00035D53" w:rsidP="00E34D90">
      <w:pPr>
        <w:jc w:val="both"/>
      </w:pPr>
    </w:p>
    <w:p w14:paraId="0F32C62A" w14:textId="77777777" w:rsidR="00035D53" w:rsidRPr="006B4853" w:rsidRDefault="00035D53" w:rsidP="00035D53">
      <w:pPr>
        <w:ind w:firstLine="720"/>
        <w:jc w:val="both"/>
      </w:pPr>
      <w:r w:rsidRPr="006B4853">
        <w:t xml:space="preserve">Teisėjų kolegija </w:t>
      </w:r>
    </w:p>
    <w:p w14:paraId="29E8FBB9" w14:textId="0F707796" w:rsidR="00035D53" w:rsidRPr="006B4853" w:rsidRDefault="00035D53" w:rsidP="00E34D90">
      <w:pPr>
        <w:shd w:val="clear" w:color="auto" w:fill="FFFFFF"/>
        <w:jc w:val="both"/>
      </w:pPr>
    </w:p>
    <w:p w14:paraId="6A0DA01A" w14:textId="52AE52E2" w:rsidR="00035D53" w:rsidRPr="006B4853" w:rsidRDefault="00035D53" w:rsidP="00271FE8">
      <w:pPr>
        <w:shd w:val="clear" w:color="auto" w:fill="FFFFFF"/>
        <w:jc w:val="both"/>
        <w:rPr>
          <w:color w:val="000000"/>
          <w:spacing w:val="46"/>
        </w:rPr>
      </w:pPr>
      <w:r w:rsidRPr="006B4853">
        <w:t>n u s t a t ė</w:t>
      </w:r>
      <w:r w:rsidR="00F20A17" w:rsidRPr="006B4853">
        <w:t xml:space="preserve"> </w:t>
      </w:r>
      <w:r w:rsidRPr="006B4853">
        <w:t>:</w:t>
      </w:r>
    </w:p>
    <w:p w14:paraId="27C3F29E" w14:textId="20933AF9" w:rsidR="00035D53" w:rsidRPr="006B4853" w:rsidRDefault="00035D53" w:rsidP="00E34D90">
      <w:pPr>
        <w:shd w:val="clear" w:color="auto" w:fill="FFFFFF"/>
        <w:spacing w:after="120"/>
        <w:jc w:val="both"/>
        <w:rPr>
          <w:color w:val="000000"/>
          <w:spacing w:val="46"/>
        </w:rPr>
      </w:pPr>
    </w:p>
    <w:p w14:paraId="233F63D4" w14:textId="77777777" w:rsidR="00D30660" w:rsidRPr="006B4853" w:rsidRDefault="00D30660" w:rsidP="004F70C5">
      <w:pPr>
        <w:spacing w:after="120"/>
        <w:jc w:val="center"/>
      </w:pPr>
      <w:r w:rsidRPr="006B4853">
        <w:t xml:space="preserve">I. Bylos </w:t>
      </w:r>
      <w:r w:rsidR="00D11CBF" w:rsidRPr="006B4853">
        <w:t>esmė</w:t>
      </w:r>
    </w:p>
    <w:p w14:paraId="51E579FB" w14:textId="7336BFB2" w:rsidR="006E39D8" w:rsidRPr="006B4853" w:rsidRDefault="006E39D8" w:rsidP="004F70C5">
      <w:pPr>
        <w:spacing w:after="120"/>
        <w:jc w:val="center"/>
      </w:pPr>
    </w:p>
    <w:p w14:paraId="70B6CB70" w14:textId="21EC713E" w:rsidR="00D10CD6" w:rsidRDefault="00D10CD6" w:rsidP="00D73F3D">
      <w:pPr>
        <w:pStyle w:val="Sraopastraipa"/>
        <w:numPr>
          <w:ilvl w:val="0"/>
          <w:numId w:val="11"/>
        </w:numPr>
        <w:spacing w:after="120"/>
        <w:ind w:left="357" w:hanging="357"/>
        <w:contextualSpacing w:val="0"/>
        <w:jc w:val="both"/>
      </w:pPr>
      <w:r w:rsidRPr="00D10CD6">
        <w:t xml:space="preserve">Lošimų priežiūros tarnybos prie Lietuvos Respublikos finansų ministerijos </w:t>
      </w:r>
      <w:r>
        <w:t>(</w:t>
      </w:r>
      <w:r w:rsidRPr="00D10CD6">
        <w:t>toliau – ir Institucija)</w:t>
      </w:r>
      <w:r>
        <w:t xml:space="preserve"> </w:t>
      </w:r>
      <w:r w:rsidRPr="00D10CD6">
        <w:t xml:space="preserve">2025 m. gegužės 30 d. </w:t>
      </w:r>
      <w:r>
        <w:t xml:space="preserve">nutarimu Nr. </w:t>
      </w:r>
      <w:r w:rsidRPr="00D10CD6">
        <w:t xml:space="preserve">LPT-ANR_N-7-2025 </w:t>
      </w:r>
      <w:bookmarkStart w:id="2" w:name="Buk_26"/>
      <w:r w:rsidR="009A5806" w:rsidRPr="009A5806">
        <w:t xml:space="preserve">T. P. </w:t>
      </w:r>
      <w:bookmarkEnd w:id="2"/>
      <w:r w:rsidRPr="00D10CD6">
        <w:t>pagal ANK</w:t>
      </w:r>
      <w:r w:rsidR="00363269">
        <w:t> </w:t>
      </w:r>
      <w:r w:rsidRPr="00D10CD6">
        <w:t>134</w:t>
      </w:r>
      <w:r>
        <w:t> </w:t>
      </w:r>
      <w:r w:rsidRPr="00D10CD6">
        <w:t xml:space="preserve">straipsnio 8 dalį </w:t>
      </w:r>
      <w:r>
        <w:t xml:space="preserve">nubaustas </w:t>
      </w:r>
      <w:r w:rsidRPr="00D10CD6">
        <w:t>2</w:t>
      </w:r>
      <w:r>
        <w:t> </w:t>
      </w:r>
      <w:r w:rsidRPr="00D10CD6">
        <w:t xml:space="preserve">900 </w:t>
      </w:r>
      <w:r>
        <w:t>Eur</w:t>
      </w:r>
      <w:r w:rsidRPr="00D10CD6">
        <w:t xml:space="preserve"> bauda už tai, kad </w:t>
      </w:r>
      <w:r>
        <w:t>jo vadovaujamo</w:t>
      </w:r>
      <w:r w:rsidR="00515461">
        <w:t>s</w:t>
      </w:r>
      <w:r>
        <w:t xml:space="preserve"> </w:t>
      </w:r>
      <w:r w:rsidRPr="00D10CD6">
        <w:t xml:space="preserve">lošimų </w:t>
      </w:r>
      <w:r w:rsidR="00716716" w:rsidRPr="00D10CD6">
        <w:t>organizator</w:t>
      </w:r>
      <w:r w:rsidR="00716716">
        <w:t>ė</w:t>
      </w:r>
      <w:r w:rsidR="00716716" w:rsidRPr="00D10CD6">
        <w:t xml:space="preserve">s </w:t>
      </w:r>
      <w:r w:rsidRPr="00D10CD6">
        <w:t>UAB „</w:t>
      </w:r>
      <w:proofErr w:type="spellStart"/>
      <w:r w:rsidRPr="00D10CD6">
        <w:t>Olympic</w:t>
      </w:r>
      <w:proofErr w:type="spellEnd"/>
      <w:r w:rsidRPr="00D10CD6">
        <w:t xml:space="preserve"> </w:t>
      </w:r>
      <w:proofErr w:type="spellStart"/>
      <w:r w:rsidRPr="00D10CD6">
        <w:t>Casino</w:t>
      </w:r>
      <w:proofErr w:type="spellEnd"/>
      <w:r w:rsidRPr="00D10CD6">
        <w:t xml:space="preserve"> Group Baltija“ prekių ženklo „</w:t>
      </w:r>
      <w:proofErr w:type="spellStart"/>
      <w:r w:rsidRPr="00D10CD6">
        <w:t>OlyBet</w:t>
      </w:r>
      <w:proofErr w:type="spellEnd"/>
      <w:r w:rsidRPr="00D10CD6">
        <w:t xml:space="preserve"> POKER“</w:t>
      </w:r>
      <w:r>
        <w:t xml:space="preserve"> </w:t>
      </w:r>
      <w:r w:rsidRPr="00D10CD6">
        <w:t>reklama, paskelbta viešoje erdvėje – 2024</w:t>
      </w:r>
      <w:r w:rsidR="00CA094D">
        <w:t> </w:t>
      </w:r>
      <w:r w:rsidRPr="00D10CD6">
        <w:t>m. rugpjūčio 16 d. socialiniame tinkle „Instagram“, 2024 m. rugpjūčio 23 d. tinkla</w:t>
      </w:r>
      <w:r w:rsidR="00716716">
        <w:t>la</w:t>
      </w:r>
      <w:r w:rsidRPr="00D10CD6">
        <w:t>pyje www.lrytas.lt, 2024 m. rugpjūčio 25 d. televizijos kanalo „TV3“ eteryje, 2024 m. rugsėjo 3 d. tinkla</w:t>
      </w:r>
      <w:r w:rsidR="00716716">
        <w:t>la</w:t>
      </w:r>
      <w:r w:rsidRPr="00D10CD6">
        <w:t>pyje www.delfi.lt, pažeidė Lietuvos Respublikos azartinių lošimų įstatymo (toliau</w:t>
      </w:r>
      <w:r w:rsidR="00716716">
        <w:t xml:space="preserve"> </w:t>
      </w:r>
      <w:r w:rsidRPr="00D10CD6">
        <w:t xml:space="preserve">– </w:t>
      </w:r>
      <w:r w:rsidR="00716716">
        <w:t xml:space="preserve">ir </w:t>
      </w:r>
      <w:r w:rsidRPr="00D10CD6">
        <w:t>ALĮ) 10 straipsnio 9</w:t>
      </w:r>
      <w:r w:rsidRPr="00D10CD6">
        <w:rPr>
          <w:vertAlign w:val="superscript"/>
        </w:rPr>
        <w:t>1</w:t>
      </w:r>
      <w:r w:rsidRPr="00D10CD6">
        <w:t xml:space="preserve"> dalies reikalavimus</w:t>
      </w:r>
      <w:r w:rsidR="009E3D59">
        <w:t xml:space="preserve"> (</w:t>
      </w:r>
      <w:r w:rsidR="00D73F3D" w:rsidRPr="00D73F3D">
        <w:t>2023 m. birželio 29 d. įstatymo Nr. XIV-2142 redakcija</w:t>
      </w:r>
      <w:r w:rsidR="009E3D59">
        <w:t>)</w:t>
      </w:r>
      <w:r w:rsidRPr="00D10CD6">
        <w:t xml:space="preserve">. </w:t>
      </w:r>
    </w:p>
    <w:p w14:paraId="124E6B70" w14:textId="45B6498B" w:rsidR="00744632" w:rsidRPr="006B4853" w:rsidRDefault="00744632" w:rsidP="000C6B5B">
      <w:pPr>
        <w:pStyle w:val="Sraopastraipa"/>
        <w:numPr>
          <w:ilvl w:val="0"/>
          <w:numId w:val="11"/>
        </w:numPr>
        <w:spacing w:after="120"/>
        <w:ind w:left="357" w:hanging="357"/>
        <w:contextualSpacing w:val="0"/>
        <w:jc w:val="both"/>
      </w:pPr>
      <w:r w:rsidRPr="006B4853">
        <w:t xml:space="preserve">Vilniaus miesto apylinkės teismo </w:t>
      </w:r>
      <w:r w:rsidR="00D10CD6" w:rsidRPr="00D10CD6">
        <w:t>2025 m. lapkričio 3 d.</w:t>
      </w:r>
      <w:r w:rsidR="00D10CD6">
        <w:t xml:space="preserve"> </w:t>
      </w:r>
      <w:r w:rsidRPr="006B4853">
        <w:t xml:space="preserve">nutartimi </w:t>
      </w:r>
      <w:r w:rsidR="00D10CD6" w:rsidRPr="00D10CD6">
        <w:t xml:space="preserve">administracinėn atsakomybėn patraukto </w:t>
      </w:r>
      <w:bookmarkStart w:id="3" w:name="Buk_2"/>
      <w:r w:rsidR="009A5806" w:rsidRPr="009A5806">
        <w:t xml:space="preserve">T. P. </w:t>
      </w:r>
      <w:bookmarkEnd w:id="3"/>
      <w:r w:rsidR="00A504D4" w:rsidRPr="00A504D4">
        <w:t>atstovo advokato H</w:t>
      </w:r>
      <w:r w:rsidR="00A504D4">
        <w:t>. </w:t>
      </w:r>
      <w:proofErr w:type="spellStart"/>
      <w:r w:rsidR="00A504D4" w:rsidRPr="00A504D4">
        <w:t>Stelmokaičio</w:t>
      </w:r>
      <w:proofErr w:type="spellEnd"/>
      <w:r w:rsidR="00D10CD6" w:rsidRPr="00D10CD6">
        <w:t xml:space="preserve"> </w:t>
      </w:r>
      <w:r w:rsidRPr="006B4853">
        <w:t xml:space="preserve">skundas, kuriuo buvo ginčijamas Institucijos </w:t>
      </w:r>
      <w:r w:rsidR="000C6B5B" w:rsidRPr="000C6B5B">
        <w:rPr>
          <w:color w:val="000000"/>
        </w:rPr>
        <w:t>2025 m. gegužės 30 d.</w:t>
      </w:r>
      <w:r w:rsidR="000C6B5B">
        <w:rPr>
          <w:color w:val="000000"/>
        </w:rPr>
        <w:t xml:space="preserve"> </w:t>
      </w:r>
      <w:r w:rsidRPr="006B4853">
        <w:t xml:space="preserve">nutarimas dėl </w:t>
      </w:r>
      <w:bookmarkStart w:id="4" w:name="Buk_3"/>
      <w:r w:rsidR="009A5806" w:rsidRPr="009A5806">
        <w:t xml:space="preserve">T. P. </w:t>
      </w:r>
      <w:bookmarkEnd w:id="4"/>
      <w:r w:rsidRPr="006B4853">
        <w:t>pripažinimo kaltu pagal ANK</w:t>
      </w:r>
      <w:r w:rsidR="00716716">
        <w:t> </w:t>
      </w:r>
      <w:r w:rsidR="000C6B5B" w:rsidRPr="000C6B5B">
        <w:t>134</w:t>
      </w:r>
      <w:r w:rsidR="00A504D4">
        <w:t> </w:t>
      </w:r>
      <w:r w:rsidR="000C6B5B" w:rsidRPr="000C6B5B">
        <w:t>straipsnio 8 dalį</w:t>
      </w:r>
      <w:r w:rsidRPr="006B4853">
        <w:t>,</w:t>
      </w:r>
      <w:r w:rsidR="00757B8A" w:rsidRPr="006B4853">
        <w:t xml:space="preserve"> </w:t>
      </w:r>
      <w:r w:rsidRPr="006B4853">
        <w:t>netenkintas ir</w:t>
      </w:r>
      <w:r w:rsidR="00757B8A" w:rsidRPr="006B4853">
        <w:t xml:space="preserve"> </w:t>
      </w:r>
      <w:r w:rsidRPr="006B4853">
        <w:t>Institucijos</w:t>
      </w:r>
      <w:r w:rsidR="000C6B5B">
        <w:t xml:space="preserve"> </w:t>
      </w:r>
      <w:r w:rsidR="000C6B5B" w:rsidRPr="000C6B5B">
        <w:rPr>
          <w:color w:val="000000"/>
        </w:rPr>
        <w:t>2025 m. gegužės 30 d.</w:t>
      </w:r>
      <w:r w:rsidR="000C6B5B">
        <w:rPr>
          <w:color w:val="000000"/>
        </w:rPr>
        <w:t xml:space="preserve"> </w:t>
      </w:r>
      <w:r w:rsidR="00757B8A" w:rsidRPr="006B4853">
        <w:t xml:space="preserve">nutarimas </w:t>
      </w:r>
      <w:r w:rsidRPr="006B4853">
        <w:t>paliktas nepakeistas.</w:t>
      </w:r>
    </w:p>
    <w:p w14:paraId="791487CA" w14:textId="3D1CFCB1" w:rsidR="00744632" w:rsidRPr="006B4853" w:rsidRDefault="00724403" w:rsidP="000C6B5B">
      <w:pPr>
        <w:pStyle w:val="Sraopastraipa"/>
        <w:numPr>
          <w:ilvl w:val="0"/>
          <w:numId w:val="11"/>
        </w:numPr>
        <w:spacing w:after="120"/>
        <w:ind w:left="357" w:hanging="357"/>
        <w:contextualSpacing w:val="0"/>
        <w:jc w:val="both"/>
      </w:pPr>
      <w:r w:rsidRPr="006B4853">
        <w:t xml:space="preserve">Vilniaus apygardos teismo </w:t>
      </w:r>
      <w:bookmarkStart w:id="5" w:name="_Hlk215479000"/>
      <w:r w:rsidR="000C6B5B" w:rsidRPr="000C6B5B">
        <w:t>2025 m. gruodžio 19 d.</w:t>
      </w:r>
      <w:bookmarkEnd w:id="5"/>
      <w:r w:rsidR="000C6B5B">
        <w:t xml:space="preserve"> </w:t>
      </w:r>
      <w:r w:rsidRPr="006B4853">
        <w:t xml:space="preserve">nutartimi </w:t>
      </w:r>
      <w:r w:rsidR="000C6B5B" w:rsidRPr="000C6B5B">
        <w:t>Vilniaus miesto apylinkės teismo 2025 m. lapkričio 3 d. nutart</w:t>
      </w:r>
      <w:r w:rsidR="000C6B5B">
        <w:t xml:space="preserve">is </w:t>
      </w:r>
      <w:r w:rsidRPr="006B4853">
        <w:t xml:space="preserve">palikta nepakeista ir </w:t>
      </w:r>
      <w:r w:rsidR="000C6B5B" w:rsidRPr="000C6B5B">
        <w:t xml:space="preserve">administracinėn atsakomybėn patraukto asmens </w:t>
      </w:r>
      <w:bookmarkStart w:id="6" w:name="Buk_4"/>
      <w:r w:rsidR="009A5806" w:rsidRPr="009A5806">
        <w:t xml:space="preserve">T. P. </w:t>
      </w:r>
      <w:bookmarkEnd w:id="6"/>
      <w:r w:rsidR="000C6B5B" w:rsidRPr="000C6B5B">
        <w:t>atstovo advokato H</w:t>
      </w:r>
      <w:r w:rsidR="000C6B5B">
        <w:t>. </w:t>
      </w:r>
      <w:proofErr w:type="spellStart"/>
      <w:r w:rsidR="000C6B5B" w:rsidRPr="000C6B5B">
        <w:t>Stelmokaičio</w:t>
      </w:r>
      <w:proofErr w:type="spellEnd"/>
      <w:r w:rsidR="000C6B5B">
        <w:t xml:space="preserve"> </w:t>
      </w:r>
      <w:r w:rsidRPr="006B4853">
        <w:t>apeliacinis skundas netenkintas.</w:t>
      </w:r>
    </w:p>
    <w:p w14:paraId="4CE213D8" w14:textId="30BD122F" w:rsidR="00724403" w:rsidRPr="006B4853" w:rsidRDefault="00F2302D" w:rsidP="000C6B5B">
      <w:pPr>
        <w:pStyle w:val="Sraopastraipa"/>
        <w:numPr>
          <w:ilvl w:val="0"/>
          <w:numId w:val="11"/>
        </w:numPr>
        <w:spacing w:after="120"/>
        <w:ind w:left="357" w:hanging="357"/>
        <w:contextualSpacing w:val="0"/>
        <w:jc w:val="both"/>
      </w:pPr>
      <w:r w:rsidRPr="006B4853">
        <w:lastRenderedPageBreak/>
        <w:t>Lietuvos Aukščiausiojo Teismo Baudžiamųjų bylų skyriaus teisėjų atrankos kolegijos</w:t>
      </w:r>
      <w:r w:rsidR="000C6B5B">
        <w:t xml:space="preserve"> </w:t>
      </w:r>
      <w:r w:rsidR="000C6B5B" w:rsidRPr="000C6B5B">
        <w:t>2026 m. kovo 26 d.</w:t>
      </w:r>
      <w:r w:rsidR="000C6B5B">
        <w:t xml:space="preserve"> </w:t>
      </w:r>
      <w:r w:rsidRPr="006B4853">
        <w:t xml:space="preserve">nutartimi </w:t>
      </w:r>
      <w:r w:rsidR="000C6B5B" w:rsidRPr="000C6B5B">
        <w:t xml:space="preserve">administracinėn atsakomybėn patraukto </w:t>
      </w:r>
      <w:bookmarkStart w:id="7" w:name="Buk_5"/>
      <w:r w:rsidR="009A5806" w:rsidRPr="009A5806">
        <w:t xml:space="preserve">T. P. </w:t>
      </w:r>
      <w:bookmarkEnd w:id="7"/>
      <w:r w:rsidR="000C6B5B" w:rsidRPr="000C6B5B">
        <w:t>atstovo advokato H</w:t>
      </w:r>
      <w:r w:rsidR="000C6B5B">
        <w:t>. </w:t>
      </w:r>
      <w:proofErr w:type="spellStart"/>
      <w:r w:rsidR="000C6B5B" w:rsidRPr="000C6B5B">
        <w:t>Stelmokaičio</w:t>
      </w:r>
      <w:proofErr w:type="spellEnd"/>
      <w:r w:rsidR="000C6B5B">
        <w:t xml:space="preserve"> </w:t>
      </w:r>
      <w:r w:rsidR="00724403" w:rsidRPr="006B4853">
        <w:t xml:space="preserve">prašymas priimtas ir </w:t>
      </w:r>
      <w:bookmarkStart w:id="8" w:name="Buk_6"/>
      <w:r w:rsidR="009A5806" w:rsidRPr="009A5806">
        <w:t xml:space="preserve">T. P. </w:t>
      </w:r>
      <w:bookmarkEnd w:id="8"/>
      <w:r w:rsidR="00724403" w:rsidRPr="006B4853">
        <w:t>administracinio nusižengimo byla atnaujinta.</w:t>
      </w:r>
    </w:p>
    <w:p w14:paraId="6B38AE2B" w14:textId="32A0A55B" w:rsidR="00A33F47" w:rsidRPr="006B4853" w:rsidRDefault="00A33F47" w:rsidP="001368D6">
      <w:pPr>
        <w:spacing w:after="120"/>
      </w:pPr>
    </w:p>
    <w:p w14:paraId="787E9550" w14:textId="77777777" w:rsidR="00AF4D4F" w:rsidRPr="006B4853" w:rsidRDefault="00B472E5" w:rsidP="00DC49D1">
      <w:pPr>
        <w:spacing w:after="120"/>
        <w:jc w:val="center"/>
      </w:pPr>
      <w:r w:rsidRPr="006B4853">
        <w:t>I</w:t>
      </w:r>
      <w:r w:rsidR="00AF4D4F" w:rsidRPr="006B4853">
        <w:t xml:space="preserve">I. Prašymo atnaujinti administracinio nusižengimo </w:t>
      </w:r>
      <w:r w:rsidR="00DC49D1" w:rsidRPr="006B4853">
        <w:t xml:space="preserve">bylą </w:t>
      </w:r>
      <w:r w:rsidR="00AF4D4F" w:rsidRPr="006B4853">
        <w:t>ir atsiliepimo į jį argumentai</w:t>
      </w:r>
    </w:p>
    <w:p w14:paraId="2B331B45" w14:textId="14A6C1B2" w:rsidR="00AF4D4F" w:rsidRPr="006B4853" w:rsidRDefault="00AF4D4F" w:rsidP="00DC21A5">
      <w:pPr>
        <w:spacing w:after="120"/>
      </w:pPr>
    </w:p>
    <w:p w14:paraId="62A9ED9F" w14:textId="2D9FA439" w:rsidR="00AF4D4F" w:rsidRPr="006B4853" w:rsidRDefault="009D5F1E" w:rsidP="003E3B23">
      <w:pPr>
        <w:pStyle w:val="Sraopastraipa"/>
        <w:numPr>
          <w:ilvl w:val="0"/>
          <w:numId w:val="11"/>
        </w:numPr>
        <w:spacing w:after="120"/>
        <w:ind w:left="357" w:hanging="357"/>
        <w:contextualSpacing w:val="0"/>
        <w:jc w:val="both"/>
      </w:pPr>
      <w:r w:rsidRPr="006B4853">
        <w:t>Pareiškėjas</w:t>
      </w:r>
      <w:r w:rsidR="00461674" w:rsidRPr="006B4853">
        <w:t xml:space="preserve"> prašo</w:t>
      </w:r>
      <w:r w:rsidR="002F2D64">
        <w:t>:</w:t>
      </w:r>
      <w:r w:rsidR="00DC21A5" w:rsidRPr="006B4853">
        <w:t xml:space="preserve"> </w:t>
      </w:r>
      <w:r w:rsidR="00E35671">
        <w:t>panaikinti Vilniaus miesto apylinkės teismo 2025 m. lapkričio 3 d. nutartį bei Vilniaus apygardos teismo 2025 m. gruodžio 19 d. nutartį ir priimti naują nutartį: panaikinti Institucijos 2025 m. gegužės 30 d. nutarimą ir administracinio nusižengimo teiseną nutraukti</w:t>
      </w:r>
      <w:r w:rsidR="002F2D64">
        <w:t>; priteisti</w:t>
      </w:r>
      <w:r w:rsidR="002F2D64" w:rsidRPr="002F2D64">
        <w:t xml:space="preserve"> </w:t>
      </w:r>
      <w:bookmarkStart w:id="9" w:name="Buk_24"/>
      <w:r w:rsidR="009A5806" w:rsidRPr="009A5806">
        <w:t xml:space="preserve">T. P. </w:t>
      </w:r>
      <w:bookmarkEnd w:id="9"/>
      <w:r w:rsidR="00515461">
        <w:t xml:space="preserve">jo patirtų išlaidų </w:t>
      </w:r>
      <w:r w:rsidR="003E3B23" w:rsidRPr="003E3B23">
        <w:t>už advokato suteiktą teisinę pagalbą</w:t>
      </w:r>
      <w:r w:rsidR="00515461">
        <w:t xml:space="preserve"> atlyginimą</w:t>
      </w:r>
      <w:r w:rsidR="00E35671">
        <w:t>.</w:t>
      </w:r>
      <w:r w:rsidR="002F2D64">
        <w:t xml:space="preserve"> </w:t>
      </w:r>
      <w:r w:rsidR="00AF4D4F" w:rsidRPr="006B4853">
        <w:t>Parei</w:t>
      </w:r>
      <w:r w:rsidRPr="006B4853">
        <w:t>škėjas</w:t>
      </w:r>
      <w:r w:rsidR="00AF4D4F" w:rsidRPr="006B4853">
        <w:t xml:space="preserve"> prašyme nurodo: </w:t>
      </w:r>
    </w:p>
    <w:p w14:paraId="18286F6A" w14:textId="2D5DDFEC" w:rsidR="002F2D64" w:rsidRDefault="002F2D64" w:rsidP="002F2D64">
      <w:pPr>
        <w:pStyle w:val="Sraopastraipa"/>
        <w:numPr>
          <w:ilvl w:val="1"/>
          <w:numId w:val="11"/>
        </w:numPr>
        <w:spacing w:after="120"/>
        <w:ind w:left="788" w:hanging="431"/>
        <w:contextualSpacing w:val="0"/>
        <w:jc w:val="both"/>
      </w:pPr>
      <w:r>
        <w:t>Bylą nagrinėję teismai klaidingai taikė ir aiškino ALĮ 10 straipsnio 9 ir 9</w:t>
      </w:r>
      <w:r w:rsidRPr="002F2D64">
        <w:rPr>
          <w:vertAlign w:val="superscript"/>
        </w:rPr>
        <w:t>1</w:t>
      </w:r>
      <w:r>
        <w:t xml:space="preserve"> dalis, ANK</w:t>
      </w:r>
      <w:r w:rsidR="00716716">
        <w:t> </w:t>
      </w:r>
      <w:r>
        <w:t xml:space="preserve">8 straipsnį, nes nenagrinėjo ALĮ 10 straipsnio 9 dalies sąvokų (ne)apibrėžtumo. Nei lingvistinis, nei sisteminis ALĮ ginčo normų aiškinimas neleidžia daryti išvados, kad nagrinėjamu atveju egzistuoja </w:t>
      </w:r>
      <w:bookmarkStart w:id="10" w:name="Buk_7"/>
      <w:r w:rsidR="009A5806" w:rsidRPr="009A5806">
        <w:t xml:space="preserve">T. P. </w:t>
      </w:r>
      <w:bookmarkEnd w:id="10"/>
      <w:r>
        <w:t>intelektinis ryšys su veika, taip pat teismai klaidingai išaiškino šios veikos turinį.</w:t>
      </w:r>
    </w:p>
    <w:p w14:paraId="54E662E8" w14:textId="2AB5F6B3" w:rsidR="002F2D64" w:rsidRDefault="002F2D64" w:rsidP="002F2D64">
      <w:pPr>
        <w:pStyle w:val="Sraopastraipa"/>
        <w:numPr>
          <w:ilvl w:val="1"/>
          <w:numId w:val="11"/>
        </w:numPr>
        <w:spacing w:after="120"/>
        <w:ind w:left="788" w:hanging="431"/>
        <w:contextualSpacing w:val="0"/>
        <w:jc w:val="both"/>
      </w:pPr>
      <w:r>
        <w:t xml:space="preserve">Teismai klaidingai pritaikė ALĮ 10 straipsnio 9 dalį kaip pagrindą konstatuoti, kad </w:t>
      </w:r>
      <w:bookmarkStart w:id="11" w:name="Buk_27"/>
      <w:r w:rsidR="009A5806" w:rsidRPr="009A5806">
        <w:t xml:space="preserve">T. P. </w:t>
      </w:r>
      <w:bookmarkEnd w:id="11"/>
      <w:r>
        <w:t>pažeidė lošimų organizavimo tvarką. Aplinkybė, kad prekių ženklas yra vientisas ir registruotas įstatymu nustatyta tvarka</w:t>
      </w:r>
      <w:r w:rsidR="00716716">
        <w:t>,</w:t>
      </w:r>
      <w:r>
        <w:t xml:space="preserve"> neginčijama. Vis dėlto teismai žodį „POKER“ nepagrįstai vertino kaip papildomą informaciją apie prekių ženklą, kurią draudžia ALĮ 10</w:t>
      </w:r>
      <w:r w:rsidR="009A5806">
        <w:t> </w:t>
      </w:r>
      <w:r>
        <w:t>straipsnio 9</w:t>
      </w:r>
      <w:r w:rsidRPr="002F2D64">
        <w:rPr>
          <w:vertAlign w:val="superscript"/>
        </w:rPr>
        <w:t>1</w:t>
      </w:r>
      <w:r>
        <w:t xml:space="preserve"> dalis, nors ALĮ nenustato jokių ribojimų prekių ženklų turiniui, tokius ribojimus nustato </w:t>
      </w:r>
      <w:r w:rsidR="00716716">
        <w:t>Lietuvos Respublikos p</w:t>
      </w:r>
      <w:r>
        <w:t>rekių ženklų įstatymas, kurio laikymąsi patvirtina nenuginčyti įrodymai.</w:t>
      </w:r>
    </w:p>
    <w:p w14:paraId="5F4E0B36" w14:textId="21714AE8" w:rsidR="00923464" w:rsidRDefault="002F2D64" w:rsidP="002F2D64">
      <w:pPr>
        <w:pStyle w:val="Sraopastraipa"/>
        <w:numPr>
          <w:ilvl w:val="1"/>
          <w:numId w:val="11"/>
        </w:numPr>
        <w:spacing w:after="120"/>
        <w:ind w:left="788" w:hanging="431"/>
        <w:contextualSpacing w:val="0"/>
        <w:jc w:val="both"/>
      </w:pPr>
      <w:r>
        <w:t xml:space="preserve">Tiek teismai, tiek Institucija </w:t>
      </w:r>
      <w:r w:rsidR="00716716">
        <w:t>pernelyg plačiai</w:t>
      </w:r>
      <w:r>
        <w:t xml:space="preserve"> aiškino ALĮ 10 straipsnio 9</w:t>
      </w:r>
      <w:r w:rsidRPr="002F2D64">
        <w:rPr>
          <w:vertAlign w:val="superscript"/>
        </w:rPr>
        <w:t>1</w:t>
      </w:r>
      <w:r>
        <w:t xml:space="preserve"> dalį kaip apimančią ir registruoto prekių ženklo reklamą ar tam tikrą prekių ženklo turinio nustatymą. Bendrovės prekių ženklas „</w:t>
      </w:r>
      <w:proofErr w:type="spellStart"/>
      <w:r>
        <w:t>OlyBet</w:t>
      </w:r>
      <w:proofErr w:type="spellEnd"/>
      <w:r>
        <w:t xml:space="preserve"> POKER“ yra </w:t>
      </w:r>
      <w:r w:rsidRPr="002F2D64">
        <w:t>Lietuvos Respublikos valstybini</w:t>
      </w:r>
      <w:r>
        <w:t>ame</w:t>
      </w:r>
      <w:r w:rsidRPr="002F2D64">
        <w:t xml:space="preserve"> patentų biur</w:t>
      </w:r>
      <w:r>
        <w:t>e registruotas prekių ženklas. „</w:t>
      </w:r>
      <w:proofErr w:type="spellStart"/>
      <w:r w:rsidR="00515461">
        <w:t>OlyBet</w:t>
      </w:r>
      <w:proofErr w:type="spellEnd"/>
      <w:r>
        <w:t xml:space="preserve">“ priklauso taip pat bendrovei ir jį naudoti Institucija nedraudžia ir už naudojimą nebaudžia. </w:t>
      </w:r>
      <w:r w:rsidR="00923464">
        <w:t>Europos Sąjungos Teisingumo Teismas</w:t>
      </w:r>
      <w:r>
        <w:t xml:space="preserve"> savo praktikoje yra išaiškinęs, kad kitokia jau registruoto prekių ženklo forma taip gali būti registruota (2012 m. spalio 25 d. sprendimas byloje Nr. C-553/11).</w:t>
      </w:r>
    </w:p>
    <w:p w14:paraId="51CF367E" w14:textId="474CB7B8" w:rsidR="002F2D64" w:rsidRDefault="002F2D64" w:rsidP="00923464">
      <w:pPr>
        <w:pStyle w:val="Sraopastraipa"/>
        <w:numPr>
          <w:ilvl w:val="1"/>
          <w:numId w:val="11"/>
        </w:numPr>
        <w:spacing w:after="120"/>
        <w:ind w:left="788" w:hanging="431"/>
        <w:contextualSpacing w:val="0"/>
        <w:jc w:val="both"/>
      </w:pPr>
      <w:r>
        <w:t>P</w:t>
      </w:r>
      <w:r w:rsidR="003E3B23">
        <w:t>rekių ženklų įstatymo</w:t>
      </w:r>
      <w:r>
        <w:t xml:space="preserve"> 43 straipsnio 1 dalis nustato, kad </w:t>
      </w:r>
      <w:r w:rsidR="00923464" w:rsidRPr="00923464">
        <w:t>valstybinis patentų biuras</w:t>
      </w:r>
      <w:r>
        <w:t xml:space="preserve">, atlikdamas ženklo ekspertizę, patikrina, ar ženklas atitinka šio įstatymo 7 </w:t>
      </w:r>
      <w:r w:rsidR="00515461">
        <w:t xml:space="preserve">straipsnio </w:t>
      </w:r>
      <w:r>
        <w:t>1 ir 2</w:t>
      </w:r>
      <w:r w:rsidR="003E3B23">
        <w:t> </w:t>
      </w:r>
      <w:r>
        <w:t>daly</w:t>
      </w:r>
      <w:r w:rsidR="00716716">
        <w:t>s</w:t>
      </w:r>
      <w:r>
        <w:t xml:space="preserve">e nustatytus reikalavimus. </w:t>
      </w:r>
      <w:r w:rsidR="00923464">
        <w:t>Institucija</w:t>
      </w:r>
      <w:r>
        <w:t xml:space="preserve"> laikosi pozicijos, kad ALĮ sudaro viešosios tvarkos dalį, taigi, </w:t>
      </w:r>
      <w:r w:rsidR="00923464" w:rsidRPr="00923464">
        <w:t>valstybinis patentų biuras</w:t>
      </w:r>
      <w:r>
        <w:t xml:space="preserve"> privalėjo tikrinti</w:t>
      </w:r>
      <w:r w:rsidR="00923464">
        <w:t>,</w:t>
      </w:r>
      <w:r>
        <w:t xml:space="preserve"> ar prekių ženklas atitinka viešąją tvarką, t. y. ALĮ reikalavimus. Lingvistinis ALĮ 10 straipsnio 9</w:t>
      </w:r>
      <w:r w:rsidRPr="00923464">
        <w:rPr>
          <w:vertAlign w:val="superscript"/>
        </w:rPr>
        <w:t>1</w:t>
      </w:r>
      <w:r>
        <w:t xml:space="preserve"> dalies aiškinimas suponuoja išvadą, kad ji nustato ribojimus nurodyti informaciją prie jau registruotų vientisų prekių ženklų, kuri nėra registruoto prekių ženklo dalis, o ne nustato reikalavimus pačiam prekių ženklui. Taigi, tiek Institucija, tiek teismai aiškino ALĮ 10 straipsnio 9 dalį </w:t>
      </w:r>
      <w:r w:rsidR="00716716">
        <w:t>pernelyg plačiai</w:t>
      </w:r>
      <w:r>
        <w:t>.</w:t>
      </w:r>
    </w:p>
    <w:p w14:paraId="2D3E9F39" w14:textId="712DAAD0" w:rsidR="002F2D64" w:rsidRDefault="002F2D64" w:rsidP="002F2D64">
      <w:pPr>
        <w:pStyle w:val="Sraopastraipa"/>
        <w:numPr>
          <w:ilvl w:val="1"/>
          <w:numId w:val="11"/>
        </w:numPr>
        <w:spacing w:after="120"/>
        <w:ind w:left="788" w:hanging="431"/>
        <w:contextualSpacing w:val="0"/>
        <w:jc w:val="both"/>
      </w:pPr>
      <w:r>
        <w:t xml:space="preserve">Apygardos teismų praktika yra nevienoda: priešingai nei šioje byloje, Vilniaus apygardos teismo 2022 m. rugsėjo 27 d. nutartyje administracinio nusižengimo byloje Nr. AN2-274-898/2022 nurodoma, kad logotipo publikavimas pats savaime galėtų būti siejamas nebent su azartinius lošimus organizuojančios bendrovės pavadinimo skelbimu, </w:t>
      </w:r>
      <w:r w:rsidR="00716716">
        <w:t xml:space="preserve">o tai </w:t>
      </w:r>
      <w:r>
        <w:t xml:space="preserve">nėra uždrausta įstatymo, tačiau </w:t>
      </w:r>
      <w:r w:rsidR="00F843E1">
        <w:t xml:space="preserve">jis </w:t>
      </w:r>
      <w:r>
        <w:t>negali būti vertinamas kaip informacija, skatinanti naudotis azartinių lošimų paslaugomis. Taig</w:t>
      </w:r>
      <w:r w:rsidR="00923464">
        <w:t>i</w:t>
      </w:r>
      <w:r>
        <w:t xml:space="preserve"> išimtinai </w:t>
      </w:r>
      <w:r w:rsidR="00716716">
        <w:t xml:space="preserve">dėl </w:t>
      </w:r>
      <w:bookmarkStart w:id="12" w:name="Buk_8"/>
      <w:r w:rsidR="009A5806" w:rsidRPr="009A5806">
        <w:t xml:space="preserve">T. P. </w:t>
      </w:r>
      <w:bookmarkEnd w:id="12"/>
      <w:r>
        <w:t xml:space="preserve">yra išaiškinta, kad prekių ženklas, kuris leidžiamas naudoti pagal ALĮ 10 straipsnio 9 </w:t>
      </w:r>
      <w:r w:rsidR="00716716">
        <w:t xml:space="preserve">dalį, </w:t>
      </w:r>
      <w:r>
        <w:t>yra ne prekių ženklas, o papildoma informacija pagal ALĮ 10 straipsnio 9</w:t>
      </w:r>
      <w:r w:rsidRPr="00923464">
        <w:rPr>
          <w:vertAlign w:val="superscript"/>
        </w:rPr>
        <w:t>1</w:t>
      </w:r>
      <w:r>
        <w:t xml:space="preserve"> dalį.</w:t>
      </w:r>
    </w:p>
    <w:p w14:paraId="06B3DC34" w14:textId="330A7653" w:rsidR="002F2D64" w:rsidRDefault="002F2D64" w:rsidP="002F2D64">
      <w:pPr>
        <w:pStyle w:val="Sraopastraipa"/>
        <w:numPr>
          <w:ilvl w:val="1"/>
          <w:numId w:val="11"/>
        </w:numPr>
        <w:spacing w:after="120"/>
        <w:ind w:left="788" w:hanging="431"/>
        <w:contextualSpacing w:val="0"/>
        <w:jc w:val="both"/>
      </w:pPr>
      <w:r>
        <w:lastRenderedPageBreak/>
        <w:t xml:space="preserve">Nėra ginčo, kad </w:t>
      </w:r>
      <w:bookmarkStart w:id="13" w:name="Buk_28"/>
      <w:r w:rsidR="009A5806" w:rsidRPr="009A5806">
        <w:t>T. P.</w:t>
      </w:r>
      <w:bookmarkEnd w:id="13"/>
      <w:r>
        <w:t xml:space="preserve">, būdamas savo srities </w:t>
      </w:r>
      <w:r w:rsidR="00716716">
        <w:t>profesionalas</w:t>
      </w:r>
      <w:r>
        <w:t>, turi gerai išmanyti ALĮ nuostatas, tačiau</w:t>
      </w:r>
      <w:r w:rsidR="00716716">
        <w:t>,</w:t>
      </w:r>
      <w:r>
        <w:t xml:space="preserve"> įstatymui imperatyviai leidžiant naudoti reklamoje prekių ženklus, nagrinėjamu atveju neegzistuoja joks intelektinis ryšys tarp </w:t>
      </w:r>
      <w:bookmarkStart w:id="14" w:name="Buk_9"/>
      <w:r w:rsidR="009A5806" w:rsidRPr="009A5806">
        <w:t xml:space="preserve">T. P. </w:t>
      </w:r>
      <w:bookmarkEnd w:id="14"/>
      <w:r>
        <w:t xml:space="preserve">suvokimo ir reklamos tariamo neteisėtumo. Bendrovė pateikė paraišką registruoti prekių ženklą. Prekių ženklo </w:t>
      </w:r>
      <w:r w:rsidR="00716716">
        <w:t xml:space="preserve">atitiktis </w:t>
      </w:r>
      <w:r>
        <w:t xml:space="preserve">viešajai tvarkai buvo patikrinta. Institucija neprotestavo ir neginčijo prekių ženklo. ALĮ leidžia </w:t>
      </w:r>
      <w:r w:rsidR="00923464">
        <w:t>p</w:t>
      </w:r>
      <w:r>
        <w:t xml:space="preserve">rekių ženklą naudoti. Taigi, nagrinėjamu atveju neegzistavo intelektinis elementas su veika, kadangi </w:t>
      </w:r>
      <w:bookmarkStart w:id="15" w:name="Buk_29"/>
      <w:r w:rsidR="009A5806" w:rsidRPr="009A5806">
        <w:t xml:space="preserve">T. P. </w:t>
      </w:r>
      <w:bookmarkEnd w:id="15"/>
      <w:r>
        <w:t>nesuvokė ir net negalėjo suvokti, kad</w:t>
      </w:r>
      <w:r w:rsidR="00716716">
        <w:t>,</w:t>
      </w:r>
      <w:r>
        <w:t xml:space="preserve"> įstatymui leidžiant prekių ženklų reklamą, jo bendrovės registruoto prekių ženklo reklama</w:t>
      </w:r>
      <w:r w:rsidR="00E43DCB">
        <w:t xml:space="preserve"> </w:t>
      </w:r>
      <w:r>
        <w:t>bus neteisėta.</w:t>
      </w:r>
    </w:p>
    <w:p w14:paraId="687DFC74" w14:textId="1C0F43C7" w:rsidR="00E35671" w:rsidRPr="006B4853" w:rsidRDefault="002F2D64" w:rsidP="00DC1290">
      <w:pPr>
        <w:pStyle w:val="Sraopastraipa"/>
        <w:numPr>
          <w:ilvl w:val="1"/>
          <w:numId w:val="11"/>
        </w:numPr>
        <w:spacing w:after="120"/>
        <w:ind w:left="788" w:hanging="431"/>
        <w:contextualSpacing w:val="0"/>
        <w:jc w:val="both"/>
      </w:pPr>
      <w:r>
        <w:t xml:space="preserve">Teismai nepagrįstai sutapatino nagrinėjamos bylos aplinkybes su kitoje administracinio nusižengimo byloje (Nr. AN2-369-817/2025) nustatytomis aplinkybėmis, </w:t>
      </w:r>
      <w:r w:rsidR="00716716">
        <w:t xml:space="preserve">o tai </w:t>
      </w:r>
      <w:r>
        <w:t xml:space="preserve">pažeidė </w:t>
      </w:r>
      <w:bookmarkStart w:id="16" w:name="Buk_10"/>
      <w:r w:rsidR="009A5806" w:rsidRPr="009A5806">
        <w:t xml:space="preserve">T. P. </w:t>
      </w:r>
      <w:bookmarkEnd w:id="16"/>
      <w:r>
        <w:t xml:space="preserve">teisę į tinkamą procesą. Šią aplinkybę patvirtina akivaizdus nutarties administracinio nusižengimo byloje Nr. AN2-369-817/2025 dalies perkopijavimas </w:t>
      </w:r>
      <w:r w:rsidR="00923464">
        <w:t xml:space="preserve">skundžiamoje apygardos teismo nutartyje, </w:t>
      </w:r>
      <w:r>
        <w:t>paliekant kitoje byloje vertinto prekių ženklo pavadinimą.</w:t>
      </w:r>
      <w:r w:rsidR="00923464">
        <w:t xml:space="preserve"> </w:t>
      </w:r>
      <w:r>
        <w:t>Apygardos teismas pažodžiui perkopijavo išaiškinimą iš Vilniaus apygardos teismo 2025 m. spalio 28 d. nutarties, kurioje buvo vertinamas kitas prekių ženklas „</w:t>
      </w:r>
      <w:proofErr w:type="spellStart"/>
      <w:r>
        <w:t>Olybet</w:t>
      </w:r>
      <w:proofErr w:type="spellEnd"/>
      <w:r>
        <w:t xml:space="preserve"> sporto baras ir grilis“. Toks teismo savarankiškų motyvų nepateikimas pažeidė </w:t>
      </w:r>
      <w:bookmarkStart w:id="17" w:name="Buk_11"/>
      <w:r w:rsidR="009A5806" w:rsidRPr="009A5806">
        <w:t xml:space="preserve">T. P. </w:t>
      </w:r>
      <w:bookmarkEnd w:id="17"/>
      <w:r>
        <w:t xml:space="preserve">teisę į tinkamą procesą (pavyzdžiui, </w:t>
      </w:r>
      <w:r w:rsidR="00DC1290" w:rsidRPr="00DC1290">
        <w:t>Lietuvos Aukščiausiojo Teismo Civilinių bylų skyriaus 2025 m. kovo 27 d. nutartis civilinėje byloje Nr. e3K-3-62-823/2025</w:t>
      </w:r>
      <w:r>
        <w:t>). Be to, „</w:t>
      </w:r>
      <w:proofErr w:type="spellStart"/>
      <w:r>
        <w:t>OlyBet</w:t>
      </w:r>
      <w:proofErr w:type="spellEnd"/>
      <w:r>
        <w:t xml:space="preserve"> </w:t>
      </w:r>
      <w:r w:rsidR="005D149D">
        <w:t xml:space="preserve">sporto </w:t>
      </w:r>
      <w:r>
        <w:t xml:space="preserve">baro ir grilio“ byla </w:t>
      </w:r>
      <w:r w:rsidR="00F843E1">
        <w:t>nuo</w:t>
      </w:r>
      <w:r w:rsidR="00E654D4">
        <w:t xml:space="preserve"> ši</w:t>
      </w:r>
      <w:r w:rsidR="00F843E1">
        <w:t>os</w:t>
      </w:r>
      <w:r w:rsidR="00E654D4">
        <w:t xml:space="preserve"> byl</w:t>
      </w:r>
      <w:r w:rsidR="00F843E1">
        <w:t>os</w:t>
      </w:r>
      <w:r w:rsidR="00E654D4">
        <w:t xml:space="preserve"> </w:t>
      </w:r>
      <w:r>
        <w:t>turi esminį skirtumą ALĮ</w:t>
      </w:r>
      <w:r w:rsidR="005D149D">
        <w:t> </w:t>
      </w:r>
      <w:r>
        <w:t>10 straipsnio 9 dalies taikymo požiūriu. Šioje byloje keliamas klausimas dėl prekių ženklo</w:t>
      </w:r>
      <w:r w:rsidR="005D149D">
        <w:t>,</w:t>
      </w:r>
      <w:r>
        <w:t xml:space="preserve"> tiesiogiai priklausančio lošimus organizuojančiai bendrovei. Būtent bendrovei priklausantys prekių ženklai yra leistina reklama.</w:t>
      </w:r>
    </w:p>
    <w:p w14:paraId="399A18B7" w14:textId="3638BBFB" w:rsidR="00994687" w:rsidRPr="006B4853" w:rsidRDefault="00E35671" w:rsidP="004355D3">
      <w:pPr>
        <w:pStyle w:val="Sraopastraipa"/>
        <w:numPr>
          <w:ilvl w:val="0"/>
          <w:numId w:val="11"/>
        </w:numPr>
        <w:spacing w:after="120"/>
        <w:ind w:left="357" w:hanging="357"/>
        <w:contextualSpacing w:val="0"/>
        <w:jc w:val="both"/>
      </w:pPr>
      <w:r w:rsidRPr="00E35671">
        <w:t>Lošimų priežiūros tarnybos prie Lietuvos Respublikos finansų ministerijos</w:t>
      </w:r>
      <w:r w:rsidR="004355D3">
        <w:t xml:space="preserve"> Kontrolės skyriaus vedėja, laikinai atliekanti direktoriaus funkcijas, I. </w:t>
      </w:r>
      <w:proofErr w:type="spellStart"/>
      <w:r w:rsidR="004355D3">
        <w:t>Žaldarienė</w:t>
      </w:r>
      <w:proofErr w:type="spellEnd"/>
      <w:r w:rsidR="004355D3">
        <w:t xml:space="preserve"> </w:t>
      </w:r>
      <w:r w:rsidR="00783DE3" w:rsidRPr="006B4853">
        <w:t>atsiliepimu į pareiškėjo prašymą prašo netenkinti prašymo ir palikti</w:t>
      </w:r>
      <w:r w:rsidR="004355D3">
        <w:t xml:space="preserve"> </w:t>
      </w:r>
      <w:r w:rsidR="004355D3" w:rsidRPr="004355D3">
        <w:t>Vilniaus miesto apylinkės teismo 2025 m. lapkričio</w:t>
      </w:r>
      <w:r w:rsidR="002340D6">
        <w:t> </w:t>
      </w:r>
      <w:r w:rsidR="004355D3" w:rsidRPr="004355D3">
        <w:t>3</w:t>
      </w:r>
      <w:r w:rsidR="002340D6">
        <w:t> </w:t>
      </w:r>
      <w:r w:rsidR="004355D3" w:rsidRPr="004355D3">
        <w:t>d.</w:t>
      </w:r>
      <w:r w:rsidR="004355D3">
        <w:t xml:space="preserve"> </w:t>
      </w:r>
      <w:r w:rsidR="004355D3" w:rsidRPr="004355D3">
        <w:t>ir Vilniaus apygardos teismo 2025 m. gruodžio 19 d. nutart</w:t>
      </w:r>
      <w:r w:rsidR="004355D3">
        <w:t>is</w:t>
      </w:r>
      <w:r w:rsidR="004355D3" w:rsidRPr="004355D3">
        <w:t xml:space="preserve"> nepakeistas</w:t>
      </w:r>
      <w:r w:rsidR="00783DE3" w:rsidRPr="006B4853">
        <w:t xml:space="preserve">. </w:t>
      </w:r>
      <w:r w:rsidR="00573885" w:rsidRPr="006B4853">
        <w:t>Pareigūn</w:t>
      </w:r>
      <w:r w:rsidR="004355D3">
        <w:t>ė</w:t>
      </w:r>
      <w:r w:rsidR="00573885" w:rsidRPr="006B4853">
        <w:t xml:space="preserve"> </w:t>
      </w:r>
      <w:r w:rsidR="00783DE3" w:rsidRPr="006B4853">
        <w:t>atsiliepime į prašymą nurodo:</w:t>
      </w:r>
    </w:p>
    <w:p w14:paraId="5C426DE4" w14:textId="6A591274" w:rsidR="00D22B35" w:rsidRDefault="00E654D4" w:rsidP="00D22B35">
      <w:pPr>
        <w:pStyle w:val="Sraopastraipa"/>
        <w:numPr>
          <w:ilvl w:val="1"/>
          <w:numId w:val="11"/>
        </w:numPr>
        <w:spacing w:after="120"/>
        <w:contextualSpacing w:val="0"/>
        <w:jc w:val="both"/>
      </w:pPr>
      <w:bookmarkStart w:id="18" w:name="p5"/>
      <w:r>
        <w:t>Lietuvos Respublikos v</w:t>
      </w:r>
      <w:r w:rsidR="00D22B35">
        <w:t xml:space="preserve">alstybinis patentų biuras dar 2019 m. rugsėjo 23 d. rašte ,,Dėl lošimų organizatorių prekių ženklų“ nurodė, kad specialieji pramoninės nuosavybės teisės aktai nereglamentuoja prekių ženklų naudojimo rinkoje klausimų, kurie yra kitų teisės aktų reguliavimo dalykas. Taigi prekių ženklų naudojimo rinkoje klausimai yra kitų teisės aktų reguliavimo dalykas ir juose gali būti nustatyti savarankiški žymenų naudojimo rinkoje apribojimai. </w:t>
      </w:r>
    </w:p>
    <w:p w14:paraId="453C863B" w14:textId="6E5495F7" w:rsidR="00D22B35" w:rsidRDefault="00D22B35" w:rsidP="00D22B35">
      <w:pPr>
        <w:pStyle w:val="Sraopastraipa"/>
        <w:numPr>
          <w:ilvl w:val="1"/>
          <w:numId w:val="11"/>
        </w:numPr>
        <w:spacing w:after="120"/>
        <w:contextualSpacing w:val="0"/>
        <w:jc w:val="both"/>
      </w:pPr>
      <w:r>
        <w:t>Prekių ženklo naudojimą rinkoje reglamentuoja ALĮ, kurio 10 straipsnio 9 dalyje nustatyta, kokią informaciją galima skelbti azartinių lošimų reklamoje, o šio straipsnio 9</w:t>
      </w:r>
      <w:r w:rsidRPr="00D22B35">
        <w:rPr>
          <w:vertAlign w:val="superscript"/>
        </w:rPr>
        <w:t>1</w:t>
      </w:r>
      <w:r>
        <w:t xml:space="preserve"> dalyje nustatyta, kas laikytina draudžiama papildoma informacija. Vien prekių ženklo registracija pati savaime nesuteikia teisės </w:t>
      </w:r>
      <w:r w:rsidR="00E654D4">
        <w:t xml:space="preserve">tokį </w:t>
      </w:r>
      <w:r>
        <w:t xml:space="preserve">prekių </w:t>
      </w:r>
      <w:r w:rsidR="00E654D4">
        <w:t xml:space="preserve">ženklą </w:t>
      </w:r>
      <w:r>
        <w:t xml:space="preserve">naudoti rinkoje, jei prekių ženkle pateikta informacija gali prieštarauti kitiems teisės aktams. ALĮ </w:t>
      </w:r>
      <w:r w:rsidR="005D149D">
        <w:t>nenustatyta</w:t>
      </w:r>
      <w:r>
        <w:t>, jog registruotame lošimo organizatoriaus prekių ženkle gali būti skelbiama papildoma rašytinė informacija – kortų lošimų pavadinimų trumpiniai. ALĮ nesant leidimo skelbti tokią informaciją lošimų organizatorių prekių ženkle, bendrovės registruotame prekių ženkle nurodomas kortų lošimo pavadinimo „POKER“ trumpinys laikytinas draudžiama papildoma rašytine informacija ALĮ</w:t>
      </w:r>
      <w:r w:rsidR="005D149D">
        <w:t> </w:t>
      </w:r>
      <w:r>
        <w:t>10 straipsnio 9</w:t>
      </w:r>
      <w:r w:rsidRPr="00D22B35">
        <w:rPr>
          <w:vertAlign w:val="superscript"/>
        </w:rPr>
        <w:t>1</w:t>
      </w:r>
      <w:r>
        <w:t xml:space="preserve"> dalies prasme. </w:t>
      </w:r>
    </w:p>
    <w:p w14:paraId="032F01DE" w14:textId="157325F2" w:rsidR="00D22B35" w:rsidRDefault="00D22B35" w:rsidP="00D22B35">
      <w:pPr>
        <w:pStyle w:val="Sraopastraipa"/>
        <w:numPr>
          <w:ilvl w:val="1"/>
          <w:numId w:val="11"/>
        </w:numPr>
        <w:spacing w:after="120"/>
        <w:contextualSpacing w:val="0"/>
        <w:jc w:val="both"/>
      </w:pPr>
      <w:r>
        <w:t>2019 m. lapkričio 1 d. įsigaliojęs ALĮ pakeitimas (2019 m. gegužės 30 d. įstatymo Nr. XIII-2147 redakcija) nustatė griežtesnius reikalavimus azartinių lošimų reklamai, nes nustatytas leidimas skelbti tik azartinius lošimus organizuojančių bendrovių pavadinimus, prekių ženklus ir organizuojamų lošimų rūšis be papildomos rašytinės, vaizdinės ar garsinės informacijos. Prekių ženklas „</w:t>
      </w:r>
      <w:proofErr w:type="spellStart"/>
      <w:r>
        <w:t>OlyBet</w:t>
      </w:r>
      <w:proofErr w:type="spellEnd"/>
      <w:r>
        <w:t xml:space="preserve"> POKER“ su papildoma rašytine informacija nedera su įstatymo leidėjo tikslais – siekiant riboti neigiamą lošimų poveikį visuomenei. Lietuvos Respublikos azartinių lošimų įstatymo Nr. IX-325 10 ir 20 straipsnių pakeitimo įstatymo projektu buvo siekiama mažinti reklamos patrauklumą, todėl nustatomas aiškus draudimas </w:t>
      </w:r>
      <w:r>
        <w:lastRenderedPageBreak/>
        <w:t xml:space="preserve">kartu su leidžiama lošimų reklama nurodyti bet kokią papildomą rašytinę, vaizdinę ar garsinę informaciją. Todėl azartinių lošimų reklamoje draudžiama naudoti tokius prekių ženklus, kuriuose, be esminio prekių ženklo elemento (šiuo atveju – </w:t>
      </w:r>
      <w:r w:rsidR="00E43DCB">
        <w:t>„</w:t>
      </w:r>
      <w:proofErr w:type="spellStart"/>
      <w:r>
        <w:t>OlyBet</w:t>
      </w:r>
      <w:proofErr w:type="spellEnd"/>
      <w:r w:rsidR="00E43DCB">
        <w:t>“</w:t>
      </w:r>
      <w:r>
        <w:t xml:space="preserve">), yra papildomos rašytinės informacijos. </w:t>
      </w:r>
    </w:p>
    <w:p w14:paraId="73D8FDBA" w14:textId="3728A067" w:rsidR="00E91462" w:rsidRDefault="00D22B35" w:rsidP="00E91462">
      <w:pPr>
        <w:pStyle w:val="Sraopastraipa"/>
        <w:numPr>
          <w:ilvl w:val="1"/>
          <w:numId w:val="11"/>
        </w:numPr>
        <w:spacing w:after="120"/>
        <w:contextualSpacing w:val="0"/>
        <w:jc w:val="both"/>
      </w:pPr>
      <w:r>
        <w:t>2025 m. spalio 28 d. Vilniaus apygardos teismo nutartyje administracinio nusižengimo byloje Nr. AN2-369-817/2025 konstatuota, kad: „nepaisant to, jog „</w:t>
      </w:r>
      <w:proofErr w:type="spellStart"/>
      <w:r>
        <w:t>OlyBet</w:t>
      </w:r>
      <w:proofErr w:type="spellEnd"/>
      <w:r>
        <w:t xml:space="preserve"> sporto baras ir grilis“ yra registruotas VPB, jis turi būti naudojamas nepažeidžiant Lietuvos Respublikos įstatymų, tarp jų ir ALĮ reikalavimų, todėl, nors „</w:t>
      </w:r>
      <w:proofErr w:type="spellStart"/>
      <w:r>
        <w:t>OlyBet</w:t>
      </w:r>
      <w:proofErr w:type="spellEnd"/>
      <w:r>
        <w:t xml:space="preserve"> sporto baras ir grilis“ yra vientisas pavadinimas bei yra oficialiai įregistruotas prekės ženklas, byloje nagrinėjamame kontekste jis buvo naudojamas pažeidžiant ALĮ 10 straipsnio 9, 9</w:t>
      </w:r>
      <w:r w:rsidRPr="00D22B35">
        <w:rPr>
          <w:vertAlign w:val="superscript"/>
        </w:rPr>
        <w:t>1</w:t>
      </w:r>
      <w:r>
        <w:t xml:space="preserve"> dalies nuostatas“. </w:t>
      </w:r>
      <w:r w:rsidR="00E91462" w:rsidRPr="00E91462">
        <w:t>Aplinkybė, kad šioje byloje buvo vertinami ne lošimų organizatoriaus, o kito ūkio subjekto, nevykdančio azartinių lošimų organizavimo veiklos, veiksmai, savaime nepaneigia suformuluotų teisės aiškinimo taisyklių reikšmės nagrinėjamam ginčui. ALĮ nustatyti reklamos ribojimai taikomi nepriklausomai nuo to, ar konkrečią informaciją skleidžia lošimų organizatorius, ar kitas asmuo.</w:t>
      </w:r>
    </w:p>
    <w:p w14:paraId="13612747" w14:textId="123AA9D6" w:rsidR="00D22B35" w:rsidRDefault="00D22B35" w:rsidP="00E91462">
      <w:pPr>
        <w:pStyle w:val="Sraopastraipa"/>
        <w:numPr>
          <w:ilvl w:val="1"/>
          <w:numId w:val="11"/>
        </w:numPr>
        <w:spacing w:after="120"/>
        <w:contextualSpacing w:val="0"/>
        <w:jc w:val="both"/>
      </w:pPr>
      <w:r>
        <w:t xml:space="preserve">Lietuvos Aukščiausiojo Teismo 2026 m. vasario 10 d. nutartimi (prašymo Nr. DOK-370/2026) prašymą atnaujinti </w:t>
      </w:r>
      <w:r w:rsidR="00E91462">
        <w:t xml:space="preserve">pirmiau paminėtą </w:t>
      </w:r>
      <w:r>
        <w:t>administracinio nusižengimo bylą atsisakyta priimti, be kita ko, nurodant, jog prašyme dėstomi argumentai dėl netinkamo ALĮ</w:t>
      </w:r>
      <w:r w:rsidR="005D149D">
        <w:t> </w:t>
      </w:r>
      <w:r>
        <w:t>10</w:t>
      </w:r>
      <w:r w:rsidR="00E91462">
        <w:t> </w:t>
      </w:r>
      <w:r>
        <w:t>straipsnio 9 ir 9</w:t>
      </w:r>
      <w:r w:rsidRPr="00D22B35">
        <w:rPr>
          <w:vertAlign w:val="superscript"/>
        </w:rPr>
        <w:t>1</w:t>
      </w:r>
      <w:r>
        <w:t xml:space="preserve"> dalių aiškinimo buvo išsamiai įvertinti žemesnės instancijos teismų</w:t>
      </w:r>
      <w:r w:rsidR="00E91462">
        <w:t xml:space="preserve">, </w:t>
      </w:r>
      <w:r>
        <w:t>pateik</w:t>
      </w:r>
      <w:r w:rsidR="00E91462">
        <w:t>iant</w:t>
      </w:r>
      <w:r>
        <w:t xml:space="preserve"> dėl jų motyvuotas išvadas. Prašyme nepateikti teisiniai argumentai, kurie paneigtų šias išvadas ir patvirtintų netinkamą ANK 134 straipsnio 8 dalies taikymą. Analogiška situacija susiklostė ir nagrinėjamu atveju. </w:t>
      </w:r>
      <w:bookmarkStart w:id="19" w:name="Buk_12"/>
      <w:r w:rsidR="009A5806" w:rsidRPr="009A5806">
        <w:t xml:space="preserve">T. P. </w:t>
      </w:r>
      <w:bookmarkEnd w:id="19"/>
      <w:r>
        <w:t>atstovas prašyme atnaujinti administracinio nusižengimo bylą iš esmės pakartoja savo ankstesniuose skunduose išdėstytus argumentus dėl faktinių aplinkybių vertinimo ir teisės normų aiškinimo, tačiau nepateikia</w:t>
      </w:r>
      <w:r w:rsidR="00E43DCB">
        <w:t xml:space="preserve"> </w:t>
      </w:r>
      <w:r>
        <w:t xml:space="preserve">teisinių argumentų, kurie leistų abejoti </w:t>
      </w:r>
      <w:r w:rsidR="00E43DCB">
        <w:t>teismų</w:t>
      </w:r>
      <w:r>
        <w:t xml:space="preserve"> sprendimų teisėtumu ar pagrįstumu. </w:t>
      </w:r>
    </w:p>
    <w:p w14:paraId="67D622AD" w14:textId="5CC4E3B7" w:rsidR="00E06794" w:rsidRDefault="00D22B35" w:rsidP="00D22B35">
      <w:pPr>
        <w:pStyle w:val="Sraopastraipa"/>
        <w:numPr>
          <w:ilvl w:val="1"/>
          <w:numId w:val="11"/>
        </w:numPr>
        <w:spacing w:after="120"/>
        <w:contextualSpacing w:val="0"/>
        <w:jc w:val="both"/>
      </w:pPr>
      <w:r>
        <w:t xml:space="preserve">Atsižvelgiant į </w:t>
      </w:r>
      <w:bookmarkStart w:id="20" w:name="Buk_13"/>
      <w:r w:rsidR="009A5806" w:rsidRPr="009A5806">
        <w:t xml:space="preserve">T. P. </w:t>
      </w:r>
      <w:bookmarkEnd w:id="20"/>
      <w:r w:rsidR="0010037F">
        <w:t xml:space="preserve">einamas </w:t>
      </w:r>
      <w:r>
        <w:t xml:space="preserve">pareigas, vykdomos veiklos pobūdį ir profesinę patirtį, darytina išvada, kad jis </w:t>
      </w:r>
      <w:r w:rsidR="00821F2B">
        <w:t xml:space="preserve">ne tik </w:t>
      </w:r>
      <w:r>
        <w:t>turėjo bendrą pareigą žinoti lošimų veiklą reglamentuojančių teisės aktų reikalavimus, bet ir galėjo numatyti savo veiksmų teisines pasekmes. P</w:t>
      </w:r>
      <w:r w:rsidR="00E91462">
        <w:t>r</w:t>
      </w:r>
      <w:r>
        <w:t>ekių ženklas „</w:t>
      </w:r>
      <w:proofErr w:type="spellStart"/>
      <w:r>
        <w:t>OlyBet</w:t>
      </w:r>
      <w:proofErr w:type="spellEnd"/>
      <w:r>
        <w:t xml:space="preserve"> </w:t>
      </w:r>
      <w:r w:rsidR="00EA6953">
        <w:t>POKER</w:t>
      </w:r>
      <w:r>
        <w:t>“ buvo sukurtas ir registruotas sąmoningai pasirenkant elementą „</w:t>
      </w:r>
      <w:proofErr w:type="spellStart"/>
      <w:r>
        <w:t>OlyBet</w:t>
      </w:r>
      <w:proofErr w:type="spellEnd"/>
      <w:r>
        <w:t>“, kuris tiesiogiai siejamas su UAB „</w:t>
      </w:r>
      <w:proofErr w:type="spellStart"/>
      <w:r>
        <w:t>Olympic</w:t>
      </w:r>
      <w:proofErr w:type="spellEnd"/>
      <w:r>
        <w:t xml:space="preserve"> </w:t>
      </w:r>
      <w:proofErr w:type="spellStart"/>
      <w:r>
        <w:t>Casino</w:t>
      </w:r>
      <w:proofErr w:type="spellEnd"/>
      <w:r>
        <w:t xml:space="preserve"> Group Baltija“ vykdoma lošimų veikla ir jos naudojamu prekės ženklu. Todėl </w:t>
      </w:r>
      <w:bookmarkStart w:id="21" w:name="Buk_30"/>
      <w:r w:rsidR="009A5806" w:rsidRPr="009A5806">
        <w:t xml:space="preserve">T. P. </w:t>
      </w:r>
      <w:bookmarkEnd w:id="21"/>
      <w:r>
        <w:t xml:space="preserve">turėjo suvokti, kad tokio žymens naudojimas bus vertinamas ne izoliuotai, o atsižvelgiant į jo ryšį su lošimų organizatoriaus veikla bei azartinių lošimų rinkoje naudojamais skiriamaisiais ženklais. Dėl šios priežasties nėra pagrindo teigti, kad </w:t>
      </w:r>
      <w:bookmarkStart w:id="22" w:name="Buk_31"/>
      <w:r w:rsidR="009A5806" w:rsidRPr="009A5806">
        <w:t xml:space="preserve">T. P. </w:t>
      </w:r>
      <w:bookmarkEnd w:id="22"/>
      <w:r>
        <w:t>nesuvokė ar objektyviai negalėjo suvokti galimo</w:t>
      </w:r>
      <w:r w:rsidR="0010037F">
        <w:t>s</w:t>
      </w:r>
      <w:r>
        <w:t xml:space="preserve"> tokio prekių ženklo naudojimo </w:t>
      </w:r>
      <w:r w:rsidR="0010037F">
        <w:t xml:space="preserve">neatitikties </w:t>
      </w:r>
      <w:r>
        <w:t xml:space="preserve">ALĮ nuostatoms. Be to, vien aplinkybė, kad tam tikras prekių ženklas yra įregistruotas teisės aktų nustatyta tvarka, savaime nereiškia, jog bet koks jo naudojimo būdas automatiškai atitinka kitų teisės aktų reikalavimus. </w:t>
      </w:r>
      <w:r w:rsidR="00E91462">
        <w:t>R</w:t>
      </w:r>
      <w:r>
        <w:t>ūpestingas ir apdairus lošimų organizatoriaus vadovas turėjo įvertinti ne tik prekių ženklo registracijos faktą, bet ir jo naudojimo atitiktį specialiajam lošimų reklamos teisiniam reglamentavimui.</w:t>
      </w:r>
    </w:p>
    <w:p w14:paraId="6A213EA1" w14:textId="77777777" w:rsidR="004355D3" w:rsidRPr="006B4853" w:rsidRDefault="004355D3" w:rsidP="00E35671">
      <w:pPr>
        <w:spacing w:after="120"/>
        <w:jc w:val="both"/>
      </w:pPr>
    </w:p>
    <w:p w14:paraId="3929852E" w14:textId="77777777" w:rsidR="00E523DB" w:rsidRPr="006B4853" w:rsidRDefault="008E63C0" w:rsidP="008E63C0">
      <w:pPr>
        <w:spacing w:after="120"/>
        <w:jc w:val="center"/>
        <w:rPr>
          <w:iCs/>
        </w:rPr>
      </w:pPr>
      <w:r w:rsidRPr="006B4853">
        <w:rPr>
          <w:iCs/>
        </w:rPr>
        <w:t xml:space="preserve">III. </w:t>
      </w:r>
      <w:r w:rsidR="00E523DB" w:rsidRPr="006B4853">
        <w:rPr>
          <w:iCs/>
        </w:rPr>
        <w:t>Lietuvos Aukščiausiojo Teismo argumentai ir išvados</w:t>
      </w:r>
    </w:p>
    <w:p w14:paraId="08E705E3" w14:textId="2A80BE65" w:rsidR="00E523DB" w:rsidRPr="006B4853" w:rsidRDefault="00E523DB" w:rsidP="004F70C5">
      <w:pPr>
        <w:spacing w:after="120"/>
        <w:ind w:left="714" w:hanging="357"/>
        <w:jc w:val="center"/>
      </w:pPr>
    </w:p>
    <w:p w14:paraId="21D99694" w14:textId="356D8F07" w:rsidR="004F70C5" w:rsidRPr="006B4853" w:rsidRDefault="009B662A" w:rsidP="0072747D">
      <w:pPr>
        <w:pStyle w:val="Sraopastraipa"/>
        <w:numPr>
          <w:ilvl w:val="0"/>
          <w:numId w:val="11"/>
        </w:numPr>
        <w:spacing w:after="120"/>
        <w:ind w:left="357" w:hanging="357"/>
        <w:contextualSpacing w:val="0"/>
        <w:jc w:val="both"/>
      </w:pPr>
      <w:r w:rsidRPr="006B4853">
        <w:t>Administracinėn atsakomybėn patraukto</w:t>
      </w:r>
      <w:r w:rsidR="006F1784">
        <w:t xml:space="preserve"> </w:t>
      </w:r>
      <w:bookmarkStart w:id="23" w:name="Buk_14"/>
      <w:r w:rsidR="009A5806" w:rsidRPr="009A5806">
        <w:t xml:space="preserve">T. P. </w:t>
      </w:r>
      <w:bookmarkEnd w:id="23"/>
      <w:r w:rsidR="006F1784" w:rsidRPr="006F1784">
        <w:t>atstovo advokato H</w:t>
      </w:r>
      <w:r w:rsidR="006F1784">
        <w:t>. </w:t>
      </w:r>
      <w:proofErr w:type="spellStart"/>
      <w:r w:rsidR="006F1784" w:rsidRPr="006F1784">
        <w:t>Stelmokaičio</w:t>
      </w:r>
      <w:proofErr w:type="spellEnd"/>
      <w:r w:rsidR="006F1784">
        <w:t xml:space="preserve"> prašymas</w:t>
      </w:r>
      <w:r w:rsidR="00AD607B">
        <w:t xml:space="preserve"> atmestinas</w:t>
      </w:r>
      <w:r w:rsidR="006F1784">
        <w:t>.</w:t>
      </w:r>
    </w:p>
    <w:p w14:paraId="2A697BED" w14:textId="39CEACEB" w:rsidR="009A5806" w:rsidRDefault="009A5806">
      <w:pPr>
        <w:rPr>
          <w:iCs/>
        </w:rPr>
      </w:pPr>
      <w:bookmarkStart w:id="24" w:name="_Hlk213332316"/>
      <w:r>
        <w:rPr>
          <w:iCs/>
        </w:rPr>
        <w:br w:type="page"/>
      </w:r>
    </w:p>
    <w:p w14:paraId="4A994732" w14:textId="4510FB19" w:rsidR="008D3F04" w:rsidRPr="006B4853" w:rsidRDefault="00461674" w:rsidP="00DC1290">
      <w:pPr>
        <w:spacing w:after="120"/>
        <w:jc w:val="both"/>
        <w:rPr>
          <w:i/>
        </w:rPr>
      </w:pPr>
      <w:bookmarkStart w:id="25" w:name="_Hlk199807921"/>
      <w:r w:rsidRPr="006B4853">
        <w:rPr>
          <w:i/>
        </w:rPr>
        <w:lastRenderedPageBreak/>
        <w:t xml:space="preserve">Dėl </w:t>
      </w:r>
      <w:r w:rsidR="00BF3D5E">
        <w:rPr>
          <w:i/>
        </w:rPr>
        <w:t xml:space="preserve">ANK </w:t>
      </w:r>
      <w:r w:rsidR="00BF3D5E" w:rsidRPr="00BF3D5E">
        <w:rPr>
          <w:i/>
        </w:rPr>
        <w:t>134 straipsnio 8 dal</w:t>
      </w:r>
      <w:r w:rsidR="00BF3D5E">
        <w:rPr>
          <w:i/>
        </w:rPr>
        <w:t xml:space="preserve">ies </w:t>
      </w:r>
      <w:r w:rsidR="00A71DF2" w:rsidRPr="006B4853">
        <w:rPr>
          <w:i/>
        </w:rPr>
        <w:t>taikymo</w:t>
      </w:r>
    </w:p>
    <w:p w14:paraId="754D3535" w14:textId="46E5A28C" w:rsidR="00461674" w:rsidRPr="006B4853" w:rsidRDefault="00461674" w:rsidP="00A71DF2">
      <w:pPr>
        <w:spacing w:after="120"/>
      </w:pPr>
    </w:p>
    <w:bookmarkEnd w:id="18"/>
    <w:bookmarkEnd w:id="24"/>
    <w:bookmarkEnd w:id="25"/>
    <w:p w14:paraId="3312016D" w14:textId="0BFD9F88" w:rsidR="005E4082" w:rsidRDefault="005E4082" w:rsidP="00DB4678">
      <w:pPr>
        <w:pStyle w:val="Sraopastraipa"/>
        <w:numPr>
          <w:ilvl w:val="0"/>
          <w:numId w:val="11"/>
        </w:numPr>
        <w:spacing w:after="120"/>
        <w:ind w:left="357" w:hanging="357"/>
        <w:contextualSpacing w:val="0"/>
        <w:jc w:val="both"/>
      </w:pPr>
      <w:r w:rsidRPr="005E4082">
        <w:t>Prašyme atnaujinti administracinio nusižengimo bylą pareiškėjas nesutinka su</w:t>
      </w:r>
      <w:r>
        <w:t xml:space="preserve"> </w:t>
      </w:r>
      <w:bookmarkStart w:id="26" w:name="Buk_15"/>
      <w:r w:rsidR="009A5806" w:rsidRPr="009A5806">
        <w:t xml:space="preserve">T. P. </w:t>
      </w:r>
      <w:bookmarkEnd w:id="26"/>
      <w:r w:rsidRPr="005E4082">
        <w:t xml:space="preserve">patraukimu administracinėn atsakomybėn pagal </w:t>
      </w:r>
      <w:r>
        <w:t xml:space="preserve">ANK </w:t>
      </w:r>
      <w:r w:rsidRPr="005E4082">
        <w:t>134 straipsnio 8 dalį</w:t>
      </w:r>
      <w:r>
        <w:t xml:space="preserve"> </w:t>
      </w:r>
      <w:r w:rsidRPr="005E4082">
        <w:t>teigdamas, kad bylą nagrinėję</w:t>
      </w:r>
      <w:r w:rsidR="004842B6">
        <w:t xml:space="preserve"> teismai</w:t>
      </w:r>
      <w:r w:rsidR="004842B6" w:rsidRPr="004842B6">
        <w:t>, vertindami</w:t>
      </w:r>
      <w:r w:rsidR="004842B6">
        <w:t xml:space="preserve"> registruoto prekių ženklo</w:t>
      </w:r>
      <w:r w:rsidR="004842B6" w:rsidRPr="004842B6">
        <w:t xml:space="preserve"> „</w:t>
      </w:r>
      <w:proofErr w:type="spellStart"/>
      <w:r w:rsidR="004842B6" w:rsidRPr="004842B6">
        <w:t>OlyBet</w:t>
      </w:r>
      <w:proofErr w:type="spellEnd"/>
      <w:r w:rsidR="004842B6" w:rsidRPr="004842B6">
        <w:t xml:space="preserve"> POKER“</w:t>
      </w:r>
      <w:r w:rsidR="004842B6">
        <w:t xml:space="preserve"> </w:t>
      </w:r>
      <w:r w:rsidR="004842B6" w:rsidRPr="004842B6">
        <w:t>žodį „POKER“ kaip</w:t>
      </w:r>
      <w:r w:rsidR="00EE6951">
        <w:t xml:space="preserve"> </w:t>
      </w:r>
      <w:r w:rsidR="00EE6951" w:rsidRPr="00EE6951">
        <w:t>papildomą rašytinę</w:t>
      </w:r>
      <w:r w:rsidR="00EE6951">
        <w:t xml:space="preserve"> </w:t>
      </w:r>
      <w:r w:rsidR="00EE6951" w:rsidRPr="00EE6951">
        <w:t>informaciją</w:t>
      </w:r>
      <w:r w:rsidR="00EE6951">
        <w:t xml:space="preserve"> </w:t>
      </w:r>
      <w:r w:rsidR="004842B6" w:rsidRPr="004842B6">
        <w:t>apie prekių ženklą,</w:t>
      </w:r>
      <w:r w:rsidR="004842B6">
        <w:t xml:space="preserve"> </w:t>
      </w:r>
      <w:r w:rsidRPr="005E4082">
        <w:t>klaidingai taikė ir aiškino ALĮ 10 straipsnio 9</w:t>
      </w:r>
      <w:r w:rsidR="00EE6951">
        <w:t> </w:t>
      </w:r>
      <w:r w:rsidRPr="005E4082">
        <w:t>ir 9</w:t>
      </w:r>
      <w:r w:rsidRPr="00EE6951">
        <w:rPr>
          <w:vertAlign w:val="superscript"/>
        </w:rPr>
        <w:t>1</w:t>
      </w:r>
      <w:r w:rsidR="00EE6951">
        <w:t> </w:t>
      </w:r>
      <w:r w:rsidRPr="005E4082">
        <w:t>dalis</w:t>
      </w:r>
      <w:r>
        <w:t xml:space="preserve">, </w:t>
      </w:r>
      <w:r w:rsidR="004842B6">
        <w:t>kadangi</w:t>
      </w:r>
      <w:r>
        <w:t xml:space="preserve"> ALĮ nenustato jokių ribojimų </w:t>
      </w:r>
      <w:r w:rsidR="004842B6">
        <w:t xml:space="preserve">ar reikalavimų </w:t>
      </w:r>
      <w:r>
        <w:t>prekių ženklų turiniui</w:t>
      </w:r>
      <w:r w:rsidR="004842B6">
        <w:t>.</w:t>
      </w:r>
      <w:r w:rsidR="00EE6951">
        <w:t xml:space="preserve"> </w:t>
      </w:r>
      <w:r w:rsidRPr="005E4082">
        <w:t xml:space="preserve">Prašyme taip pat nurodoma, kad Institucija ir teismai </w:t>
      </w:r>
      <w:r w:rsidR="00DB4678">
        <w:t xml:space="preserve">nepagrįstai nustatė </w:t>
      </w:r>
      <w:r w:rsidR="00EE6951">
        <w:t>intelektin</w:t>
      </w:r>
      <w:r w:rsidR="00DB4678">
        <w:t>į</w:t>
      </w:r>
      <w:r w:rsidR="00EE6951">
        <w:t xml:space="preserve"> kaltės elemen</w:t>
      </w:r>
      <w:r w:rsidR="00DB4678">
        <w:t>tą</w:t>
      </w:r>
      <w:r w:rsidR="00EE6951">
        <w:t xml:space="preserve"> </w:t>
      </w:r>
      <w:bookmarkStart w:id="27" w:name="Buk_16"/>
      <w:r w:rsidR="009A5806" w:rsidRPr="009A5806">
        <w:t xml:space="preserve">T. P. </w:t>
      </w:r>
      <w:bookmarkEnd w:id="27"/>
      <w:r w:rsidR="00EE6951">
        <w:t>veikoje</w:t>
      </w:r>
      <w:r w:rsidR="00EE6951" w:rsidRPr="00EE6951">
        <w:t>.</w:t>
      </w:r>
      <w:r w:rsidR="00EE6951">
        <w:t xml:space="preserve"> </w:t>
      </w:r>
      <w:r w:rsidRPr="005E4082">
        <w:t>Šie pareiškėjo argumentai yra nepagrįsti.</w:t>
      </w:r>
    </w:p>
    <w:p w14:paraId="740F6096" w14:textId="6BAEAFAF" w:rsidR="002F224C" w:rsidRDefault="009A5806" w:rsidP="00D73F3D">
      <w:pPr>
        <w:pStyle w:val="Sraopastraipa"/>
        <w:numPr>
          <w:ilvl w:val="0"/>
          <w:numId w:val="11"/>
        </w:numPr>
        <w:spacing w:after="120"/>
        <w:ind w:left="357" w:hanging="357"/>
        <w:contextualSpacing w:val="0"/>
        <w:jc w:val="both"/>
      </w:pPr>
      <w:bookmarkStart w:id="28" w:name="Buk_32"/>
      <w:r w:rsidRPr="009A5806">
        <w:t xml:space="preserve">T. P. </w:t>
      </w:r>
      <w:bookmarkEnd w:id="28"/>
      <w:r w:rsidR="00DB4678" w:rsidRPr="00DB4678">
        <w:t xml:space="preserve">pagal ANK 134 straipsnio 8 dalį nubaustas </w:t>
      </w:r>
      <w:r w:rsidR="0074735C">
        <w:t xml:space="preserve">už </w:t>
      </w:r>
      <w:r w:rsidR="0074735C" w:rsidRPr="0074735C">
        <w:t>ALĮ 10 straipsnio 9</w:t>
      </w:r>
      <w:r w:rsidR="0074735C" w:rsidRPr="0074735C">
        <w:rPr>
          <w:vertAlign w:val="superscript"/>
        </w:rPr>
        <w:t>1</w:t>
      </w:r>
      <w:r w:rsidR="0074735C" w:rsidRPr="0074735C">
        <w:t xml:space="preserve"> dalies (</w:t>
      </w:r>
      <w:r w:rsidR="00D73F3D" w:rsidRPr="00D73F3D">
        <w:t>2023 m. birželio 29 d. įstatymo Nr. XIV-2142 redakcija</w:t>
      </w:r>
      <w:r w:rsidR="0074735C" w:rsidRPr="0074735C">
        <w:t>)</w:t>
      </w:r>
      <w:r w:rsidR="0074735C">
        <w:t xml:space="preserve"> </w:t>
      </w:r>
      <w:r w:rsidR="0074735C" w:rsidRPr="0074735C">
        <w:t>reikalavim</w:t>
      </w:r>
      <w:r w:rsidR="0074735C">
        <w:t>ų pažeidimą. A</w:t>
      </w:r>
      <w:r w:rsidR="0074735C" w:rsidRPr="00DB4678">
        <w:t>dministracinio nusižengimo esmę sudaro tai, kad</w:t>
      </w:r>
      <w:r w:rsidR="0074735C" w:rsidRPr="0074735C">
        <w:t xml:space="preserve"> </w:t>
      </w:r>
      <w:bookmarkStart w:id="29" w:name="Buk_17"/>
      <w:r w:rsidRPr="009A5806">
        <w:t xml:space="preserve">T. P. </w:t>
      </w:r>
      <w:bookmarkEnd w:id="29"/>
      <w:r w:rsidR="0074735C" w:rsidRPr="0074735C">
        <w:t>vadovaujam</w:t>
      </w:r>
      <w:r w:rsidR="0074735C">
        <w:t>a</w:t>
      </w:r>
      <w:r w:rsidR="00590B0A">
        <w:t xml:space="preserve"> </w:t>
      </w:r>
      <w:r w:rsidR="0074735C" w:rsidRPr="0074735C">
        <w:t>UAB „</w:t>
      </w:r>
      <w:proofErr w:type="spellStart"/>
      <w:r w:rsidR="0074735C" w:rsidRPr="0074735C">
        <w:t>Olympic</w:t>
      </w:r>
      <w:proofErr w:type="spellEnd"/>
      <w:r w:rsidR="0074735C" w:rsidRPr="0074735C">
        <w:t xml:space="preserve"> </w:t>
      </w:r>
      <w:proofErr w:type="spellStart"/>
      <w:r w:rsidR="0074735C" w:rsidRPr="0074735C">
        <w:t>Casino</w:t>
      </w:r>
      <w:proofErr w:type="spellEnd"/>
      <w:r w:rsidR="0074735C" w:rsidRPr="0074735C">
        <w:t xml:space="preserve"> Group Baltija“ </w:t>
      </w:r>
      <w:r w:rsidR="0074735C">
        <w:t xml:space="preserve">paskelbė </w:t>
      </w:r>
      <w:r w:rsidR="001B6886">
        <w:t xml:space="preserve">draudžiamą </w:t>
      </w:r>
      <w:r w:rsidR="0074735C" w:rsidRPr="0074735C">
        <w:t>prekių ženklo „</w:t>
      </w:r>
      <w:proofErr w:type="spellStart"/>
      <w:r w:rsidR="0074735C" w:rsidRPr="0074735C">
        <w:t>OlyBet</w:t>
      </w:r>
      <w:proofErr w:type="spellEnd"/>
      <w:r w:rsidR="0074735C" w:rsidRPr="0074735C">
        <w:t xml:space="preserve"> POKER“ reklam</w:t>
      </w:r>
      <w:r w:rsidR="0074735C">
        <w:t xml:space="preserve">ą </w:t>
      </w:r>
      <w:r w:rsidR="00DB4678" w:rsidRPr="00DB4678">
        <w:t xml:space="preserve">viešoje erdvėje </w:t>
      </w:r>
      <w:r w:rsidR="0074735C">
        <w:t>(socialiniame tinkle bei tinklalapiuose).</w:t>
      </w:r>
      <w:r w:rsidR="0092710E">
        <w:t xml:space="preserve"> Institucija ir bylą nagrinėję teismai </w:t>
      </w:r>
      <w:r w:rsidR="001B6886">
        <w:t>pripažino</w:t>
      </w:r>
      <w:r w:rsidR="0092710E">
        <w:t>, kad reklamuojamame prekių ženkle nurodomas žodis „POKER“ laikytina</w:t>
      </w:r>
      <w:r w:rsidR="00706D1B">
        <w:t>s</w:t>
      </w:r>
      <w:r w:rsidR="0092710E">
        <w:t xml:space="preserve"> draudžiama papildoma rašytine informacija ALĮ 10</w:t>
      </w:r>
      <w:r>
        <w:t> </w:t>
      </w:r>
      <w:r w:rsidR="0092710E">
        <w:t>straipsnio 9</w:t>
      </w:r>
      <w:r w:rsidR="0092710E" w:rsidRPr="00D73F3D">
        <w:rPr>
          <w:vertAlign w:val="superscript"/>
        </w:rPr>
        <w:t>1</w:t>
      </w:r>
      <w:r w:rsidR="0092710E">
        <w:t xml:space="preserve"> dalies prasme, kadangi tai yra kortų lošimo pavadinimo trumpinys (ALĮ 3</w:t>
      </w:r>
      <w:r>
        <w:t> </w:t>
      </w:r>
      <w:r w:rsidR="0092710E">
        <w:t>straipsnio 3 dalies 2 punktas), o ne bendrovės pavadinimas ar lošimo rūšis. Taip</w:t>
      </w:r>
      <w:r w:rsidR="00EA6953">
        <w:t>,</w:t>
      </w:r>
      <w:r w:rsidR="0092710E">
        <w:t xml:space="preserve"> be prekių ženklo esminio elemento – „</w:t>
      </w:r>
      <w:proofErr w:type="spellStart"/>
      <w:r w:rsidR="0092710E">
        <w:t>OlyBet</w:t>
      </w:r>
      <w:proofErr w:type="spellEnd"/>
      <w:r w:rsidR="0092710E">
        <w:t xml:space="preserve">“, pagal kurį galima atskirti bendrovės paslaugas nuo kitų lošimų organizatorių paslaugų, </w:t>
      </w:r>
      <w:r w:rsidR="001B6886">
        <w:t>buvo</w:t>
      </w:r>
      <w:r w:rsidR="0092710E">
        <w:t xml:space="preserve"> pateikiama draudžiama papildoma rašytinė informacija.</w:t>
      </w:r>
      <w:r w:rsidR="002F224C">
        <w:t xml:space="preserve"> </w:t>
      </w:r>
      <w:r w:rsidR="002F224C" w:rsidRPr="002F224C">
        <w:t xml:space="preserve">Teisėjų kolegija, neperžengdama savo kompetencijos ribų, neturi pagrindo kitaip vertinti bylos </w:t>
      </w:r>
      <w:r w:rsidR="007F6945" w:rsidRPr="002F224C">
        <w:t>aplinkyb</w:t>
      </w:r>
      <w:r w:rsidR="007F6945">
        <w:t>es</w:t>
      </w:r>
      <w:r w:rsidR="007F6945" w:rsidRPr="002F224C">
        <w:t xml:space="preserve"> </w:t>
      </w:r>
      <w:r w:rsidR="002F224C" w:rsidRPr="002F224C">
        <w:t>ir daryti priešing</w:t>
      </w:r>
      <w:r w:rsidR="00EA6953">
        <w:t>as</w:t>
      </w:r>
      <w:r w:rsidR="002F224C" w:rsidRPr="002F224C">
        <w:t xml:space="preserve"> </w:t>
      </w:r>
      <w:r w:rsidR="00EA6953" w:rsidRPr="002F224C">
        <w:t>išvad</w:t>
      </w:r>
      <w:r w:rsidR="00EA6953">
        <w:t>as</w:t>
      </w:r>
      <w:r w:rsidR="002F224C" w:rsidRPr="002F224C">
        <w:t>.</w:t>
      </w:r>
    </w:p>
    <w:p w14:paraId="04BC88A6" w14:textId="460DD6F1" w:rsidR="0010319E" w:rsidRDefault="00706D1B" w:rsidP="0010319E">
      <w:pPr>
        <w:pStyle w:val="Sraopastraipa"/>
        <w:numPr>
          <w:ilvl w:val="0"/>
          <w:numId w:val="11"/>
        </w:numPr>
        <w:spacing w:after="120"/>
        <w:ind w:left="357" w:hanging="357"/>
        <w:contextualSpacing w:val="0"/>
        <w:jc w:val="both"/>
      </w:pPr>
      <w:r w:rsidRPr="00706D1B">
        <w:t xml:space="preserve">ANK </w:t>
      </w:r>
      <w:r>
        <w:t xml:space="preserve">134 </w:t>
      </w:r>
      <w:r w:rsidRPr="00706D1B">
        <w:t xml:space="preserve">straipsnio </w:t>
      </w:r>
      <w:r>
        <w:t>8</w:t>
      </w:r>
      <w:r w:rsidRPr="00706D1B">
        <w:t xml:space="preserve"> dalyje yra nustatyta administracinė atsakomybė už </w:t>
      </w:r>
      <w:r>
        <w:t xml:space="preserve">azartinių lošimų organizavimo tvarkos arba lošimo reglamento pažeidimą. </w:t>
      </w:r>
      <w:r w:rsidRPr="00706D1B">
        <w:t>Tai blanketinė teisės norma, kurios esminiai turinio elementai yra išdėstyti kit</w:t>
      </w:r>
      <w:r w:rsidR="00590B0A">
        <w:t>ame</w:t>
      </w:r>
      <w:r w:rsidRPr="00706D1B">
        <w:t xml:space="preserve"> teisės akte, reglamentuojanči</w:t>
      </w:r>
      <w:r w:rsidR="00590B0A">
        <w:t>ame</w:t>
      </w:r>
      <w:r w:rsidRPr="00706D1B">
        <w:t xml:space="preserve"> </w:t>
      </w:r>
      <w:r w:rsidR="0010319E" w:rsidRPr="0010319E">
        <w:t>azartinių lošimų organizavimo sąlygas ir tvarką.</w:t>
      </w:r>
    </w:p>
    <w:p w14:paraId="1591EB76" w14:textId="2FAC3149" w:rsidR="00C5365C" w:rsidRDefault="0010319E" w:rsidP="004D04CF">
      <w:pPr>
        <w:pStyle w:val="Sraopastraipa"/>
        <w:numPr>
          <w:ilvl w:val="0"/>
          <w:numId w:val="11"/>
        </w:numPr>
        <w:spacing w:after="120"/>
        <w:ind w:left="357" w:hanging="357"/>
        <w:contextualSpacing w:val="0"/>
        <w:jc w:val="both"/>
      </w:pPr>
      <w:r w:rsidRPr="0010319E">
        <w:t xml:space="preserve">Pareiškėjas prašyme nepagrįstai </w:t>
      </w:r>
      <w:r w:rsidR="004532FA">
        <w:t>remiasi</w:t>
      </w:r>
      <w:r>
        <w:t xml:space="preserve"> </w:t>
      </w:r>
      <w:r w:rsidRPr="0010319E">
        <w:t>Prekių ženklų įstatym</w:t>
      </w:r>
      <w:r>
        <w:t>e įtvirtin</w:t>
      </w:r>
      <w:r w:rsidR="00821F2B">
        <w:t>t</w:t>
      </w:r>
      <w:r>
        <w:t xml:space="preserve">u reguliavimu, kadangi </w:t>
      </w:r>
      <w:r w:rsidR="00C26DFA">
        <w:t xml:space="preserve">šiuo įstatymu siekiama </w:t>
      </w:r>
      <w:r w:rsidR="00B94A1B" w:rsidRPr="00B94A1B">
        <w:t>užtikrinti prekių ženklų teisinę apsaugą Lietuvos Respublikoje</w:t>
      </w:r>
      <w:r w:rsidR="00C26DFA">
        <w:t>,</w:t>
      </w:r>
      <w:r w:rsidR="00B94A1B">
        <w:t xml:space="preserve"> </w:t>
      </w:r>
      <w:r w:rsidR="00C26DFA">
        <w:t xml:space="preserve">jis </w:t>
      </w:r>
      <w:r w:rsidR="00B94A1B" w:rsidRPr="00B94A1B">
        <w:t xml:space="preserve">reglamentuoja </w:t>
      </w:r>
      <w:r w:rsidR="00B94A1B">
        <w:t xml:space="preserve">tik </w:t>
      </w:r>
      <w:r w:rsidR="00B94A1B" w:rsidRPr="00B94A1B">
        <w:t>prekių ženklų registravimą</w:t>
      </w:r>
      <w:r w:rsidR="00590B0A">
        <w:t xml:space="preserve"> ir</w:t>
      </w:r>
      <w:r w:rsidR="00B94A1B" w:rsidRPr="00B94A1B">
        <w:t xml:space="preserve"> nustato ženklų savininkų teises </w:t>
      </w:r>
      <w:r w:rsidR="00EF053F">
        <w:t>bei</w:t>
      </w:r>
      <w:r w:rsidR="00B94A1B" w:rsidRPr="00B94A1B">
        <w:t xml:space="preserve"> jų gynimą</w:t>
      </w:r>
      <w:r w:rsidR="00B94A1B">
        <w:t xml:space="preserve"> (</w:t>
      </w:r>
      <w:r w:rsidR="00B94A1B" w:rsidRPr="0010319E">
        <w:t>Prekių ženklų įstatym</w:t>
      </w:r>
      <w:r w:rsidR="00B94A1B">
        <w:t>o 1 straipsnio 1–2 dalys, 14 straipsnis)</w:t>
      </w:r>
      <w:r w:rsidR="004532FA">
        <w:t>.</w:t>
      </w:r>
      <w:r w:rsidR="00EF5C85">
        <w:t xml:space="preserve"> Taigi, kaip pagrįstai nustatė bylą nagrinėję teismai, aptaria</w:t>
      </w:r>
      <w:r w:rsidR="00C26DFA">
        <w:t>ma</w:t>
      </w:r>
      <w:r w:rsidR="00EF5C85">
        <w:t>me įstatyme nėra reg</w:t>
      </w:r>
      <w:r w:rsidR="004D04CF">
        <w:t>lamentuojamas</w:t>
      </w:r>
      <w:r w:rsidR="00EF053F">
        <w:t xml:space="preserve"> </w:t>
      </w:r>
      <w:r w:rsidR="004D04CF">
        <w:t xml:space="preserve">registruotų prekių ženklų panaudojimas, be kita ko, specifinėse srityse taikomi reikalavimai ar ribojimai jų panaudojimui. </w:t>
      </w:r>
    </w:p>
    <w:p w14:paraId="7E6EBA02" w14:textId="101D7037" w:rsidR="00B8178F" w:rsidRDefault="004D04CF" w:rsidP="00C5365C">
      <w:pPr>
        <w:pStyle w:val="Sraopastraipa"/>
        <w:numPr>
          <w:ilvl w:val="0"/>
          <w:numId w:val="11"/>
        </w:numPr>
        <w:spacing w:after="120"/>
        <w:ind w:left="357" w:hanging="357"/>
        <w:contextualSpacing w:val="0"/>
        <w:jc w:val="both"/>
      </w:pPr>
      <w:r>
        <w:t>A</w:t>
      </w:r>
      <w:r w:rsidR="00575B07" w:rsidRPr="00575B07">
        <w:t>zartinių lošimų ir žaidimų automatais organizavimo sąlygas ir tvarką Lietuvos Respublikoje</w:t>
      </w:r>
      <w:r w:rsidR="00575B07">
        <w:t xml:space="preserve"> nustato </w:t>
      </w:r>
      <w:r w:rsidR="00C26DFA">
        <w:t>A</w:t>
      </w:r>
      <w:r w:rsidR="00575B07" w:rsidRPr="00575B07">
        <w:t>zartinių lošimų įstatymas</w:t>
      </w:r>
      <w:r w:rsidR="00575B07">
        <w:t xml:space="preserve"> (ALĮ 1 straipsnis (</w:t>
      </w:r>
      <w:r w:rsidR="00575B07" w:rsidRPr="00575B07">
        <w:t>2023 m. birželio 29</w:t>
      </w:r>
      <w:r w:rsidR="00EF053F">
        <w:t> </w:t>
      </w:r>
      <w:r w:rsidR="00575B07" w:rsidRPr="00575B07">
        <w:t xml:space="preserve">d. </w:t>
      </w:r>
      <w:r w:rsidR="00575B07">
        <w:t xml:space="preserve">įstatymo </w:t>
      </w:r>
      <w:r w:rsidR="00575B07" w:rsidRPr="00575B07">
        <w:t>Nr. XIV-2142</w:t>
      </w:r>
      <w:r w:rsidR="00575B07">
        <w:t xml:space="preserve"> redakcija, galiojusi </w:t>
      </w:r>
      <w:r>
        <w:t>veikos padarymo metu</w:t>
      </w:r>
      <w:r w:rsidR="00EF5C85">
        <w:t>)</w:t>
      </w:r>
      <w:r>
        <w:t>)</w:t>
      </w:r>
      <w:r w:rsidR="00EF5C85">
        <w:t>.</w:t>
      </w:r>
      <w:r w:rsidR="00C5365C">
        <w:t xml:space="preserve"> </w:t>
      </w:r>
      <w:r w:rsidR="00016174">
        <w:t xml:space="preserve">ALĮ </w:t>
      </w:r>
      <w:r w:rsidR="00016174" w:rsidRPr="00016174">
        <w:t>10 straipsni</w:t>
      </w:r>
      <w:r w:rsidR="00016174">
        <w:t>o 9 dalyje, reglamentuojančioje l</w:t>
      </w:r>
      <w:r w:rsidR="00016174" w:rsidRPr="00016174">
        <w:t>ošimų organizavimo draudim</w:t>
      </w:r>
      <w:r w:rsidR="00016174">
        <w:t>us</w:t>
      </w:r>
      <w:r w:rsidR="00016174" w:rsidRPr="00016174">
        <w:t xml:space="preserve"> ir apribojim</w:t>
      </w:r>
      <w:r w:rsidR="00016174">
        <w:t xml:space="preserve">us, nustatyta, kad </w:t>
      </w:r>
      <w:r w:rsidR="00016174" w:rsidRPr="00016174">
        <w:t>Lietuvos Respublikos teritorijoje draudžiama reklamuoti azartinius lošimus, išskyrus azartinius lošimus organizuojančių bendrovių pavadinimus, prekių ženklus ir organizuojamų lošimų rūšis.</w:t>
      </w:r>
      <w:r w:rsidR="006B5BF9">
        <w:t xml:space="preserve"> </w:t>
      </w:r>
      <w:r w:rsidR="00B8178F">
        <w:t>S</w:t>
      </w:r>
      <w:r w:rsidR="00016174">
        <w:t>kelbiant šio straipsnio 9 dalyje nurodytą reklamą</w:t>
      </w:r>
      <w:r w:rsidR="006B5BF9">
        <w:t>,</w:t>
      </w:r>
      <w:r w:rsidR="00016174">
        <w:t xml:space="preserve"> draudžiama nurodyti bet kokią papildomą rašytinę, vaizdinę ar garsinę informaciją</w:t>
      </w:r>
      <w:r w:rsidR="006B5BF9">
        <w:t xml:space="preserve"> (</w:t>
      </w:r>
      <w:r w:rsidR="00B8178F">
        <w:t>ALĮ</w:t>
      </w:r>
      <w:r w:rsidR="006B5BF9">
        <w:t xml:space="preserve"> </w:t>
      </w:r>
      <w:r w:rsidR="00410119">
        <w:t xml:space="preserve">10 straipsnio </w:t>
      </w:r>
      <w:r w:rsidR="006B5BF9" w:rsidRPr="006B5BF9">
        <w:t>9</w:t>
      </w:r>
      <w:r w:rsidR="006B5BF9" w:rsidRPr="00C5365C">
        <w:rPr>
          <w:vertAlign w:val="superscript"/>
        </w:rPr>
        <w:t>1</w:t>
      </w:r>
      <w:r w:rsidR="00410119">
        <w:t> </w:t>
      </w:r>
      <w:r w:rsidR="006B5BF9">
        <w:t xml:space="preserve">dalis). Šio įstatymo 10 straipsnio 19 dalyje taip pat įtvirtintas draudimas </w:t>
      </w:r>
      <w:r w:rsidR="00016174" w:rsidRPr="00016174">
        <w:t>Lietuvos Respublikoje</w:t>
      </w:r>
      <w:r w:rsidR="006B5BF9">
        <w:t xml:space="preserve"> </w:t>
      </w:r>
      <w:r w:rsidR="00016174" w:rsidRPr="00016174">
        <w:t>skatinti dalyvauti lošimuose – bet kuria forma ir bet kokiomis priemonėmis skleisti informaciją ar atlikti įtikinėjimo veiksmus, įskaitant paties lošimo organizatoriaus organizuojamus specialius renginius, bandomuosius lošimus, akcijas, nuolaidas, dovanas ir panašaus pobūdžio skatinamąsias priemones, skatinančius dalyvauti lošimuose ar nuotoliniuose lošimuose.</w:t>
      </w:r>
      <w:r w:rsidR="00796207">
        <w:t xml:space="preserve"> Pirmiau aptartos reklamos sąvoka apibrėžiama kaip </w:t>
      </w:r>
      <w:r w:rsidR="00796207" w:rsidRPr="00796207">
        <w:t>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r w:rsidR="00796207">
        <w:t xml:space="preserve"> (</w:t>
      </w:r>
      <w:r w:rsidR="00B8178F" w:rsidRPr="00B8178F">
        <w:t>Lietuvos Respublikos reklamos įstatymo (</w:t>
      </w:r>
      <w:r w:rsidR="00796207" w:rsidRPr="00796207">
        <w:t>2023 m. birželio</w:t>
      </w:r>
      <w:r w:rsidR="00796207">
        <w:t> </w:t>
      </w:r>
      <w:r w:rsidR="00796207" w:rsidRPr="00796207">
        <w:t>29</w:t>
      </w:r>
      <w:r w:rsidR="00796207">
        <w:t> </w:t>
      </w:r>
      <w:r w:rsidR="00796207" w:rsidRPr="00796207">
        <w:t xml:space="preserve">d. </w:t>
      </w:r>
      <w:r w:rsidR="00796207">
        <w:t xml:space="preserve">įstatymo </w:t>
      </w:r>
      <w:r w:rsidR="00796207" w:rsidRPr="00796207">
        <w:t>Nr. XIV-2106</w:t>
      </w:r>
      <w:r w:rsidR="00796207">
        <w:t xml:space="preserve"> </w:t>
      </w:r>
      <w:r w:rsidR="00B8178F" w:rsidRPr="00B8178F">
        <w:t>redakcija) 2</w:t>
      </w:r>
      <w:r w:rsidR="00C5365C">
        <w:t> </w:t>
      </w:r>
      <w:r w:rsidR="00B8178F" w:rsidRPr="00B8178F">
        <w:t>straipsnio 8 dal</w:t>
      </w:r>
      <w:r w:rsidR="00796207">
        <w:t>is)</w:t>
      </w:r>
      <w:r w:rsidR="002F224C">
        <w:t>.</w:t>
      </w:r>
    </w:p>
    <w:p w14:paraId="62A06844" w14:textId="3607288C" w:rsidR="00E578A7" w:rsidRDefault="00754EB3" w:rsidP="00AE7FC2">
      <w:pPr>
        <w:pStyle w:val="Sraopastraipa"/>
        <w:numPr>
          <w:ilvl w:val="0"/>
          <w:numId w:val="11"/>
        </w:numPr>
        <w:spacing w:after="120"/>
        <w:ind w:left="357" w:hanging="357"/>
        <w:contextualSpacing w:val="0"/>
        <w:jc w:val="both"/>
      </w:pPr>
      <w:r>
        <w:lastRenderedPageBreak/>
        <w:t xml:space="preserve">Pabrėžtina, kad teismų praktikoje nuosekliai pripažįstama, jog </w:t>
      </w:r>
      <w:r w:rsidRPr="00754EB3">
        <w:t xml:space="preserve">azartinių lošimų organizavimas yra valstybės reglamentuojama sritis, t. y. viešosios teisės sritis, kurioje dominuoja imperatyvusis teisinio reguliavimo metodas, pagal kurį visa, ko nenumato teisės normos, draudžiama. Azartiniai lošimai yra specifinių santykių rūšis, šių santykių veiksmingas teisinis reguliavimas yra viena pagrindinių priemonių visuomenės ir valstybės </w:t>
      </w:r>
      <w:r w:rsidR="00C26DFA" w:rsidRPr="00754EB3">
        <w:t>interes</w:t>
      </w:r>
      <w:r w:rsidR="00C26DFA">
        <w:t>am</w:t>
      </w:r>
      <w:r w:rsidR="00C26DFA" w:rsidRPr="00754EB3">
        <w:t>s</w:t>
      </w:r>
      <w:r w:rsidR="00C26DFA" w:rsidRPr="00C26DFA">
        <w:t xml:space="preserve"> </w:t>
      </w:r>
      <w:r w:rsidR="00C26DFA" w:rsidRPr="00754EB3">
        <w:t>apsaugoti</w:t>
      </w:r>
      <w:r w:rsidRPr="00754EB3">
        <w:t>, todėl azartinių lošimų organizavimą reglamentuojančiose teisės normose vyrauja privalomojo pobūdžio nuostatos, kurių esmė yra ta, kad lošimų organizatorių veikla griežtai reglamentuota, jų teisės ir pareigos aiškiai apibrėžtos, o veiklos pasirinkimo laisvės paprastai nėra. Kartu</w:t>
      </w:r>
      <w:r w:rsidR="00EF053F">
        <w:t xml:space="preserve"> teismų praktikoje</w:t>
      </w:r>
      <w:r w:rsidRPr="00754EB3">
        <w:t xml:space="preserve"> pabrėžiama</w:t>
      </w:r>
      <w:r w:rsidR="00AE7FC2">
        <w:t xml:space="preserve">s ir </w:t>
      </w:r>
      <w:r w:rsidRPr="00754EB3">
        <w:t>plečiamojo viešosios teisės normų aiškinimo ribojimas (Lietuvos Aukščiausiojo Teismo 2017 m. vasario 7 d. nutartis administracinio nusižengimo byloje Nr. 2AT-9-677/2017, 9 punktas).</w:t>
      </w:r>
      <w:r>
        <w:t xml:space="preserve"> </w:t>
      </w:r>
      <w:r w:rsidR="00E578A7" w:rsidRPr="00E578A7">
        <w:t xml:space="preserve">Aiškinant </w:t>
      </w:r>
      <w:r w:rsidR="00E578A7">
        <w:t>pirmiau aptart</w:t>
      </w:r>
      <w:r>
        <w:t>ą</w:t>
      </w:r>
      <w:r w:rsidR="00E578A7">
        <w:t xml:space="preserve"> azartinių lošimų reklamos </w:t>
      </w:r>
      <w:r w:rsidR="00E578A7" w:rsidRPr="00E578A7">
        <w:t>teisinį reguliavimą</w:t>
      </w:r>
      <w:r w:rsidR="00EA6953">
        <w:t>,</w:t>
      </w:r>
      <w:r w:rsidR="00E578A7" w:rsidRPr="00E578A7">
        <w:t xml:space="preserve"> teismų praktikoje </w:t>
      </w:r>
      <w:r>
        <w:t>nurodoma</w:t>
      </w:r>
      <w:r w:rsidR="00E578A7" w:rsidRPr="00E578A7">
        <w:t>, kad ALĮ 10</w:t>
      </w:r>
      <w:r w:rsidR="00AE7FC2">
        <w:t> </w:t>
      </w:r>
      <w:r w:rsidR="00E578A7" w:rsidRPr="00E578A7">
        <w:t>straipsnio 9 dalyje nurodytos azartinių lošimų reklamos draudimo išimtys ir šis išimčių sąrašas yra baigtinis, o įstatymo leidžiama skelbti informacija turi būti pateikta tokiu būdu, kad nebūtų skatinama lošti azartinius lošimus</w:t>
      </w:r>
      <w:r w:rsidR="00E578A7">
        <w:t xml:space="preserve">. </w:t>
      </w:r>
      <w:r w:rsidR="00E578A7" w:rsidRPr="00E578A7">
        <w:t>Be to, pripažįstama</w:t>
      </w:r>
      <w:r w:rsidR="00E578A7">
        <w:t xml:space="preserve">, kad </w:t>
      </w:r>
      <w:r w:rsidR="00E578A7" w:rsidRPr="00E578A7">
        <w:t>tik skelbtos informacijos turinio analizė leidžia atsakyti į klausimą, ar skelbiama informacija laikytina įstatymo draudžiama azartinių lošimų reklama, todėl, sprendžiant klausimą, ar informacija laikytina reklama, būtina įvertinti informacijos visumą</w:t>
      </w:r>
      <w:r w:rsidR="003B2D12">
        <w:t>,</w:t>
      </w:r>
      <w:r w:rsidR="003B2D12" w:rsidRPr="003B2D12">
        <w:t xml:space="preserve"> </w:t>
      </w:r>
      <w:r w:rsidR="003B2D12" w:rsidRPr="00F63B5E">
        <w:t>o ne vertinti ją izoliuotai</w:t>
      </w:r>
      <w:r>
        <w:t xml:space="preserve"> </w:t>
      </w:r>
      <w:r w:rsidR="00E578A7" w:rsidRPr="00E578A7">
        <w:t>(pvz.,</w:t>
      </w:r>
      <w:r w:rsidR="00E578A7">
        <w:t xml:space="preserve"> </w:t>
      </w:r>
      <w:r w:rsidR="00E578A7" w:rsidRPr="00E578A7">
        <w:t>Lietuvos Aukščiausiojo Teismo 2017 m. birželio 16 d. nutartis administracinio nusižengimo byloje Nr.</w:t>
      </w:r>
      <w:r w:rsidR="00C26DFA">
        <w:t> </w:t>
      </w:r>
      <w:r w:rsidR="00E578A7" w:rsidRPr="00E578A7">
        <w:t>2AT-35-788/2017</w:t>
      </w:r>
      <w:r w:rsidR="00E578A7">
        <w:t>, 13</w:t>
      </w:r>
      <w:r w:rsidR="00410119">
        <w:t> </w:t>
      </w:r>
      <w:r w:rsidR="00E578A7">
        <w:t>punktas).</w:t>
      </w:r>
    </w:p>
    <w:p w14:paraId="70212015" w14:textId="6E47FF93" w:rsidR="005F7374" w:rsidRDefault="00983042" w:rsidP="001818CC">
      <w:pPr>
        <w:pStyle w:val="Sraopastraipa"/>
        <w:numPr>
          <w:ilvl w:val="0"/>
          <w:numId w:val="11"/>
        </w:numPr>
        <w:spacing w:after="120"/>
        <w:ind w:left="357" w:hanging="357"/>
        <w:contextualSpacing w:val="0"/>
        <w:jc w:val="both"/>
      </w:pPr>
      <w:r w:rsidRPr="00983042">
        <w:t xml:space="preserve">Pagal </w:t>
      </w:r>
      <w:r>
        <w:t>pirmiau aptartą</w:t>
      </w:r>
      <w:r w:rsidRPr="00983042">
        <w:t xml:space="preserve"> teisinį reglamentavimą</w:t>
      </w:r>
      <w:r>
        <w:t xml:space="preserve">, tiek šiuo metu galiojantis, tiek veikos padarymo metu galiojęs ALĮ tiesiogiai </w:t>
      </w:r>
      <w:r w:rsidR="00C628BE">
        <w:t>įtvirtino</w:t>
      </w:r>
      <w:r w:rsidR="00C628BE" w:rsidRPr="00C628BE">
        <w:t xml:space="preserve"> </w:t>
      </w:r>
      <w:r w:rsidR="00C628BE">
        <w:t xml:space="preserve">draudimą, </w:t>
      </w:r>
      <w:r w:rsidR="00C628BE" w:rsidRPr="00C628BE">
        <w:t>naudojant reklamą, skatinti asmenis naudotis azartinių lošimų paslauga.</w:t>
      </w:r>
      <w:r w:rsidR="005F7374">
        <w:t xml:space="preserve"> </w:t>
      </w:r>
      <w:r>
        <w:t>Todėl</w:t>
      </w:r>
      <w:r w:rsidR="005F7374">
        <w:t>,</w:t>
      </w:r>
      <w:r>
        <w:t xml:space="preserve"> nors įstatymas ir </w:t>
      </w:r>
      <w:r w:rsidR="00716C0C">
        <w:t xml:space="preserve">nenustatė </w:t>
      </w:r>
      <w:r>
        <w:t xml:space="preserve">absoliutaus draudimo reklamuoti </w:t>
      </w:r>
      <w:r w:rsidR="001818CC">
        <w:t xml:space="preserve">tam tikrą su </w:t>
      </w:r>
      <w:r>
        <w:t>azartini</w:t>
      </w:r>
      <w:r w:rsidR="001818CC">
        <w:t>ais</w:t>
      </w:r>
      <w:r>
        <w:t xml:space="preserve"> lošim</w:t>
      </w:r>
      <w:r w:rsidR="001818CC">
        <w:t>ais susijusią informaciją</w:t>
      </w:r>
      <w:r>
        <w:t xml:space="preserve">, </w:t>
      </w:r>
      <w:r w:rsidR="00410119">
        <w:t>numatant</w:t>
      </w:r>
      <w:r>
        <w:t xml:space="preserve"> išimt</w:t>
      </w:r>
      <w:r w:rsidR="00410119">
        <w:t>i</w:t>
      </w:r>
      <w:r>
        <w:t xml:space="preserve">s, </w:t>
      </w:r>
      <w:r w:rsidR="00035324">
        <w:t>prekės ženklas</w:t>
      </w:r>
      <w:r w:rsidR="00C628BE" w:rsidRPr="00C628BE">
        <w:t xml:space="preserve">, vadovaujantis </w:t>
      </w:r>
      <w:r w:rsidR="005F7374">
        <w:t>ALĮ</w:t>
      </w:r>
      <w:r w:rsidR="00C628BE" w:rsidRPr="00C628BE">
        <w:t xml:space="preserve"> 10</w:t>
      </w:r>
      <w:r w:rsidR="005F7374">
        <w:t> </w:t>
      </w:r>
      <w:r w:rsidR="00C628BE" w:rsidRPr="00C628BE">
        <w:t>straipsnio 9 dalies nuostata, taip pat negal</w:t>
      </w:r>
      <w:r w:rsidR="003115C0">
        <w:t>ėjo</w:t>
      </w:r>
      <w:r w:rsidR="00C628BE" w:rsidRPr="00C628BE">
        <w:t xml:space="preserve"> būti naudojama</w:t>
      </w:r>
      <w:r w:rsidR="00035324">
        <w:t>s</w:t>
      </w:r>
      <w:r w:rsidR="00C628BE" w:rsidRPr="00C628BE">
        <w:t xml:space="preserve"> azartinių lošimų reklamos tikslu</w:t>
      </w:r>
      <w:r w:rsidR="00C628BE">
        <w:t>.</w:t>
      </w:r>
      <w:r w:rsidR="00035324">
        <w:t xml:space="preserve"> </w:t>
      </w:r>
      <w:r w:rsidR="00CD74F8">
        <w:t>Todėl</w:t>
      </w:r>
      <w:r w:rsidR="00F63B5E" w:rsidRPr="00F63B5E">
        <w:t xml:space="preserve">, </w:t>
      </w:r>
      <w:r w:rsidR="005F7374">
        <w:t xml:space="preserve">kaip jau buvo minėta, </w:t>
      </w:r>
      <w:r w:rsidR="00F63B5E" w:rsidRPr="00F63B5E">
        <w:t xml:space="preserve">sprendžiant klausimą, ar </w:t>
      </w:r>
      <w:r w:rsidR="00F63B5E">
        <w:t xml:space="preserve">viešai paskelbta </w:t>
      </w:r>
      <w:r w:rsidR="00F63B5E" w:rsidRPr="00F63B5E">
        <w:t>informacija laikytina</w:t>
      </w:r>
      <w:r w:rsidR="00F63B5E">
        <w:t xml:space="preserve"> uždrausta</w:t>
      </w:r>
      <w:r w:rsidR="00F63B5E" w:rsidRPr="00F63B5E">
        <w:t xml:space="preserve"> reklama, būtina įvertinti </w:t>
      </w:r>
      <w:r w:rsidR="005F7374">
        <w:t xml:space="preserve">paskelbtos </w:t>
      </w:r>
      <w:r w:rsidR="00F63B5E" w:rsidRPr="00F63B5E">
        <w:t>informacijos visumą</w:t>
      </w:r>
      <w:r w:rsidR="00F63B5E">
        <w:t xml:space="preserve">. Atitinkamai tik </w:t>
      </w:r>
      <w:r w:rsidR="0032611D">
        <w:t>reklamuoto</w:t>
      </w:r>
      <w:r w:rsidR="00F63B5E">
        <w:t xml:space="preserve"> prekės ženklo</w:t>
      </w:r>
      <w:r w:rsidR="003B2D12">
        <w:t xml:space="preserve"> </w:t>
      </w:r>
      <w:r w:rsidR="00F63B5E">
        <w:t>turinio analizė leidžia atsakyti į klausimą, ar skelbiama informacija laikytina įstatymo draudžiama azartinių lošimų reklama.</w:t>
      </w:r>
    </w:p>
    <w:p w14:paraId="27977459" w14:textId="7A1C8CED" w:rsidR="00035324" w:rsidRDefault="00C628BE" w:rsidP="00622BCE">
      <w:pPr>
        <w:pStyle w:val="Sraopastraipa"/>
        <w:numPr>
          <w:ilvl w:val="0"/>
          <w:numId w:val="11"/>
        </w:numPr>
        <w:spacing w:after="120"/>
        <w:ind w:left="357" w:hanging="357"/>
        <w:contextualSpacing w:val="0"/>
        <w:jc w:val="both"/>
      </w:pPr>
      <w:r w:rsidRPr="00C628BE">
        <w:t xml:space="preserve">Nors </w:t>
      </w:r>
      <w:r>
        <w:t>pareiškėjas pagrįstai nurodo, kad teisės norma</w:t>
      </w:r>
      <w:r w:rsidR="00686C71">
        <w:t xml:space="preserve"> (ALĮ 10 straipsnis)</w:t>
      </w:r>
      <w:r>
        <w:t xml:space="preserve"> tiesiogiai nenustato jokių reikalavimų prekės ženklui, tačiau, aiškinant pirmiau aptart</w:t>
      </w:r>
      <w:r w:rsidR="00C26DFA">
        <w:t>ą</w:t>
      </w:r>
      <w:r>
        <w:t xml:space="preserve"> teisinį reguliavimą, nėra pagrindo apsiriboti vien tik lingvistiniu teisės normos aiškinim</w:t>
      </w:r>
      <w:r w:rsidR="00CD74F8">
        <w:t>u.</w:t>
      </w:r>
      <w:r w:rsidR="00686C71">
        <w:t xml:space="preserve"> </w:t>
      </w:r>
      <w:r w:rsidR="00CD74F8" w:rsidRPr="00CD74F8">
        <w:t xml:space="preserve">Teisės norma neturi būti aiškinama tik pagal gramatinį tekstą, </w:t>
      </w:r>
      <w:r w:rsidR="00716C0C">
        <w:t xml:space="preserve">tuo </w:t>
      </w:r>
      <w:r w:rsidR="002A1323">
        <w:t>apsiriboja pareiškėjas</w:t>
      </w:r>
      <w:r w:rsidR="00C26DFA">
        <w:t>.</w:t>
      </w:r>
      <w:r w:rsidR="002A1323">
        <w:t xml:space="preserve"> </w:t>
      </w:r>
      <w:r w:rsidR="00C26DFA">
        <w:t xml:space="preserve">Šiuo </w:t>
      </w:r>
      <w:r w:rsidR="00686C71">
        <w:t xml:space="preserve">atveju </w:t>
      </w:r>
      <w:r w:rsidR="00CD74F8" w:rsidRPr="00CD74F8">
        <w:t xml:space="preserve">reikia </w:t>
      </w:r>
      <w:r w:rsidR="007E57A8">
        <w:t xml:space="preserve">įvertinti jau </w:t>
      </w:r>
      <w:r w:rsidR="00716C0C">
        <w:t>aptart</w:t>
      </w:r>
      <w:r w:rsidR="00716C0C" w:rsidRPr="00DD106E">
        <w:t>o</w:t>
      </w:r>
      <w:r w:rsidR="00716C0C">
        <w:t xml:space="preserve"> </w:t>
      </w:r>
      <w:r w:rsidR="007E57A8">
        <w:t xml:space="preserve">imperatyvaus teisinio reguliavimo ypatumus, </w:t>
      </w:r>
      <w:r w:rsidR="00CD74F8" w:rsidRPr="00CD74F8">
        <w:t xml:space="preserve">vadovautis ir įstatymo leidėjo tikslais </w:t>
      </w:r>
      <w:r w:rsidR="00686C71">
        <w:t xml:space="preserve">– </w:t>
      </w:r>
      <w:r w:rsidR="005F7374" w:rsidRPr="005F7374">
        <w:t xml:space="preserve">apsaugoti visuomenę nuo žalingo tam tikrų paslaugų poveikio, </w:t>
      </w:r>
      <w:r w:rsidR="00EF053F">
        <w:t>šiuo atveju</w:t>
      </w:r>
      <w:r w:rsidR="00686C71">
        <w:t xml:space="preserve"> galimo </w:t>
      </w:r>
      <w:r w:rsidR="005F7374" w:rsidRPr="005F7374">
        <w:t>priklausomybės nuo azartinių lošimų išsivystymo</w:t>
      </w:r>
      <w:r w:rsidR="007E57A8">
        <w:t>,</w:t>
      </w:r>
      <w:r w:rsidR="005F7374">
        <w:t xml:space="preserve"> </w:t>
      </w:r>
      <w:r w:rsidR="00CD74F8" w:rsidRPr="00CD74F8">
        <w:t xml:space="preserve">bei sisteminiu </w:t>
      </w:r>
      <w:r w:rsidR="005F7374">
        <w:t>teisės akto</w:t>
      </w:r>
      <w:r w:rsidR="00CD74F8" w:rsidRPr="00CD74F8">
        <w:t xml:space="preserve"> suvokimu</w:t>
      </w:r>
      <w:r w:rsidR="00CD74F8">
        <w:t>,</w:t>
      </w:r>
      <w:r w:rsidR="007E57A8">
        <w:t xml:space="preserve"> </w:t>
      </w:r>
      <w:r w:rsidR="00410119">
        <w:t xml:space="preserve">kuris </w:t>
      </w:r>
      <w:r w:rsidR="007E57A8">
        <w:t>nagrinėjamu atveju</w:t>
      </w:r>
      <w:r w:rsidR="005F7374">
        <w:t xml:space="preserve"> </w:t>
      </w:r>
      <w:r w:rsidR="00410119">
        <w:t>įtvirtina aiškų ribojimą</w:t>
      </w:r>
      <w:r w:rsidR="00686C71">
        <w:t>,</w:t>
      </w:r>
      <w:r w:rsidR="005F7374">
        <w:t xml:space="preserve"> </w:t>
      </w:r>
      <w:r w:rsidR="005F7374" w:rsidRPr="005F7374">
        <w:t>naudojant reklamą, skatinti asmenis naudotis azartinių lošimų paslauga</w:t>
      </w:r>
      <w:r w:rsidR="005F7374">
        <w:t>.</w:t>
      </w:r>
      <w:r w:rsidR="00622BCE">
        <w:t xml:space="preserve"> </w:t>
      </w:r>
      <w:r w:rsidR="005F7374">
        <w:t>T</w:t>
      </w:r>
      <w:r w:rsidR="00CD74F8">
        <w:t>aip užtikrina</w:t>
      </w:r>
      <w:r w:rsidR="00622BCE">
        <w:t>ma</w:t>
      </w:r>
      <w:r w:rsidR="00CD74F8">
        <w:t>, kad</w:t>
      </w:r>
      <w:r w:rsidR="00686C71">
        <w:t>, naudojantis</w:t>
      </w:r>
      <w:r w:rsidR="007E57A8">
        <w:t xml:space="preserve"> įstatyme</w:t>
      </w:r>
      <w:r w:rsidR="00686C71">
        <w:t xml:space="preserve"> </w:t>
      </w:r>
      <w:r w:rsidR="007F6945">
        <w:t>įtvirtintomis</w:t>
      </w:r>
      <w:r w:rsidR="00C26DFA">
        <w:t xml:space="preserve"> </w:t>
      </w:r>
      <w:r w:rsidR="00686C71">
        <w:t xml:space="preserve">išimtimis, t. y. leidžiant prekės ženklo </w:t>
      </w:r>
      <w:r w:rsidR="00035324">
        <w:t xml:space="preserve">tik </w:t>
      </w:r>
      <w:r w:rsidR="00686C71">
        <w:t xml:space="preserve">kaip </w:t>
      </w:r>
      <w:r w:rsidR="00686C71" w:rsidRPr="00686C71">
        <w:t>žymens</w:t>
      </w:r>
      <w:r w:rsidR="002818DB">
        <w:t>,</w:t>
      </w:r>
      <w:r w:rsidR="00686C71" w:rsidRPr="00686C71">
        <w:t xml:space="preserve"> </w:t>
      </w:r>
      <w:r w:rsidR="00686C71">
        <w:t xml:space="preserve">leidžiančio atskirti </w:t>
      </w:r>
      <w:r w:rsidR="00686C71" w:rsidRPr="00686C71">
        <w:t>vienos įmonės prekes arba paslaugas nuo kitų įmonių prekių arba paslaugų</w:t>
      </w:r>
      <w:r w:rsidR="00686C71">
        <w:t xml:space="preserve">, </w:t>
      </w:r>
      <w:r w:rsidR="007E57A8">
        <w:t xml:space="preserve">reklamą, </w:t>
      </w:r>
      <w:r w:rsidR="00CD74F8">
        <w:t xml:space="preserve">nebūtų sudarytos prielaidos piktnaudžiauti suteiktomis teisėmis, </w:t>
      </w:r>
      <w:r w:rsidR="00035324">
        <w:t xml:space="preserve">pavyzdžiui, </w:t>
      </w:r>
      <w:r w:rsidR="00686C71">
        <w:t>prek</w:t>
      </w:r>
      <w:r w:rsidR="002818DB">
        <w:t>ė</w:t>
      </w:r>
      <w:r w:rsidR="00686C71">
        <w:t xml:space="preserve">s ženkle įtvirtinant </w:t>
      </w:r>
      <w:r w:rsidR="00622BCE">
        <w:t xml:space="preserve">papildomus </w:t>
      </w:r>
      <w:r w:rsidR="00686C71">
        <w:t xml:space="preserve">elementus, kurie </w:t>
      </w:r>
      <w:r w:rsidR="00622BCE">
        <w:t xml:space="preserve">savaime net ir </w:t>
      </w:r>
      <w:r w:rsidR="00686C71">
        <w:t xml:space="preserve">negalėtų būti registruojami kaip savarankiški elementai, tačiau </w:t>
      </w:r>
      <w:r w:rsidR="003115C0">
        <w:t>tiesiogiai ar slapta skatin</w:t>
      </w:r>
      <w:r w:rsidR="00035324">
        <w:t>tų</w:t>
      </w:r>
      <w:r w:rsidR="003115C0">
        <w:t xml:space="preserve"> </w:t>
      </w:r>
      <w:r w:rsidR="00035324" w:rsidRPr="003115C0">
        <w:t>atkreipti dėmesį ir sudomint</w:t>
      </w:r>
      <w:r w:rsidR="00035324">
        <w:t xml:space="preserve">ų </w:t>
      </w:r>
      <w:r w:rsidR="003115C0">
        <w:t>naudotis azartinių lošimų paslaugomis</w:t>
      </w:r>
      <w:r w:rsidR="003115C0" w:rsidRPr="003115C0">
        <w:t>.</w:t>
      </w:r>
      <w:r w:rsidR="00035324">
        <w:t xml:space="preserve"> Tokio pobūdžio informacija </w:t>
      </w:r>
      <w:r w:rsidR="00035324" w:rsidRPr="00035324">
        <w:t>laikytina įstatymo draudžiama azartinių lošimų reklama.</w:t>
      </w:r>
    </w:p>
    <w:p w14:paraId="6AD17B2C" w14:textId="258EC0F2" w:rsidR="00000B5E" w:rsidRDefault="007E57A8" w:rsidP="00E0241A">
      <w:pPr>
        <w:pStyle w:val="Sraopastraipa"/>
        <w:numPr>
          <w:ilvl w:val="0"/>
          <w:numId w:val="11"/>
        </w:numPr>
        <w:spacing w:after="120"/>
        <w:ind w:left="357" w:hanging="357"/>
        <w:contextualSpacing w:val="0"/>
        <w:jc w:val="both"/>
      </w:pPr>
      <w:r w:rsidRPr="007E57A8">
        <w:t xml:space="preserve">Byloje </w:t>
      </w:r>
      <w:r>
        <w:t>nustatyta, ka</w:t>
      </w:r>
      <w:r w:rsidR="005F4618">
        <w:t xml:space="preserve">d </w:t>
      </w:r>
      <w:r w:rsidR="00F25D1E">
        <w:t>viešoje erdvėje buvo skelbiama</w:t>
      </w:r>
      <w:r w:rsidR="006F21FD">
        <w:t>s</w:t>
      </w:r>
      <w:r w:rsidR="00F25D1E">
        <w:t xml:space="preserve"> </w:t>
      </w:r>
      <w:r w:rsidR="005F4618" w:rsidRPr="005F4618">
        <w:t>lošimo organizatoriaus prekių ženkl</w:t>
      </w:r>
      <w:r w:rsidR="00F25D1E">
        <w:t>as, kuriame buvo ne tik b</w:t>
      </w:r>
      <w:r w:rsidR="00F25D1E" w:rsidRPr="00F25D1E">
        <w:t xml:space="preserve">endrovės valdomo prekių ženklo </w:t>
      </w:r>
      <w:r w:rsidR="00F25D1E">
        <w:t>esminis</w:t>
      </w:r>
      <w:r w:rsidR="00F25D1E" w:rsidRPr="00F25D1E">
        <w:t xml:space="preserve"> element</w:t>
      </w:r>
      <w:r w:rsidR="00F25D1E">
        <w:t xml:space="preserve">as – </w:t>
      </w:r>
      <w:r w:rsidR="00F25D1E" w:rsidRPr="00F25D1E">
        <w:t>„</w:t>
      </w:r>
      <w:proofErr w:type="spellStart"/>
      <w:r w:rsidR="00F25D1E" w:rsidRPr="00F25D1E">
        <w:t>OlyBet</w:t>
      </w:r>
      <w:proofErr w:type="spellEnd"/>
      <w:r w:rsidR="00F25D1E" w:rsidRPr="00F25D1E">
        <w:t xml:space="preserve">“, pagal kurį galima atskirti </w:t>
      </w:r>
      <w:r w:rsidR="00F25D1E">
        <w:t>b</w:t>
      </w:r>
      <w:r w:rsidR="00F25D1E" w:rsidRPr="00F25D1E">
        <w:t>endrovės paslaugas nuo kitų lošimų organizatorių paslaugų</w:t>
      </w:r>
      <w:r w:rsidR="00F25D1E">
        <w:t xml:space="preserve">, bet ir savarankiškas elementas </w:t>
      </w:r>
      <w:r w:rsidR="005F4618" w:rsidRPr="005F4618">
        <w:t>– kortų lošimų pavadinim</w:t>
      </w:r>
      <w:r w:rsidR="00F25D1E">
        <w:t>o</w:t>
      </w:r>
      <w:r w:rsidR="005F4618" w:rsidRPr="005F4618">
        <w:t xml:space="preserve"> trumpin</w:t>
      </w:r>
      <w:r w:rsidR="00F25D1E">
        <w:t>ys</w:t>
      </w:r>
      <w:r w:rsidR="00F25D1E" w:rsidRPr="00F25D1E">
        <w:t xml:space="preserve"> „POKER“</w:t>
      </w:r>
      <w:r w:rsidR="00AF6B00">
        <w:t xml:space="preserve"> </w:t>
      </w:r>
      <w:r w:rsidR="00AF6B00" w:rsidRPr="00AF6B00">
        <w:t>(ALĮ 3 straipsnio 3 dalies 2 punktas)</w:t>
      </w:r>
      <w:r w:rsidR="00CA7EAE">
        <w:t>. Kaip minėta pirmiau, ALĮ įtvirtintas draudimas reklamuoti azartinius lošimus nustat</w:t>
      </w:r>
      <w:r w:rsidR="00622BCE">
        <w:t>o</w:t>
      </w:r>
      <w:r w:rsidR="00CA7EAE">
        <w:t xml:space="preserve"> išimtį tik organizuojamų lošimų rūšims. Šiuo atveju prekės ženklo elementas</w:t>
      </w:r>
      <w:r w:rsidR="00E0241A">
        <w:t xml:space="preserve"> –</w:t>
      </w:r>
      <w:r w:rsidR="00CA7EAE">
        <w:t xml:space="preserve"> žodis „POKER“ </w:t>
      </w:r>
      <w:r w:rsidR="00E0241A">
        <w:t xml:space="preserve">– </w:t>
      </w:r>
      <w:r w:rsidR="00CA7EAE">
        <w:t xml:space="preserve">ALĮ prasme </w:t>
      </w:r>
      <w:r w:rsidR="00E0241A">
        <w:t>vertintinas</w:t>
      </w:r>
      <w:r w:rsidR="00CA7EAE">
        <w:t xml:space="preserve"> kaip azartinio kortų lošimo pavadinimo trumpinys ir nepatenka į ALĮ</w:t>
      </w:r>
      <w:r w:rsidR="009C3D39">
        <w:t> </w:t>
      </w:r>
      <w:r w:rsidR="00CA7EAE">
        <w:t>10</w:t>
      </w:r>
      <w:r w:rsidR="00E0241A">
        <w:t> </w:t>
      </w:r>
      <w:r w:rsidR="00CA7EAE">
        <w:t>straipsnio 9 dalyje leidžiamos skelbti informacijos išimčių sąrašą.</w:t>
      </w:r>
      <w:r w:rsidR="006F21FD">
        <w:t xml:space="preserve"> </w:t>
      </w:r>
      <w:r w:rsidR="00783C2C" w:rsidRPr="00783C2C">
        <w:t xml:space="preserve">Teisėjų kolegija </w:t>
      </w:r>
      <w:r w:rsidR="00783C2C" w:rsidRPr="00783C2C">
        <w:lastRenderedPageBreak/>
        <w:t xml:space="preserve">vertina, kad </w:t>
      </w:r>
      <w:r w:rsidR="00783C2C">
        <w:t xml:space="preserve">šia prekės ženklo reklama buvo </w:t>
      </w:r>
      <w:r w:rsidR="00783C2C" w:rsidRPr="00783C2C">
        <w:t xml:space="preserve">siekiama atkreipti visuomenės dėmesį į </w:t>
      </w:r>
      <w:r w:rsidR="00783C2C">
        <w:t xml:space="preserve">konkrečius azartinius lošimus ir netiesiogiai </w:t>
      </w:r>
      <w:r w:rsidR="00783C2C" w:rsidRPr="00783C2C">
        <w:t xml:space="preserve">skatinti vartotojus žaisti </w:t>
      </w:r>
      <w:r w:rsidR="00783C2C">
        <w:t>konkretų kortų azartinį lošimą.</w:t>
      </w:r>
      <w:r w:rsidR="00622BCE">
        <w:t xml:space="preserve"> </w:t>
      </w:r>
      <w:r w:rsidR="00622BCE" w:rsidRPr="00622BCE">
        <w:t>Darytina išvada, kad teismai, aiškindami ANK 134 straipsnio 8 dalies sudėties požymius, kurių turinio elementai įtvirtinti ALĮ 10 straipsnio 9 ir 9</w:t>
      </w:r>
      <w:r w:rsidR="00622BCE" w:rsidRPr="00E0241A">
        <w:rPr>
          <w:vertAlign w:val="superscript"/>
        </w:rPr>
        <w:t>1</w:t>
      </w:r>
      <w:r w:rsidR="00622BCE" w:rsidRPr="00622BCE">
        <w:t xml:space="preserve"> </w:t>
      </w:r>
      <w:r w:rsidR="002818DB">
        <w:t>dalyse</w:t>
      </w:r>
      <w:r w:rsidR="00622BCE" w:rsidRPr="00622BCE">
        <w:t>, kaip įtvirtinančius draudimą skelbti kortų lošimų pavadinim</w:t>
      </w:r>
      <w:r w:rsidR="003B540B">
        <w:t>us ir jų</w:t>
      </w:r>
      <w:r w:rsidR="00622BCE" w:rsidRPr="00622BCE">
        <w:t xml:space="preserve"> trumpinius, ją aiškino tiksliai pagal prasmę, o ne </w:t>
      </w:r>
      <w:r w:rsidR="002818DB">
        <w:t xml:space="preserve">pernelyg </w:t>
      </w:r>
      <w:r w:rsidR="002818DB" w:rsidRPr="00622BCE">
        <w:t>pl</w:t>
      </w:r>
      <w:r w:rsidR="002818DB">
        <w:t>ačiai</w:t>
      </w:r>
      <w:r w:rsidR="00622BCE" w:rsidRPr="00622BCE">
        <w:t>, kaip teigia pareiškėjas.</w:t>
      </w:r>
      <w:r w:rsidR="00000B5E">
        <w:t xml:space="preserve"> Taigi, p</w:t>
      </w:r>
      <w:r w:rsidR="00000B5E" w:rsidRPr="00000B5E">
        <w:t xml:space="preserve">riešingai nei nurodoma prašyme dėl administracinio nusižengimo bylos atnaujinimo, Institucija ir bylą nagrinėję teismai šiuo atveju tinkamai atskleidė </w:t>
      </w:r>
      <w:r w:rsidR="00000B5E" w:rsidRPr="00B61226">
        <w:t>ANK</w:t>
      </w:r>
      <w:r w:rsidR="002818DB">
        <w:t> </w:t>
      </w:r>
      <w:r w:rsidR="00000B5E" w:rsidRPr="00CA7EAE">
        <w:t>134</w:t>
      </w:r>
      <w:r w:rsidR="00426F3A">
        <w:t> </w:t>
      </w:r>
      <w:r w:rsidR="00000B5E" w:rsidRPr="00CA7EAE">
        <w:t>straipsnio 8 dal</w:t>
      </w:r>
      <w:r w:rsidR="00000B5E">
        <w:t xml:space="preserve">ies </w:t>
      </w:r>
      <w:r w:rsidR="00000B5E" w:rsidRPr="00000B5E">
        <w:t>veikos turinį</w:t>
      </w:r>
      <w:r w:rsidR="00000B5E">
        <w:t>.</w:t>
      </w:r>
    </w:p>
    <w:p w14:paraId="311A0FB6" w14:textId="61CE73C0" w:rsidR="00B86CB2" w:rsidRDefault="00000B5E" w:rsidP="00783C2C">
      <w:pPr>
        <w:pStyle w:val="Sraopastraipa"/>
        <w:numPr>
          <w:ilvl w:val="0"/>
          <w:numId w:val="11"/>
        </w:numPr>
        <w:spacing w:after="120"/>
        <w:ind w:left="357" w:hanging="357"/>
        <w:contextualSpacing w:val="0"/>
        <w:jc w:val="both"/>
      </w:pPr>
      <w:r w:rsidRPr="00000B5E">
        <w:t xml:space="preserve">Nors prašyme dėl administracinio nusižengimo bylos atnaujinimo nurodoma, kad </w:t>
      </w:r>
      <w:r w:rsidR="00B86CB2">
        <w:t xml:space="preserve">nagrinėjamoje byloje </w:t>
      </w:r>
      <w:r w:rsidR="00B86CB2" w:rsidRPr="00B86CB2">
        <w:t xml:space="preserve">Institucija ir teismai </w:t>
      </w:r>
      <w:r w:rsidR="00B86CB2">
        <w:t>ne</w:t>
      </w:r>
      <w:r w:rsidR="00B86CB2" w:rsidRPr="00B86CB2">
        <w:t>nustatė intelektin</w:t>
      </w:r>
      <w:r w:rsidR="002818DB">
        <w:t>io</w:t>
      </w:r>
      <w:r w:rsidR="00B86CB2" w:rsidRPr="00B86CB2">
        <w:t xml:space="preserve"> kaltės element</w:t>
      </w:r>
      <w:r w:rsidR="002818DB">
        <w:t>o</w:t>
      </w:r>
      <w:r w:rsidR="00B86CB2" w:rsidRPr="00B86CB2">
        <w:t xml:space="preserve"> </w:t>
      </w:r>
      <w:bookmarkStart w:id="30" w:name="Buk_18"/>
      <w:r w:rsidR="009A5806" w:rsidRPr="009A5806">
        <w:t xml:space="preserve">T. P. </w:t>
      </w:r>
      <w:bookmarkEnd w:id="30"/>
      <w:r w:rsidR="00B86CB2" w:rsidRPr="00B86CB2">
        <w:t>veikoje,</w:t>
      </w:r>
      <w:r w:rsidR="00B86CB2">
        <w:t xml:space="preserve"> </w:t>
      </w:r>
      <w:r w:rsidRPr="00000B5E">
        <w:t>tačiau į š</w:t>
      </w:r>
      <w:r w:rsidR="00B86CB2">
        <w:t>į</w:t>
      </w:r>
      <w:r w:rsidRPr="00000B5E">
        <w:t xml:space="preserve"> </w:t>
      </w:r>
      <w:r w:rsidR="00B86CB2">
        <w:t>teiginį</w:t>
      </w:r>
      <w:r w:rsidRPr="00000B5E">
        <w:t xml:space="preserve"> jau buvo motyvuotai atsakyta skundžiamose teismų nutartyse</w:t>
      </w:r>
      <w:r w:rsidR="000A2177">
        <w:t>, atskleidžiant kaltės turinį</w:t>
      </w:r>
      <w:r w:rsidR="00B86CB2">
        <w:t xml:space="preserve"> (apylinkės teismo nutarties </w:t>
      </w:r>
      <w:r w:rsidR="00AF6B00">
        <w:t xml:space="preserve">12–13 puslapiai, apygardos teismo nutarties </w:t>
      </w:r>
      <w:r w:rsidR="000A2177">
        <w:t>21–22 punktai)</w:t>
      </w:r>
      <w:r w:rsidRPr="00000B5E">
        <w:t>. Kaip pagrįstai nu</w:t>
      </w:r>
      <w:r w:rsidR="009D02FE">
        <w:t>statė</w:t>
      </w:r>
      <w:r w:rsidRPr="00000B5E">
        <w:t xml:space="preserve"> bylą nagrinėję teismai, </w:t>
      </w:r>
      <w:bookmarkStart w:id="31" w:name="Buk_33"/>
      <w:r w:rsidR="009A5806" w:rsidRPr="009A5806">
        <w:t xml:space="preserve">T. P. </w:t>
      </w:r>
      <w:bookmarkEnd w:id="31"/>
      <w:r w:rsidR="000A2177">
        <w:t xml:space="preserve">ne tik pagal </w:t>
      </w:r>
      <w:r w:rsidR="002F1AFB">
        <w:t xml:space="preserve">savo </w:t>
      </w:r>
      <w:r w:rsidR="002818DB">
        <w:t xml:space="preserve">einamas </w:t>
      </w:r>
      <w:r w:rsidR="000A2177">
        <w:t>pareigas</w:t>
      </w:r>
      <w:r w:rsidR="009D02FE">
        <w:t xml:space="preserve"> ir </w:t>
      </w:r>
      <w:r w:rsidR="009D02FE" w:rsidRPr="009D02FE">
        <w:t>vykdomos veiklos pobūdį</w:t>
      </w:r>
      <w:r w:rsidR="002B5DFC">
        <w:t xml:space="preserve"> </w:t>
      </w:r>
      <w:r w:rsidR="009D02FE">
        <w:t>turėjo žinoti ALĮ nuostatas,</w:t>
      </w:r>
      <w:r w:rsidR="002F1AFB">
        <w:t xml:space="preserve"> įskaitant nuostatas dėl azartinių lošimų reklamos draudim</w:t>
      </w:r>
      <w:r w:rsidR="00426F3A">
        <w:t>o</w:t>
      </w:r>
      <w:r w:rsidR="002F1AFB">
        <w:t>,</w:t>
      </w:r>
      <w:r w:rsidR="009D02FE">
        <w:t xml:space="preserve"> bet ir pagal Institucijos suteiktas rekomendacijas nutraukti bendrovės prekės ženklo reklamą </w:t>
      </w:r>
      <w:r w:rsidR="009D02FE" w:rsidRPr="009D02FE">
        <w:t xml:space="preserve">galėjo </w:t>
      </w:r>
      <w:r w:rsidR="002F1AFB">
        <w:t>suvokti, kad nagrinėjamo prekės ženklo reklama neatitiko ALĮ įstatymo reikalavimų</w:t>
      </w:r>
      <w:r w:rsidR="006026D7">
        <w:t xml:space="preserve">. </w:t>
      </w:r>
      <w:r w:rsidR="002731A8">
        <w:t>K</w:t>
      </w:r>
      <w:r w:rsidR="002F1AFB" w:rsidRPr="002F1AFB">
        <w:t>altės požymis negali būti paneigtas netinkamu ir sau palankiu teisės aktų reikalavimų interpretavimu</w:t>
      </w:r>
      <w:r w:rsidR="003B540B">
        <w:t>, taigi k</w:t>
      </w:r>
      <w:r w:rsidR="00B86CB2" w:rsidRPr="00B86CB2">
        <w:t>iti skundo argumentai dėl ANK</w:t>
      </w:r>
      <w:r w:rsidR="003B540B">
        <w:t xml:space="preserve"> </w:t>
      </w:r>
      <w:r w:rsidR="00B86CB2" w:rsidRPr="00B86CB2">
        <w:t>netinkamo taikymo nepagrindžia administracinio nusižengimo bylos atnaujinimo pagrindų buvimo.</w:t>
      </w:r>
    </w:p>
    <w:p w14:paraId="517D1EB6" w14:textId="450F54BE" w:rsidR="00703B57" w:rsidRPr="00703B57" w:rsidRDefault="00AA7D3A" w:rsidP="00703B57">
      <w:pPr>
        <w:pStyle w:val="Sraopastraipa"/>
        <w:numPr>
          <w:ilvl w:val="0"/>
          <w:numId w:val="11"/>
        </w:numPr>
        <w:spacing w:after="120"/>
        <w:ind w:left="357" w:hanging="357"/>
        <w:contextualSpacing w:val="0"/>
        <w:jc w:val="both"/>
      </w:pPr>
      <w:r w:rsidRPr="00AA7D3A">
        <w:rPr>
          <w:iCs/>
        </w:rPr>
        <w:t xml:space="preserve">Apibendrindama tai, kas išdėstyta, teisėjų kolegija daro išvadą, kad Institucija ir </w:t>
      </w:r>
      <w:r>
        <w:rPr>
          <w:iCs/>
        </w:rPr>
        <w:t xml:space="preserve">bylą </w:t>
      </w:r>
      <w:r w:rsidR="002731A8">
        <w:rPr>
          <w:iCs/>
        </w:rPr>
        <w:t>nagrinėję</w:t>
      </w:r>
      <w:r>
        <w:rPr>
          <w:iCs/>
        </w:rPr>
        <w:t xml:space="preserve"> </w:t>
      </w:r>
      <w:r w:rsidRPr="00AA7D3A">
        <w:rPr>
          <w:iCs/>
        </w:rPr>
        <w:t xml:space="preserve">teismai, kvalifikuodami </w:t>
      </w:r>
      <w:bookmarkStart w:id="32" w:name="Buk_19"/>
      <w:r w:rsidR="009A5806" w:rsidRPr="009A5806">
        <w:rPr>
          <w:iCs/>
        </w:rPr>
        <w:t xml:space="preserve">T. P. </w:t>
      </w:r>
      <w:bookmarkEnd w:id="32"/>
      <w:r>
        <w:rPr>
          <w:iCs/>
        </w:rPr>
        <w:t xml:space="preserve">veiką pagal </w:t>
      </w:r>
      <w:r w:rsidRPr="00B61226">
        <w:t xml:space="preserve">ANK </w:t>
      </w:r>
      <w:r w:rsidRPr="00CA7EAE">
        <w:t>134 straipsnio 8 dal</w:t>
      </w:r>
      <w:r>
        <w:t>į</w:t>
      </w:r>
      <w:r w:rsidRPr="00AA7D3A">
        <w:rPr>
          <w:iCs/>
        </w:rPr>
        <w:t>,</w:t>
      </w:r>
      <w:r w:rsidR="00703B57">
        <w:rPr>
          <w:iCs/>
        </w:rPr>
        <w:t xml:space="preserve"> </w:t>
      </w:r>
      <w:r w:rsidR="00703B57" w:rsidRPr="00703B57">
        <w:rPr>
          <w:iCs/>
        </w:rPr>
        <w:t>nepadarė esminių pareiškėj</w:t>
      </w:r>
      <w:r w:rsidR="007E47FC">
        <w:rPr>
          <w:iCs/>
        </w:rPr>
        <w:t>o</w:t>
      </w:r>
      <w:r w:rsidR="00703B57" w:rsidRPr="00703B57">
        <w:rPr>
          <w:iCs/>
        </w:rPr>
        <w:t xml:space="preserve"> nurodytų teisės normų pažeidimų, dėl kurių reikėtų naikinti ar keisti jų priimtus nutarimą ir nutartis.</w:t>
      </w:r>
    </w:p>
    <w:p w14:paraId="10BE1DEB" w14:textId="77777777" w:rsidR="00287420" w:rsidRPr="006B4853" w:rsidRDefault="00287420" w:rsidP="00287420">
      <w:pPr>
        <w:spacing w:after="120"/>
        <w:rPr>
          <w:iCs/>
        </w:rPr>
      </w:pPr>
    </w:p>
    <w:p w14:paraId="4B6FEE1F" w14:textId="49E0CB9B" w:rsidR="00AA7D3A" w:rsidRDefault="00287420" w:rsidP="00DC1290">
      <w:pPr>
        <w:spacing w:after="120"/>
        <w:jc w:val="both"/>
        <w:rPr>
          <w:i/>
          <w:iCs/>
        </w:rPr>
      </w:pPr>
      <w:r w:rsidRPr="006B4853">
        <w:rPr>
          <w:i/>
        </w:rPr>
        <w:t xml:space="preserve">Dėl </w:t>
      </w:r>
      <w:r w:rsidR="00C7064A">
        <w:rPr>
          <w:i/>
          <w:iCs/>
        </w:rPr>
        <w:t>apeliacinio skundo</w:t>
      </w:r>
      <w:r w:rsidR="00C7064A" w:rsidRPr="00C7064A">
        <w:rPr>
          <w:i/>
          <w:iCs/>
        </w:rPr>
        <w:t xml:space="preserve"> išnagrinėjimo apygardos teisme</w:t>
      </w:r>
    </w:p>
    <w:p w14:paraId="5763697C" w14:textId="77777777" w:rsidR="00C7064A" w:rsidRPr="00C7064A" w:rsidRDefault="00C7064A" w:rsidP="00C7064A">
      <w:pPr>
        <w:spacing w:after="120"/>
        <w:jc w:val="both"/>
      </w:pPr>
    </w:p>
    <w:p w14:paraId="087A7614" w14:textId="4EB7CCFF" w:rsidR="00B30960" w:rsidRDefault="00C7064A" w:rsidP="00B30960">
      <w:pPr>
        <w:pStyle w:val="Sraopastraipa"/>
        <w:numPr>
          <w:ilvl w:val="0"/>
          <w:numId w:val="11"/>
        </w:numPr>
        <w:spacing w:after="120"/>
        <w:ind w:left="357" w:hanging="357"/>
        <w:contextualSpacing w:val="0"/>
        <w:jc w:val="both"/>
      </w:pPr>
      <w:r w:rsidRPr="00C7064A">
        <w:t xml:space="preserve">Administracinėn atsakomybėn patraukto </w:t>
      </w:r>
      <w:bookmarkStart w:id="33" w:name="Buk_20"/>
      <w:r w:rsidR="009A5806" w:rsidRPr="009A5806">
        <w:rPr>
          <w:iCs/>
        </w:rPr>
        <w:t xml:space="preserve">T. P. </w:t>
      </w:r>
      <w:bookmarkEnd w:id="33"/>
      <w:r w:rsidRPr="00C7064A">
        <w:t xml:space="preserve">atstovas teigia, kad </w:t>
      </w:r>
      <w:r w:rsidR="00450933">
        <w:t xml:space="preserve">apygardos teismas, nukopijuodamas išaiškinimą iš kitos </w:t>
      </w:r>
      <w:r w:rsidR="00450933" w:rsidRPr="002731A8">
        <w:t>Vilniaus apygardos teismo 2025 m. spalio 28 d. nutarties</w:t>
      </w:r>
      <w:r w:rsidR="00450933">
        <w:t xml:space="preserve"> </w:t>
      </w:r>
      <w:r w:rsidR="00450933" w:rsidRPr="002731A8">
        <w:t>administracinio nusižengimo byloje Nr. AN2-369-817/2025</w:t>
      </w:r>
      <w:r w:rsidR="00450933">
        <w:t>, nepateikė savarankiškų motyvų dėl byloje keltų klausimų, taip pažeidė administracinėn atsakomybėn patraukto asmens teisę į sąžiningą procesą.</w:t>
      </w:r>
    </w:p>
    <w:p w14:paraId="28929D85" w14:textId="5A712972" w:rsidR="00330D35" w:rsidRPr="00210E48" w:rsidRDefault="00A32E86" w:rsidP="002B5DFC">
      <w:pPr>
        <w:pStyle w:val="Sraopastraipa"/>
        <w:numPr>
          <w:ilvl w:val="0"/>
          <w:numId w:val="11"/>
        </w:numPr>
        <w:spacing w:after="120"/>
        <w:ind w:left="357" w:hanging="357"/>
        <w:contextualSpacing w:val="0"/>
        <w:jc w:val="both"/>
      </w:pPr>
      <w:r w:rsidRPr="00A32E86">
        <w:t xml:space="preserve">Lietuvos Aukščiausiojo Teismo praktikoje, formuojamoje administracinių nusižengimų bylose, nurodoma, kad teisėtas, pagrįstas, o kartu ir teisingas sprendimas administracinio nusižengimo byloje gali būti priimtas tik tuo atveju, jei išsamiai atskleidžiamos aplinkybės, turinčios reikšmės bylai teisingai išnagrinėti. </w:t>
      </w:r>
      <w:r w:rsidR="00867D9B">
        <w:t>A</w:t>
      </w:r>
      <w:r w:rsidRPr="00A32E86">
        <w:t>dministracinio nusižengimo bylos aplinkybės turi būti ištiriamos visapusiškai ir objektyviai (ANK 567 straipsnis), laikantis įrodymų vertinimo taisyklių (ANK</w:t>
      </w:r>
      <w:r w:rsidR="002818DB">
        <w:t> </w:t>
      </w:r>
      <w:r w:rsidRPr="00A32E86">
        <w:t>569</w:t>
      </w:r>
      <w:r w:rsidR="00867D9B">
        <w:t> </w:t>
      </w:r>
      <w:r w:rsidRPr="00A32E86">
        <w:t>straipsnis), o teismo sprendimas privalo būti motyvuotas (ANK 635 straipsnio 1 dalis)</w:t>
      </w:r>
      <w:r w:rsidR="002B5DFC">
        <w:t xml:space="preserve"> </w:t>
      </w:r>
      <w:r w:rsidRPr="00A32E86">
        <w:t>(</w:t>
      </w:r>
      <w:r w:rsidR="00426F3A">
        <w:t xml:space="preserve">pvz., </w:t>
      </w:r>
      <w:r w:rsidRPr="00A32E86">
        <w:t>Lietuvos Aukščiausiojo Teismo 2026</w:t>
      </w:r>
      <w:r w:rsidR="00867D9B">
        <w:t> </w:t>
      </w:r>
      <w:r w:rsidRPr="00A32E86">
        <w:t>m. balandžio 8 d. nutartis administracinio nusižengimo byloje Nr. 2AT-22-594/2026</w:t>
      </w:r>
      <w:r>
        <w:t>, 15</w:t>
      </w:r>
      <w:r w:rsidR="00867D9B">
        <w:t> </w:t>
      </w:r>
      <w:r>
        <w:t>punktas).</w:t>
      </w:r>
      <w:r w:rsidR="002B5DFC">
        <w:t xml:space="preserve"> </w:t>
      </w:r>
      <w:r w:rsidR="007216A0" w:rsidRPr="007216A0">
        <w:t>Pagal ANK 652 straipsnio 1 dalį</w:t>
      </w:r>
      <w:r w:rsidR="002818DB">
        <w:t>,</w:t>
      </w:r>
      <w:r w:rsidR="007216A0" w:rsidRPr="007216A0">
        <w:t xml:space="preserve"> apygardos teismas, nagrinėdamas bylą dėl apeliacinio skundo, patikrina priimto nutarimo (nutarties) administracinio nusižengimo byloje teisėtumą ir pagrįstumą. </w:t>
      </w:r>
      <w:r w:rsidR="00867D9B">
        <w:t xml:space="preserve">Taigi apygardos </w:t>
      </w:r>
      <w:r w:rsidR="00867D9B" w:rsidRPr="00867D9B">
        <w:t xml:space="preserve">teismas </w:t>
      </w:r>
      <w:r w:rsidR="00867D9B">
        <w:t>sprendimo</w:t>
      </w:r>
      <w:r w:rsidR="00867D9B" w:rsidRPr="00867D9B">
        <w:t xml:space="preserve"> aprašomojoje dalyje privalo išdėstyti motyvuotas išvadas dėl apeliacinio skundo esmės</w:t>
      </w:r>
      <w:r w:rsidR="00867D9B">
        <w:t>, tačiau t</w:t>
      </w:r>
      <w:r w:rsidR="007216A0" w:rsidRPr="007216A0">
        <w:t xml:space="preserve">eismų praktikoje išaiškinta, kad apeliacinės instancijos teismo pareiga pagrįsti </w:t>
      </w:r>
      <w:r w:rsidR="007216A0" w:rsidRPr="00210E48">
        <w:t>priimtą sprendimą neturėtų būti suprantama kaip reikalavimas detaliai atsakyti į kiekvieną argumentą (Lietuvos Aukščiausiojo Teismo 2026 m. vasario 17 d. nutartis administracinio nusižengimo byloje Nr. 2AT-4-594/2026, 17 punktas).</w:t>
      </w:r>
      <w:r w:rsidRPr="00210E48">
        <w:t xml:space="preserve"> </w:t>
      </w:r>
      <w:r w:rsidR="004459FE" w:rsidRPr="00210E48">
        <w:t xml:space="preserve">Kartu </w:t>
      </w:r>
      <w:r w:rsidR="002818DB" w:rsidRPr="00210E48">
        <w:t xml:space="preserve">teisėjų </w:t>
      </w:r>
      <w:r w:rsidR="004459FE" w:rsidRPr="00210E48">
        <w:t>kolegija pažymi, kad teisingą teismo baigiamojo akto priėmimą pirmiausia lemia daromų teisinių išvadų pagrįstumas</w:t>
      </w:r>
      <w:r w:rsidRPr="00210E48">
        <w:t>, nulemtas išsamiai atskleistų aplinkybių, turinčių reikšmės bylai teisingai išnagrinėti.</w:t>
      </w:r>
    </w:p>
    <w:p w14:paraId="7165E4F6" w14:textId="7F6B57AD" w:rsidR="00DB52CB" w:rsidRPr="00210E48" w:rsidRDefault="00AB658C" w:rsidP="00D37D17">
      <w:pPr>
        <w:pStyle w:val="Sraopastraipa"/>
        <w:numPr>
          <w:ilvl w:val="0"/>
          <w:numId w:val="11"/>
        </w:numPr>
        <w:spacing w:after="120"/>
        <w:ind w:left="357" w:hanging="357"/>
        <w:contextualSpacing w:val="0"/>
        <w:jc w:val="both"/>
      </w:pPr>
      <w:r w:rsidRPr="00210E48">
        <w:lastRenderedPageBreak/>
        <w:t xml:space="preserve">Pareiškėjo skundo argumentai, kad dalis apygardos teismo nutarties </w:t>
      </w:r>
      <w:r w:rsidR="00DB52CB" w:rsidRPr="00210E48">
        <w:t>aprašomosios</w:t>
      </w:r>
      <w:r w:rsidRPr="00210E48">
        <w:t xml:space="preserve"> dalies (23</w:t>
      </w:r>
      <w:r w:rsidR="00330D35" w:rsidRPr="00210E48">
        <w:t> </w:t>
      </w:r>
      <w:r w:rsidRPr="00210E48">
        <w:t>punkto argumentai</w:t>
      </w:r>
      <w:r w:rsidR="002818DB" w:rsidRPr="00210E48">
        <w:t>)</w:t>
      </w:r>
      <w:r w:rsidR="00757DBF" w:rsidRPr="00210E48">
        <w:t xml:space="preserve"> visiškai </w:t>
      </w:r>
      <w:r w:rsidRPr="00210E48">
        <w:t>atitinka</w:t>
      </w:r>
      <w:r w:rsidR="00757DBF" w:rsidRPr="00210E48">
        <w:t xml:space="preserve"> kitos – Vilniaus apygardos teismo 2025 m. spalio 28 d. nutarties administracinio nusižengimo byloje Nr. AN2-369-817/2025 </w:t>
      </w:r>
      <w:r w:rsidR="00DB52CB" w:rsidRPr="00210E48">
        <w:t>aprašomosios dalies (</w:t>
      </w:r>
      <w:r w:rsidR="00757DBF" w:rsidRPr="00210E48">
        <w:t>24</w:t>
      </w:r>
      <w:r w:rsidR="00DB52CB" w:rsidRPr="00210E48">
        <w:t> </w:t>
      </w:r>
      <w:r w:rsidR="00757DBF" w:rsidRPr="00210E48">
        <w:t>punkto</w:t>
      </w:r>
      <w:r w:rsidR="00DB52CB" w:rsidRPr="00210E48">
        <w:t>)</w:t>
      </w:r>
      <w:r w:rsidR="00757DBF" w:rsidRPr="00210E48">
        <w:t xml:space="preserve"> motyvus</w:t>
      </w:r>
      <w:r w:rsidRPr="00210E48">
        <w:t>, yra pagrįsti.</w:t>
      </w:r>
      <w:r w:rsidR="00757DBF" w:rsidRPr="00210E48">
        <w:t xml:space="preserve"> Šią aplinkybę aiškiai pagrindžia</w:t>
      </w:r>
      <w:r w:rsidR="00330D35" w:rsidRPr="00210E48">
        <w:t xml:space="preserve"> teism</w:t>
      </w:r>
      <w:r w:rsidR="00DB52CB" w:rsidRPr="00210E48">
        <w:t xml:space="preserve">ų </w:t>
      </w:r>
      <w:r w:rsidR="00330D35" w:rsidRPr="00210E48">
        <w:t>sprendim</w:t>
      </w:r>
      <w:r w:rsidR="00DB52CB" w:rsidRPr="00210E48">
        <w:t xml:space="preserve">ų </w:t>
      </w:r>
      <w:r w:rsidR="00330D35" w:rsidRPr="00210E48">
        <w:t>motyvų tapatumas</w:t>
      </w:r>
      <w:r w:rsidR="00757DBF" w:rsidRPr="00210E48">
        <w:t>.</w:t>
      </w:r>
      <w:r w:rsidR="00330D35" w:rsidRPr="00210E48">
        <w:t xml:space="preserve"> </w:t>
      </w:r>
      <w:r w:rsidR="002818DB" w:rsidRPr="00210E48">
        <w:t>Teisėjų k</w:t>
      </w:r>
      <w:r w:rsidR="00757DBF" w:rsidRPr="00210E48">
        <w:t xml:space="preserve">olegijos vertinimu, toks nutarties </w:t>
      </w:r>
      <w:r w:rsidR="00330D35" w:rsidRPr="00210E48">
        <w:t xml:space="preserve">dalies </w:t>
      </w:r>
      <w:r w:rsidR="00757DBF" w:rsidRPr="00210E48">
        <w:t xml:space="preserve">motyvavimas negali būti laikomas tinkamu, o ši sprendimo dalis pagrįsta, kadangi </w:t>
      </w:r>
      <w:r w:rsidR="00330D35" w:rsidRPr="00210E48">
        <w:t>skundžiamos nutarties 23 punkte</w:t>
      </w:r>
      <w:r w:rsidR="00D46169" w:rsidRPr="00210E48">
        <w:t>, perrašant</w:t>
      </w:r>
      <w:r w:rsidR="00330D35" w:rsidRPr="00210E48">
        <w:t xml:space="preserve"> kito</w:t>
      </w:r>
      <w:r w:rsidR="00D46169" w:rsidRPr="00210E48">
        <w:t xml:space="preserve"> teismo sprendimo motyvus, ne</w:t>
      </w:r>
      <w:r w:rsidR="009F2F59" w:rsidRPr="00210E48">
        <w:t xml:space="preserve">i </w:t>
      </w:r>
      <w:r w:rsidR="00D46169" w:rsidRPr="00210E48">
        <w:t>nurodamas teisės šaltinis, kuriuo remiantis priimamas atitinkamas sprendimas, nei pateikiam</w:t>
      </w:r>
      <w:r w:rsidR="00330D35" w:rsidRPr="00210E48">
        <w:t>i</w:t>
      </w:r>
      <w:r w:rsidR="00D46169" w:rsidRPr="00210E48">
        <w:t xml:space="preserve"> </w:t>
      </w:r>
      <w:r w:rsidR="009F2F59" w:rsidRPr="00210E48">
        <w:t>k</w:t>
      </w:r>
      <w:r w:rsidR="00D46169" w:rsidRPr="00210E48">
        <w:t>okie papildomi konkrečiam sprendimui būdingi motyvai. Visa tai rodo savarankiško vertinimo stoką</w:t>
      </w:r>
      <w:r w:rsidR="006335D8" w:rsidRPr="00210E48">
        <w:t>, tačiau vien šis motyvavimo išsamumo pažeidimas nesudaro pagrindo jį pripažinti esminiu, kadangi, kaip matyti iš skundžiamo sprendimo turinio, teismas byloje ginčijamas aplinkybes vertino pagal nagrinėjamoje byloje nustatytas faktines aplinkybes, taigi, byloje nagrinėjamos faktinės aplinkybės buvo individualizuotos. Be</w:t>
      </w:r>
      <w:r w:rsidR="00AB622B" w:rsidRPr="00210E48">
        <w:t xml:space="preserve"> nutarties 23 punkte</w:t>
      </w:r>
      <w:r w:rsidR="006335D8" w:rsidRPr="00210E48">
        <w:t xml:space="preserve"> pakartotų kito teismo </w:t>
      </w:r>
      <w:r w:rsidR="00AB622B" w:rsidRPr="00210E48">
        <w:t xml:space="preserve">sprendimo </w:t>
      </w:r>
      <w:r w:rsidR="006335D8" w:rsidRPr="00210E48">
        <w:t>motyvų, apygardos teismas</w:t>
      </w:r>
      <w:r w:rsidR="00AB622B" w:rsidRPr="00210E48">
        <w:t xml:space="preserve"> </w:t>
      </w:r>
      <w:r w:rsidR="006335D8" w:rsidRPr="00210E48">
        <w:t xml:space="preserve">skundžiamoje nutartyje atsakė į visus esminius pareiškėjo apeliacinio skundo argumentus dėl kreipimosi į Europos Sąjungos Teisingumo Teismą ir į Lietuvos Respublikos Konstitucinį Teismą, </w:t>
      </w:r>
      <w:r w:rsidR="00AB622B" w:rsidRPr="00210E48">
        <w:t xml:space="preserve">dėl </w:t>
      </w:r>
      <w:r w:rsidR="006335D8" w:rsidRPr="00210E48">
        <w:t xml:space="preserve">proceso teisės pažeidimų ir pareigūno šališkumo, glaustai </w:t>
      </w:r>
      <w:r w:rsidR="00D37D17" w:rsidRPr="00210E48">
        <w:t>įvertintas ir inkriminuoto administracinio nusižengimo kvalifikavimo tinkamumas (nutarties 9–22 punktai)</w:t>
      </w:r>
      <w:r w:rsidR="006335D8" w:rsidRPr="00210E48">
        <w:t>.</w:t>
      </w:r>
      <w:r w:rsidR="00DB52CB" w:rsidRPr="00210E48">
        <w:t xml:space="preserve"> Todėl </w:t>
      </w:r>
      <w:r w:rsidR="000C38A8" w:rsidRPr="00210E48">
        <w:t xml:space="preserve">darytina išvada, kad </w:t>
      </w:r>
      <w:r w:rsidR="00DB52CB" w:rsidRPr="00210E48">
        <w:t>apeliacinės instancijos teismo sprendimas iš esmės atiti</w:t>
      </w:r>
      <w:r w:rsidR="001F5FE0" w:rsidRPr="00210E48">
        <w:t xml:space="preserve">nka </w:t>
      </w:r>
      <w:r w:rsidR="00DB52CB" w:rsidRPr="00210E48">
        <w:t>jam keliam</w:t>
      </w:r>
      <w:r w:rsidR="000C38A8" w:rsidRPr="00210E48">
        <w:t>us</w:t>
      </w:r>
      <w:r w:rsidR="00DB52CB" w:rsidRPr="00210E48">
        <w:t xml:space="preserve"> reikalavim</w:t>
      </w:r>
      <w:r w:rsidR="000C38A8" w:rsidRPr="00210E48">
        <w:t xml:space="preserve">us, todėl </w:t>
      </w:r>
      <w:r w:rsidR="005D22A4" w:rsidRPr="00210E48">
        <w:t>nėra teisinio pagrindo j</w:t>
      </w:r>
      <w:r w:rsidR="002818DB" w:rsidRPr="00210E48">
        <w:t>į</w:t>
      </w:r>
      <w:r w:rsidR="005D22A4" w:rsidRPr="00210E48">
        <w:t xml:space="preserve"> panaikinti</w:t>
      </w:r>
      <w:r w:rsidR="005C4B13" w:rsidRPr="00210E48">
        <w:t xml:space="preserve"> pareiškėjo nurodytais argumentais.</w:t>
      </w:r>
      <w:r w:rsidR="00DB52CB" w:rsidRPr="00210E48">
        <w:t xml:space="preserve"> </w:t>
      </w:r>
    </w:p>
    <w:p w14:paraId="62BBD919" w14:textId="77777777" w:rsidR="00287420" w:rsidRPr="00AA7D3A" w:rsidRDefault="00287420" w:rsidP="00AA7D3A">
      <w:pPr>
        <w:spacing w:after="120"/>
        <w:jc w:val="both"/>
      </w:pPr>
    </w:p>
    <w:p w14:paraId="06902ECD" w14:textId="0848A24E" w:rsidR="006026D7" w:rsidRPr="006B4853" w:rsidRDefault="006026D7" w:rsidP="00DC1290">
      <w:pPr>
        <w:spacing w:after="120"/>
        <w:jc w:val="both"/>
        <w:rPr>
          <w:i/>
        </w:rPr>
      </w:pPr>
      <w:r w:rsidRPr="006B4853">
        <w:rPr>
          <w:i/>
        </w:rPr>
        <w:t xml:space="preserve">Dėl </w:t>
      </w:r>
      <w:r w:rsidRPr="006026D7">
        <w:rPr>
          <w:i/>
        </w:rPr>
        <w:t>išlaidų advokato paslaugoms apmokėti atlyginimo</w:t>
      </w:r>
    </w:p>
    <w:p w14:paraId="5C23BB4D" w14:textId="77777777" w:rsidR="006026D7" w:rsidRDefault="006026D7" w:rsidP="006026D7">
      <w:pPr>
        <w:spacing w:after="120"/>
        <w:jc w:val="both"/>
      </w:pPr>
    </w:p>
    <w:p w14:paraId="038DC3BB" w14:textId="276798D6" w:rsidR="006026D7" w:rsidRDefault="006026D7" w:rsidP="006026D7">
      <w:pPr>
        <w:pStyle w:val="Sraopastraipa"/>
        <w:numPr>
          <w:ilvl w:val="0"/>
          <w:numId w:val="11"/>
        </w:numPr>
        <w:spacing w:after="120"/>
        <w:ind w:left="357" w:hanging="357"/>
        <w:contextualSpacing w:val="0"/>
        <w:jc w:val="both"/>
      </w:pPr>
      <w:r>
        <w:t xml:space="preserve">Administracinėn atsakomybėn patraukto </w:t>
      </w:r>
      <w:bookmarkStart w:id="34" w:name="Buk_21"/>
      <w:r w:rsidR="009A5806" w:rsidRPr="009A5806">
        <w:t xml:space="preserve">T. P. </w:t>
      </w:r>
      <w:bookmarkEnd w:id="34"/>
      <w:r w:rsidRPr="006026D7">
        <w:t>atstov</w:t>
      </w:r>
      <w:r>
        <w:t>as</w:t>
      </w:r>
      <w:r w:rsidRPr="006026D7">
        <w:t xml:space="preserve"> advokat</w:t>
      </w:r>
      <w:r>
        <w:t>as</w:t>
      </w:r>
      <w:r w:rsidRPr="006026D7">
        <w:t xml:space="preserve"> H</w:t>
      </w:r>
      <w:r>
        <w:t>. </w:t>
      </w:r>
      <w:proofErr w:type="spellStart"/>
      <w:r w:rsidRPr="006026D7">
        <w:t>Stelmokai</w:t>
      </w:r>
      <w:r>
        <w:t>tis</w:t>
      </w:r>
      <w:proofErr w:type="spellEnd"/>
      <w:r>
        <w:t xml:space="preserve"> prašo priteisti </w:t>
      </w:r>
      <w:bookmarkStart w:id="35" w:name="Buk_25"/>
      <w:r w:rsidR="009A5806" w:rsidRPr="009A5806">
        <w:t xml:space="preserve">T. P. </w:t>
      </w:r>
      <w:bookmarkEnd w:id="35"/>
      <w:r>
        <w:t>šio patirtų išlaidų advokato paslaugoms apmokėti atlyginimą.</w:t>
      </w:r>
    </w:p>
    <w:p w14:paraId="032616FF" w14:textId="729D0935" w:rsidR="00AE7FC2" w:rsidRDefault="00AA7D3A" w:rsidP="00AE7FC2">
      <w:pPr>
        <w:pStyle w:val="Sraopastraipa"/>
        <w:numPr>
          <w:ilvl w:val="0"/>
          <w:numId w:val="11"/>
        </w:numPr>
        <w:spacing w:after="120"/>
        <w:ind w:left="357" w:hanging="357"/>
        <w:contextualSpacing w:val="0"/>
        <w:jc w:val="both"/>
      </w:pPr>
      <w:r w:rsidRPr="00AA7D3A">
        <w:t>Šiuo metu galiojančios ANK 666 straipsnio 2 dalies nuostatos dėl administracinio nusižengimo teisenoje dalyvaujančio asmens turėtų išlaidų advokato ar advokato padėjėjo paslaugoms apmokėti atlyginimo iš valstybės lėšų taikytinos tik tais atvejais, kai asmeniui administracinio nusižengimo teisena nutraukta ANK 565</w:t>
      </w:r>
      <w:r w:rsidRPr="00AA7D3A">
        <w:rPr>
          <w:vertAlign w:val="superscript"/>
        </w:rPr>
        <w:t>1</w:t>
      </w:r>
      <w:r w:rsidRPr="00AA7D3A">
        <w:t xml:space="preserve"> straipsnio 1 punkto pagrindu</w:t>
      </w:r>
      <w:r>
        <w:t xml:space="preserve">. </w:t>
      </w:r>
      <w:r w:rsidR="006026D7">
        <w:t xml:space="preserve">Nagrinėjamu atveju </w:t>
      </w:r>
      <w:bookmarkStart w:id="36" w:name="Buk_22"/>
      <w:r w:rsidR="009A5806" w:rsidRPr="009A5806">
        <w:t xml:space="preserve">T. P. </w:t>
      </w:r>
      <w:bookmarkEnd w:id="36"/>
      <w:r w:rsidR="006026D7">
        <w:t xml:space="preserve">administracinio nusižengimo teisena nėra nutraukiama, todėl jis neturi teisės į išlaidų advokato paslaugoms apmokėti atlyginimą. Dėl šių priežasčių </w:t>
      </w:r>
      <w:bookmarkStart w:id="37" w:name="Buk_23"/>
      <w:r w:rsidR="009A5806" w:rsidRPr="009A5806">
        <w:t xml:space="preserve">T. P. </w:t>
      </w:r>
      <w:bookmarkEnd w:id="37"/>
      <w:r w:rsidR="006026D7">
        <w:t>atstovo advokato prašymas priteisti išlaidų advokato paslaugoms apmokėti atlyginimą netenkinamas.</w:t>
      </w:r>
    </w:p>
    <w:p w14:paraId="20E2242D" w14:textId="77777777" w:rsidR="002B5DFC" w:rsidRPr="006B4853" w:rsidRDefault="002B5DFC" w:rsidP="002B5DFC">
      <w:pPr>
        <w:spacing w:after="120"/>
        <w:jc w:val="both"/>
      </w:pPr>
    </w:p>
    <w:p w14:paraId="7509360D" w14:textId="51636BD3" w:rsidR="007712D6" w:rsidRPr="006B4853" w:rsidRDefault="00461674" w:rsidP="007712D6">
      <w:pPr>
        <w:pStyle w:val="Pagrindinistekstas"/>
        <w:ind w:firstLine="720"/>
        <w:rPr>
          <w:color w:val="000000" w:themeColor="text1"/>
          <w:lang w:eastAsia="lt-LT"/>
        </w:rPr>
      </w:pPr>
      <w:r w:rsidRPr="006B4853">
        <w:t xml:space="preserve">Teisėjų kolegija, vadovaudamasi Lietuvos Respublikos administracinių </w:t>
      </w:r>
      <w:r w:rsidR="00C7428E" w:rsidRPr="006B4853">
        <w:t>nusižengimų</w:t>
      </w:r>
      <w:r w:rsidRPr="006B4853">
        <w:t xml:space="preserve"> kodekso </w:t>
      </w:r>
      <w:r w:rsidR="00C7428E" w:rsidRPr="006B4853">
        <w:t>662</w:t>
      </w:r>
      <w:r w:rsidRPr="006B4853">
        <w:t xml:space="preserve"> straipsnio 14 dalies</w:t>
      </w:r>
      <w:r w:rsidR="00506CCA" w:rsidRPr="006B4853">
        <w:t xml:space="preserve"> </w:t>
      </w:r>
      <w:r w:rsidR="00C467FA" w:rsidRPr="00C467FA">
        <w:t>1</w:t>
      </w:r>
      <w:r w:rsidR="00506CCA" w:rsidRPr="006B4853">
        <w:t xml:space="preserve"> </w:t>
      </w:r>
      <w:r w:rsidR="007712D6" w:rsidRPr="006B4853">
        <w:rPr>
          <w:color w:val="000000" w:themeColor="text1"/>
          <w:lang w:eastAsia="lt-LT"/>
        </w:rPr>
        <w:t>punktu,</w:t>
      </w:r>
    </w:p>
    <w:p w14:paraId="7D6B84C8" w14:textId="77777777" w:rsidR="007712D6" w:rsidRPr="006B4853" w:rsidRDefault="007712D6" w:rsidP="007712D6">
      <w:pPr>
        <w:spacing w:after="120"/>
        <w:ind w:firstLine="720"/>
        <w:contextualSpacing/>
        <w:jc w:val="both"/>
        <w:rPr>
          <w:color w:val="000000" w:themeColor="text1"/>
          <w:lang w:eastAsia="lt-LT"/>
        </w:rPr>
      </w:pPr>
    </w:p>
    <w:p w14:paraId="20D1FACC" w14:textId="77777777" w:rsidR="007712D6" w:rsidRPr="006B4853" w:rsidRDefault="007712D6" w:rsidP="007712D6">
      <w:pPr>
        <w:spacing w:after="120"/>
        <w:contextualSpacing/>
        <w:jc w:val="both"/>
        <w:rPr>
          <w:color w:val="000000" w:themeColor="text1"/>
          <w:lang w:eastAsia="lt-LT"/>
        </w:rPr>
      </w:pPr>
      <w:r w:rsidRPr="006B4853">
        <w:rPr>
          <w:color w:val="000000" w:themeColor="text1"/>
          <w:lang w:eastAsia="lt-LT"/>
        </w:rPr>
        <w:t>n u t a r i a :</w:t>
      </w:r>
    </w:p>
    <w:p w14:paraId="14638E75" w14:textId="2F9B1718" w:rsidR="009C3D39" w:rsidRPr="006B4853" w:rsidRDefault="007712D6" w:rsidP="009C3D39">
      <w:pPr>
        <w:spacing w:after="120"/>
        <w:ind w:firstLine="720"/>
        <w:contextualSpacing/>
        <w:jc w:val="both"/>
        <w:rPr>
          <w:color w:val="000000" w:themeColor="text1"/>
          <w:lang w:eastAsia="lt-LT"/>
        </w:rPr>
      </w:pPr>
      <w:r w:rsidRPr="006B4853">
        <w:rPr>
          <w:color w:val="000000" w:themeColor="text1"/>
          <w:lang w:eastAsia="lt-LT"/>
        </w:rPr>
        <w:tab/>
      </w:r>
    </w:p>
    <w:p w14:paraId="01C9D753" w14:textId="4D335C14" w:rsidR="00BA650B" w:rsidRPr="006B4853" w:rsidRDefault="00C467FA" w:rsidP="00C467FA">
      <w:pPr>
        <w:shd w:val="clear" w:color="auto" w:fill="FFFFFF"/>
        <w:ind w:firstLine="720"/>
        <w:jc w:val="both"/>
        <w:rPr>
          <w:bCs/>
        </w:rPr>
      </w:pPr>
      <w:r w:rsidRPr="00C467FA">
        <w:rPr>
          <w:bCs/>
        </w:rPr>
        <w:t>Palikti</w:t>
      </w:r>
      <w:r>
        <w:rPr>
          <w:bCs/>
        </w:rPr>
        <w:t xml:space="preserve"> </w:t>
      </w:r>
      <w:r w:rsidRPr="00C467FA">
        <w:rPr>
          <w:bCs/>
        </w:rPr>
        <w:t>Lošimų priežiūros tarnybos prie Lietuvos Respublikos finansų ministerijos</w:t>
      </w:r>
      <w:r>
        <w:rPr>
          <w:bCs/>
        </w:rPr>
        <w:t xml:space="preserve"> </w:t>
      </w:r>
      <w:r w:rsidRPr="00C467FA">
        <w:rPr>
          <w:bCs/>
        </w:rPr>
        <w:t>2025 m. gegužės 30 d. nutarim</w:t>
      </w:r>
      <w:r>
        <w:rPr>
          <w:bCs/>
        </w:rPr>
        <w:t>ą</w:t>
      </w:r>
      <w:r w:rsidRPr="00C467FA">
        <w:rPr>
          <w:bCs/>
        </w:rPr>
        <w:t>,</w:t>
      </w:r>
      <w:r>
        <w:rPr>
          <w:bCs/>
        </w:rPr>
        <w:t xml:space="preserve"> </w:t>
      </w:r>
      <w:r w:rsidRPr="00C467FA">
        <w:rPr>
          <w:bCs/>
        </w:rPr>
        <w:t>Vilniaus miesto apylinkės teismo 2025 m. lapkričio 3 d. nutart</w:t>
      </w:r>
      <w:r>
        <w:rPr>
          <w:bCs/>
        </w:rPr>
        <w:t xml:space="preserve">į ir </w:t>
      </w:r>
      <w:r w:rsidRPr="00C467FA">
        <w:rPr>
          <w:bCs/>
        </w:rPr>
        <w:t>Vilniaus apygardos teismo 2025 m. gruodžio 19 d. nutart</w:t>
      </w:r>
      <w:r>
        <w:rPr>
          <w:bCs/>
        </w:rPr>
        <w:t xml:space="preserve">į </w:t>
      </w:r>
      <w:r w:rsidRPr="00C467FA">
        <w:rPr>
          <w:bCs/>
        </w:rPr>
        <w:t>nepakeistus.</w:t>
      </w:r>
    </w:p>
    <w:p w14:paraId="527B5FE9" w14:textId="2E7D54FF" w:rsidR="00F231E9" w:rsidRPr="006B4853" w:rsidRDefault="00F231E9" w:rsidP="00BA650B">
      <w:pPr>
        <w:jc w:val="both"/>
      </w:pPr>
    </w:p>
    <w:p w14:paraId="621B45D5" w14:textId="77777777" w:rsidR="00BB370B" w:rsidRPr="006B4853" w:rsidRDefault="00BB370B" w:rsidP="00F231E9">
      <w:pPr>
        <w:ind w:firstLine="720"/>
        <w:jc w:val="both"/>
      </w:pPr>
    </w:p>
    <w:p w14:paraId="4B52F490" w14:textId="3F09DFB9" w:rsidR="00F231E9" w:rsidRPr="006B4853" w:rsidRDefault="00F231E9" w:rsidP="00271FE8">
      <w:pPr>
        <w:jc w:val="both"/>
      </w:pPr>
      <w:r w:rsidRPr="006B4853">
        <w:t>Teisėjai</w:t>
      </w:r>
      <w:r w:rsidRPr="006B4853">
        <w:tab/>
      </w:r>
      <w:r w:rsidRPr="006B4853">
        <w:tab/>
      </w:r>
      <w:r w:rsidRPr="006B4853">
        <w:tab/>
      </w:r>
      <w:r w:rsidRPr="006B4853">
        <w:tab/>
      </w:r>
      <w:r w:rsidRPr="006B4853">
        <w:tab/>
      </w:r>
      <w:r w:rsidRPr="006B4853">
        <w:tab/>
      </w:r>
      <w:r w:rsidRPr="006B4853">
        <w:tab/>
      </w:r>
      <w:r w:rsidR="00271FE8" w:rsidRPr="006B4853">
        <w:tab/>
      </w:r>
      <w:r w:rsidR="006F1784">
        <w:t xml:space="preserve">          </w:t>
      </w:r>
      <w:r w:rsidR="006F1784" w:rsidRPr="006F1784">
        <w:t>Oleg</w:t>
      </w:r>
      <w:r w:rsidR="006F1784">
        <w:t>as</w:t>
      </w:r>
      <w:r w:rsidR="006F1784" w:rsidRPr="006F1784">
        <w:t xml:space="preserve"> Fedosiuk</w:t>
      </w:r>
      <w:r w:rsidR="006F1784">
        <w:t>as</w:t>
      </w:r>
    </w:p>
    <w:p w14:paraId="487D1FA3" w14:textId="35E01FA5" w:rsidR="00F231E9" w:rsidRPr="006B4853" w:rsidRDefault="00F231E9" w:rsidP="00F231E9">
      <w:pPr>
        <w:ind w:firstLine="720"/>
        <w:jc w:val="both"/>
      </w:pPr>
    </w:p>
    <w:p w14:paraId="03339C91" w14:textId="77777777" w:rsidR="00BB370B" w:rsidRPr="006B4853" w:rsidRDefault="00BB370B" w:rsidP="00F231E9">
      <w:pPr>
        <w:ind w:firstLine="720"/>
        <w:jc w:val="both"/>
      </w:pPr>
    </w:p>
    <w:p w14:paraId="6E0A0CD0" w14:textId="00F3344D" w:rsidR="00F231E9" w:rsidRPr="006B4853" w:rsidRDefault="00F231E9" w:rsidP="00F231E9">
      <w:pPr>
        <w:ind w:firstLine="720"/>
        <w:jc w:val="both"/>
      </w:pPr>
      <w:r w:rsidRPr="006B4853">
        <w:tab/>
      </w:r>
      <w:r w:rsidRPr="006B4853">
        <w:tab/>
      </w:r>
      <w:r w:rsidRPr="006B4853">
        <w:tab/>
      </w:r>
      <w:r w:rsidRPr="006B4853">
        <w:tab/>
      </w:r>
      <w:r w:rsidRPr="006B4853">
        <w:tab/>
      </w:r>
      <w:r w:rsidRPr="006B4853">
        <w:tab/>
      </w:r>
      <w:r w:rsidRPr="006B4853">
        <w:tab/>
      </w:r>
      <w:r w:rsidR="009B662A" w:rsidRPr="006B4853">
        <w:tab/>
      </w:r>
      <w:r w:rsidR="006F1784">
        <w:t xml:space="preserve">          </w:t>
      </w:r>
      <w:r w:rsidR="006F1784" w:rsidRPr="006F1784">
        <w:t>Darius Kantaravičius</w:t>
      </w:r>
      <w:r w:rsidR="009B662A" w:rsidRPr="006B4853">
        <w:t> </w:t>
      </w:r>
    </w:p>
    <w:p w14:paraId="129A72DE" w14:textId="708A07CF" w:rsidR="00F231E9" w:rsidRPr="006B4853" w:rsidRDefault="00F231E9" w:rsidP="00F231E9">
      <w:pPr>
        <w:ind w:firstLine="720"/>
        <w:jc w:val="both"/>
      </w:pPr>
    </w:p>
    <w:p w14:paraId="4A355709" w14:textId="77777777" w:rsidR="00BB370B" w:rsidRPr="006B4853" w:rsidRDefault="00BB370B" w:rsidP="00F231E9">
      <w:pPr>
        <w:ind w:firstLine="720"/>
        <w:jc w:val="both"/>
      </w:pPr>
    </w:p>
    <w:p w14:paraId="7B58CA6F" w14:textId="700AEFEB" w:rsidR="00F231E9" w:rsidRPr="00B21ED4" w:rsidRDefault="00F231E9" w:rsidP="00F231E9">
      <w:pPr>
        <w:ind w:firstLine="720"/>
        <w:jc w:val="both"/>
      </w:pPr>
      <w:r w:rsidRPr="006B4853">
        <w:tab/>
      </w:r>
      <w:r w:rsidRPr="006B4853">
        <w:tab/>
      </w:r>
      <w:r w:rsidRPr="006B4853">
        <w:tab/>
      </w:r>
      <w:r w:rsidRPr="006B4853">
        <w:tab/>
      </w:r>
      <w:r w:rsidRPr="006B4853">
        <w:tab/>
      </w:r>
      <w:r w:rsidRPr="006B4853">
        <w:tab/>
      </w:r>
      <w:r w:rsidR="009B662A" w:rsidRPr="006B4853">
        <w:tab/>
      </w:r>
      <w:r w:rsidR="006F1784">
        <w:tab/>
        <w:t xml:space="preserve">          </w:t>
      </w:r>
      <w:r w:rsidR="006F1784" w:rsidRPr="006F1784">
        <w:t>Daiv</w:t>
      </w:r>
      <w:r w:rsidR="006F1784">
        <w:t>a</w:t>
      </w:r>
      <w:r w:rsidR="006F1784" w:rsidRPr="006F1784">
        <w:t xml:space="preserve"> </w:t>
      </w:r>
      <w:proofErr w:type="spellStart"/>
      <w:r w:rsidR="006F1784" w:rsidRPr="006F1784">
        <w:t>Pranytė-Zalieckienė</w:t>
      </w:r>
      <w:proofErr w:type="spellEnd"/>
    </w:p>
    <w:sectPr w:rsidR="00F231E9" w:rsidRPr="00B21ED4" w:rsidSect="00C423E1">
      <w:headerReference w:type="even" r:id="rId10"/>
      <w:headerReference w:type="default" r:id="rId11"/>
      <w:footerReference w:type="default" r:id="rId12"/>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3DD5" w14:textId="77777777" w:rsidR="00060EC2" w:rsidRPr="006B4853" w:rsidRDefault="00060EC2">
      <w:r w:rsidRPr="006B4853">
        <w:separator/>
      </w:r>
    </w:p>
  </w:endnote>
  <w:endnote w:type="continuationSeparator" w:id="0">
    <w:p w14:paraId="47D0F156" w14:textId="77777777" w:rsidR="00060EC2" w:rsidRPr="006B4853" w:rsidRDefault="00060EC2">
      <w:r w:rsidRPr="006B4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158F" w14:textId="77777777" w:rsidR="007120B1" w:rsidRPr="006B4853" w:rsidRDefault="007120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C158" w14:textId="77777777" w:rsidR="00060EC2" w:rsidRPr="006B4853" w:rsidRDefault="00060EC2">
      <w:r w:rsidRPr="006B4853">
        <w:separator/>
      </w:r>
    </w:p>
  </w:footnote>
  <w:footnote w:type="continuationSeparator" w:id="0">
    <w:p w14:paraId="5AA6F6D4" w14:textId="77777777" w:rsidR="00060EC2" w:rsidRPr="006B4853" w:rsidRDefault="00060EC2">
      <w:r w:rsidRPr="006B4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7C78" w14:textId="77777777" w:rsidR="0091253F" w:rsidRPr="006B4853" w:rsidRDefault="00C72317">
    <w:pPr>
      <w:pStyle w:val="Antrats"/>
      <w:framePr w:wrap="around" w:vAnchor="text" w:hAnchor="margin" w:xAlign="center" w:y="1"/>
      <w:rPr>
        <w:rStyle w:val="Puslapionumeris"/>
      </w:rPr>
    </w:pPr>
    <w:r w:rsidRPr="006B4853">
      <w:rPr>
        <w:rStyle w:val="Puslapionumeris"/>
      </w:rPr>
      <w:fldChar w:fldCharType="begin"/>
    </w:r>
    <w:r w:rsidR="0091253F" w:rsidRPr="006B4853">
      <w:rPr>
        <w:rStyle w:val="Puslapionumeris"/>
      </w:rPr>
      <w:instrText xml:space="preserve">PAGE  </w:instrText>
    </w:r>
    <w:r w:rsidRPr="006B4853">
      <w:rPr>
        <w:rStyle w:val="Puslapionumeris"/>
      </w:rPr>
      <w:fldChar w:fldCharType="end"/>
    </w:r>
  </w:p>
  <w:p w14:paraId="4F49CFF9" w14:textId="77777777" w:rsidR="0091253F" w:rsidRPr="006B4853" w:rsidRDefault="009125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1F81" w14:textId="04F26D4C" w:rsidR="0091253F" w:rsidRPr="006B4853" w:rsidRDefault="00C72317">
    <w:pPr>
      <w:pStyle w:val="Antrats"/>
      <w:framePr w:wrap="around" w:vAnchor="text" w:hAnchor="margin" w:xAlign="center" w:y="1"/>
      <w:jc w:val="center"/>
      <w:rPr>
        <w:rStyle w:val="Puslapionumeris"/>
      </w:rPr>
    </w:pPr>
    <w:r w:rsidRPr="006B4853">
      <w:rPr>
        <w:rStyle w:val="Puslapionumeris"/>
      </w:rPr>
      <w:fldChar w:fldCharType="begin"/>
    </w:r>
    <w:r w:rsidR="0091253F" w:rsidRPr="006B4853">
      <w:rPr>
        <w:rStyle w:val="Puslapionumeris"/>
      </w:rPr>
      <w:instrText xml:space="preserve">PAGE  </w:instrText>
    </w:r>
    <w:r w:rsidRPr="006B4853">
      <w:rPr>
        <w:rStyle w:val="Puslapionumeris"/>
      </w:rPr>
      <w:fldChar w:fldCharType="separate"/>
    </w:r>
    <w:r w:rsidR="00E467F4" w:rsidRPr="006B4853">
      <w:rPr>
        <w:rStyle w:val="Puslapionumeris"/>
      </w:rPr>
      <w:t>6</w:t>
    </w:r>
    <w:r w:rsidRPr="006B4853">
      <w:rPr>
        <w:rStyle w:val="Puslapionumeris"/>
      </w:rPr>
      <w:fldChar w:fldCharType="end"/>
    </w:r>
  </w:p>
  <w:p w14:paraId="1CC55B87" w14:textId="77777777" w:rsidR="0091253F" w:rsidRPr="006B4853" w:rsidRDefault="0091253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689"/>
    <w:multiLevelType w:val="multilevel"/>
    <w:tmpl w:val="2B862BC4"/>
    <w:lvl w:ilvl="0">
      <w:start w:val="1"/>
      <w:numFmt w:val="decimal"/>
      <w:lvlText w:val="%1."/>
      <w:lvlJc w:val="left"/>
      <w:pPr>
        <w:ind w:left="502" w:hanging="360"/>
      </w:pPr>
      <w:rPr>
        <w:b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873D74"/>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CC22DF"/>
    <w:multiLevelType w:val="multilevel"/>
    <w:tmpl w:val="81762E2A"/>
    <w:lvl w:ilvl="0">
      <w:start w:val="1"/>
      <w:numFmt w:val="decimal"/>
      <w:lvlText w:val="%1."/>
      <w:lvlJc w:val="left"/>
      <w:pPr>
        <w:ind w:left="1069" w:hanging="360"/>
      </w:pPr>
      <w:rPr>
        <w:rFonts w:hint="default"/>
        <w:i w:val="0"/>
        <w:i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B97F1D"/>
    <w:multiLevelType w:val="hybridMultilevel"/>
    <w:tmpl w:val="1C7E68CC"/>
    <w:lvl w:ilvl="0" w:tplc="7B609EEA">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8"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1"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7757555">
    <w:abstractNumId w:val="9"/>
  </w:num>
  <w:num w:numId="2" w16cid:durableId="2086561792">
    <w:abstractNumId w:val="2"/>
  </w:num>
  <w:num w:numId="3" w16cid:durableId="179785710">
    <w:abstractNumId w:val="8"/>
  </w:num>
  <w:num w:numId="4" w16cid:durableId="856776463">
    <w:abstractNumId w:val="3"/>
  </w:num>
  <w:num w:numId="5" w16cid:durableId="814759744">
    <w:abstractNumId w:val="12"/>
  </w:num>
  <w:num w:numId="6" w16cid:durableId="1024092759">
    <w:abstractNumId w:val="11"/>
  </w:num>
  <w:num w:numId="7" w16cid:durableId="1817603996">
    <w:abstractNumId w:val="13"/>
  </w:num>
  <w:num w:numId="8" w16cid:durableId="79957692">
    <w:abstractNumId w:val="1"/>
  </w:num>
  <w:num w:numId="9" w16cid:durableId="1449853433">
    <w:abstractNumId w:val="10"/>
  </w:num>
  <w:num w:numId="10" w16cid:durableId="818230868">
    <w:abstractNumId w:val="4"/>
  </w:num>
  <w:num w:numId="11" w16cid:durableId="1820076150">
    <w:abstractNumId w:val="6"/>
  </w:num>
  <w:num w:numId="12" w16cid:durableId="2072341685">
    <w:abstractNumId w:val="7"/>
  </w:num>
  <w:num w:numId="13" w16cid:durableId="1702052860">
    <w:abstractNumId w:val="0"/>
  </w:num>
  <w:num w:numId="14" w16cid:durableId="1815683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B5E"/>
    <w:rsid w:val="000032DF"/>
    <w:rsid w:val="00005DAE"/>
    <w:rsid w:val="000076A0"/>
    <w:rsid w:val="000115C7"/>
    <w:rsid w:val="00012038"/>
    <w:rsid w:val="000136A9"/>
    <w:rsid w:val="00016174"/>
    <w:rsid w:val="00016AB5"/>
    <w:rsid w:val="00016D49"/>
    <w:rsid w:val="00017A0C"/>
    <w:rsid w:val="0002116C"/>
    <w:rsid w:val="000217A5"/>
    <w:rsid w:val="00022DB4"/>
    <w:rsid w:val="0002541D"/>
    <w:rsid w:val="000308F4"/>
    <w:rsid w:val="000339DF"/>
    <w:rsid w:val="00034777"/>
    <w:rsid w:val="00035324"/>
    <w:rsid w:val="00035D53"/>
    <w:rsid w:val="0004027B"/>
    <w:rsid w:val="00047228"/>
    <w:rsid w:val="00050AD4"/>
    <w:rsid w:val="000541F7"/>
    <w:rsid w:val="00056778"/>
    <w:rsid w:val="00057923"/>
    <w:rsid w:val="00060EC2"/>
    <w:rsid w:val="00061F46"/>
    <w:rsid w:val="000625F3"/>
    <w:rsid w:val="0006413F"/>
    <w:rsid w:val="00064A07"/>
    <w:rsid w:val="000658E3"/>
    <w:rsid w:val="00071815"/>
    <w:rsid w:val="00074D42"/>
    <w:rsid w:val="00074F50"/>
    <w:rsid w:val="00086CC6"/>
    <w:rsid w:val="00087A81"/>
    <w:rsid w:val="000971FF"/>
    <w:rsid w:val="000A12FD"/>
    <w:rsid w:val="000A2177"/>
    <w:rsid w:val="000A38AE"/>
    <w:rsid w:val="000A4A5C"/>
    <w:rsid w:val="000B0DA9"/>
    <w:rsid w:val="000B1C24"/>
    <w:rsid w:val="000B268E"/>
    <w:rsid w:val="000B3357"/>
    <w:rsid w:val="000B48EF"/>
    <w:rsid w:val="000B7A57"/>
    <w:rsid w:val="000B7B0E"/>
    <w:rsid w:val="000C067E"/>
    <w:rsid w:val="000C1595"/>
    <w:rsid w:val="000C37A4"/>
    <w:rsid w:val="000C38A8"/>
    <w:rsid w:val="000C3E62"/>
    <w:rsid w:val="000C5119"/>
    <w:rsid w:val="000C5279"/>
    <w:rsid w:val="000C675D"/>
    <w:rsid w:val="000C6B5B"/>
    <w:rsid w:val="000C79D8"/>
    <w:rsid w:val="000D165D"/>
    <w:rsid w:val="000D1B09"/>
    <w:rsid w:val="000D32A2"/>
    <w:rsid w:val="000D3D4B"/>
    <w:rsid w:val="000D49D8"/>
    <w:rsid w:val="000E4046"/>
    <w:rsid w:val="000F1CC2"/>
    <w:rsid w:val="000F2C89"/>
    <w:rsid w:val="000F658B"/>
    <w:rsid w:val="000F746D"/>
    <w:rsid w:val="000F7F4F"/>
    <w:rsid w:val="00100372"/>
    <w:rsid w:val="0010037F"/>
    <w:rsid w:val="00102451"/>
    <w:rsid w:val="00102F50"/>
    <w:rsid w:val="0010319E"/>
    <w:rsid w:val="00111903"/>
    <w:rsid w:val="00111E8B"/>
    <w:rsid w:val="00115BCC"/>
    <w:rsid w:val="00116540"/>
    <w:rsid w:val="0012367D"/>
    <w:rsid w:val="00123F27"/>
    <w:rsid w:val="0012567F"/>
    <w:rsid w:val="0012672F"/>
    <w:rsid w:val="00133140"/>
    <w:rsid w:val="00133867"/>
    <w:rsid w:val="001368D6"/>
    <w:rsid w:val="00137E5D"/>
    <w:rsid w:val="001402F1"/>
    <w:rsid w:val="00141975"/>
    <w:rsid w:val="001434BE"/>
    <w:rsid w:val="001435F0"/>
    <w:rsid w:val="00144812"/>
    <w:rsid w:val="00147AF1"/>
    <w:rsid w:val="00151B14"/>
    <w:rsid w:val="00152FB6"/>
    <w:rsid w:val="001539A8"/>
    <w:rsid w:val="00156869"/>
    <w:rsid w:val="0015769F"/>
    <w:rsid w:val="00157E65"/>
    <w:rsid w:val="00160C4A"/>
    <w:rsid w:val="00161B41"/>
    <w:rsid w:val="0016363F"/>
    <w:rsid w:val="0017499F"/>
    <w:rsid w:val="001759EE"/>
    <w:rsid w:val="00177F4A"/>
    <w:rsid w:val="001818CC"/>
    <w:rsid w:val="00181DF2"/>
    <w:rsid w:val="001872A1"/>
    <w:rsid w:val="00192C85"/>
    <w:rsid w:val="001959CC"/>
    <w:rsid w:val="001A041E"/>
    <w:rsid w:val="001A1A8C"/>
    <w:rsid w:val="001A2EA0"/>
    <w:rsid w:val="001A3B86"/>
    <w:rsid w:val="001A3CA8"/>
    <w:rsid w:val="001B14F1"/>
    <w:rsid w:val="001B158A"/>
    <w:rsid w:val="001B6886"/>
    <w:rsid w:val="001B6B1C"/>
    <w:rsid w:val="001C181F"/>
    <w:rsid w:val="001C19CE"/>
    <w:rsid w:val="001C4BDB"/>
    <w:rsid w:val="001C5EF2"/>
    <w:rsid w:val="001D1BCD"/>
    <w:rsid w:val="001D4ED4"/>
    <w:rsid w:val="001E1EDD"/>
    <w:rsid w:val="001E2182"/>
    <w:rsid w:val="001E37A8"/>
    <w:rsid w:val="001E6C2B"/>
    <w:rsid w:val="001E74FF"/>
    <w:rsid w:val="001E7D02"/>
    <w:rsid w:val="001F00F8"/>
    <w:rsid w:val="001F1CBD"/>
    <w:rsid w:val="001F35AE"/>
    <w:rsid w:val="001F4B13"/>
    <w:rsid w:val="001F5FE0"/>
    <w:rsid w:val="002009E7"/>
    <w:rsid w:val="00201E1C"/>
    <w:rsid w:val="00206451"/>
    <w:rsid w:val="002077CD"/>
    <w:rsid w:val="002079DF"/>
    <w:rsid w:val="00210A05"/>
    <w:rsid w:val="00210E48"/>
    <w:rsid w:val="00211EF1"/>
    <w:rsid w:val="00212036"/>
    <w:rsid w:val="00212BF2"/>
    <w:rsid w:val="00215D97"/>
    <w:rsid w:val="00215F5C"/>
    <w:rsid w:val="0021689C"/>
    <w:rsid w:val="0022139B"/>
    <w:rsid w:val="00222F28"/>
    <w:rsid w:val="002244E8"/>
    <w:rsid w:val="00226878"/>
    <w:rsid w:val="00226A61"/>
    <w:rsid w:val="00230750"/>
    <w:rsid w:val="002340D6"/>
    <w:rsid w:val="002365F4"/>
    <w:rsid w:val="002401EF"/>
    <w:rsid w:val="00243BDE"/>
    <w:rsid w:val="002455A3"/>
    <w:rsid w:val="002455F1"/>
    <w:rsid w:val="00245F46"/>
    <w:rsid w:val="0024624C"/>
    <w:rsid w:val="0025014A"/>
    <w:rsid w:val="00251895"/>
    <w:rsid w:val="00252ED1"/>
    <w:rsid w:val="00253066"/>
    <w:rsid w:val="00254587"/>
    <w:rsid w:val="00264A23"/>
    <w:rsid w:val="00264BC1"/>
    <w:rsid w:val="00266DAE"/>
    <w:rsid w:val="002719EF"/>
    <w:rsid w:val="00271FE8"/>
    <w:rsid w:val="002731A8"/>
    <w:rsid w:val="002775A2"/>
    <w:rsid w:val="002818DB"/>
    <w:rsid w:val="00281FAB"/>
    <w:rsid w:val="00281FF0"/>
    <w:rsid w:val="00286A33"/>
    <w:rsid w:val="00287420"/>
    <w:rsid w:val="00290683"/>
    <w:rsid w:val="00291B24"/>
    <w:rsid w:val="00293F79"/>
    <w:rsid w:val="00296596"/>
    <w:rsid w:val="002A1323"/>
    <w:rsid w:val="002A1C4C"/>
    <w:rsid w:val="002A275C"/>
    <w:rsid w:val="002A6D95"/>
    <w:rsid w:val="002B1320"/>
    <w:rsid w:val="002B3695"/>
    <w:rsid w:val="002B4FFE"/>
    <w:rsid w:val="002B5C54"/>
    <w:rsid w:val="002B5DFC"/>
    <w:rsid w:val="002C1367"/>
    <w:rsid w:val="002C16F6"/>
    <w:rsid w:val="002C26BF"/>
    <w:rsid w:val="002C4D96"/>
    <w:rsid w:val="002C5179"/>
    <w:rsid w:val="002D05C2"/>
    <w:rsid w:val="002D3E13"/>
    <w:rsid w:val="002D492F"/>
    <w:rsid w:val="002D4A3D"/>
    <w:rsid w:val="002D65BB"/>
    <w:rsid w:val="002E02F9"/>
    <w:rsid w:val="002E38CE"/>
    <w:rsid w:val="002E66D0"/>
    <w:rsid w:val="002F114E"/>
    <w:rsid w:val="002F1AFB"/>
    <w:rsid w:val="002F224C"/>
    <w:rsid w:val="002F2BBF"/>
    <w:rsid w:val="002F2D64"/>
    <w:rsid w:val="00304D44"/>
    <w:rsid w:val="003079D5"/>
    <w:rsid w:val="00307C3A"/>
    <w:rsid w:val="003115C0"/>
    <w:rsid w:val="00311E31"/>
    <w:rsid w:val="0031733F"/>
    <w:rsid w:val="0032611D"/>
    <w:rsid w:val="00330D35"/>
    <w:rsid w:val="00333995"/>
    <w:rsid w:val="00334651"/>
    <w:rsid w:val="0034169A"/>
    <w:rsid w:val="00341EB1"/>
    <w:rsid w:val="00347B7E"/>
    <w:rsid w:val="003517EC"/>
    <w:rsid w:val="00354549"/>
    <w:rsid w:val="00355C29"/>
    <w:rsid w:val="00356E4B"/>
    <w:rsid w:val="003576D0"/>
    <w:rsid w:val="00360CDD"/>
    <w:rsid w:val="00362BE0"/>
    <w:rsid w:val="00363269"/>
    <w:rsid w:val="0036343F"/>
    <w:rsid w:val="00365CBD"/>
    <w:rsid w:val="00370E12"/>
    <w:rsid w:val="00372EC4"/>
    <w:rsid w:val="0037563F"/>
    <w:rsid w:val="003824B0"/>
    <w:rsid w:val="003856B4"/>
    <w:rsid w:val="0038640D"/>
    <w:rsid w:val="003904DB"/>
    <w:rsid w:val="003911A3"/>
    <w:rsid w:val="00391F77"/>
    <w:rsid w:val="003927CD"/>
    <w:rsid w:val="003A2222"/>
    <w:rsid w:val="003A3E04"/>
    <w:rsid w:val="003A7DB3"/>
    <w:rsid w:val="003B0575"/>
    <w:rsid w:val="003B1580"/>
    <w:rsid w:val="003B2C71"/>
    <w:rsid w:val="003B2D12"/>
    <w:rsid w:val="003B540B"/>
    <w:rsid w:val="003C398D"/>
    <w:rsid w:val="003C5FD4"/>
    <w:rsid w:val="003C7D42"/>
    <w:rsid w:val="003D0296"/>
    <w:rsid w:val="003D0F13"/>
    <w:rsid w:val="003D24D2"/>
    <w:rsid w:val="003D33CE"/>
    <w:rsid w:val="003E00B1"/>
    <w:rsid w:val="003E033A"/>
    <w:rsid w:val="003E098E"/>
    <w:rsid w:val="003E1212"/>
    <w:rsid w:val="003E3B23"/>
    <w:rsid w:val="003E614F"/>
    <w:rsid w:val="003E740F"/>
    <w:rsid w:val="003F1D30"/>
    <w:rsid w:val="003F3A67"/>
    <w:rsid w:val="003F4A0A"/>
    <w:rsid w:val="0040092F"/>
    <w:rsid w:val="00401EB4"/>
    <w:rsid w:val="00402EDF"/>
    <w:rsid w:val="00403507"/>
    <w:rsid w:val="0040350D"/>
    <w:rsid w:val="00410119"/>
    <w:rsid w:val="004137F0"/>
    <w:rsid w:val="0041418E"/>
    <w:rsid w:val="00417198"/>
    <w:rsid w:val="0041734D"/>
    <w:rsid w:val="00422F35"/>
    <w:rsid w:val="00426F3A"/>
    <w:rsid w:val="0043095B"/>
    <w:rsid w:val="00432DC4"/>
    <w:rsid w:val="00434F2F"/>
    <w:rsid w:val="004355D3"/>
    <w:rsid w:val="00436C47"/>
    <w:rsid w:val="0044351D"/>
    <w:rsid w:val="004459FE"/>
    <w:rsid w:val="00446CF1"/>
    <w:rsid w:val="00450933"/>
    <w:rsid w:val="004532FA"/>
    <w:rsid w:val="00454FF3"/>
    <w:rsid w:val="0045628E"/>
    <w:rsid w:val="004600C9"/>
    <w:rsid w:val="00461674"/>
    <w:rsid w:val="00462C19"/>
    <w:rsid w:val="00465E8C"/>
    <w:rsid w:val="00467AEC"/>
    <w:rsid w:val="00470316"/>
    <w:rsid w:val="00471E73"/>
    <w:rsid w:val="004779D5"/>
    <w:rsid w:val="00482394"/>
    <w:rsid w:val="004842B6"/>
    <w:rsid w:val="0048433B"/>
    <w:rsid w:val="004862F3"/>
    <w:rsid w:val="004877C9"/>
    <w:rsid w:val="00493F72"/>
    <w:rsid w:val="004A07A2"/>
    <w:rsid w:val="004A095C"/>
    <w:rsid w:val="004B0D36"/>
    <w:rsid w:val="004B1DC0"/>
    <w:rsid w:val="004B2319"/>
    <w:rsid w:val="004B467D"/>
    <w:rsid w:val="004B5006"/>
    <w:rsid w:val="004C0FD7"/>
    <w:rsid w:val="004C262E"/>
    <w:rsid w:val="004C28E5"/>
    <w:rsid w:val="004C2938"/>
    <w:rsid w:val="004C3868"/>
    <w:rsid w:val="004C4851"/>
    <w:rsid w:val="004C5ED6"/>
    <w:rsid w:val="004C7FC4"/>
    <w:rsid w:val="004D04CF"/>
    <w:rsid w:val="004D0E40"/>
    <w:rsid w:val="004D10A9"/>
    <w:rsid w:val="004D2831"/>
    <w:rsid w:val="004D570C"/>
    <w:rsid w:val="004D6909"/>
    <w:rsid w:val="004E0538"/>
    <w:rsid w:val="004E7193"/>
    <w:rsid w:val="004E7823"/>
    <w:rsid w:val="004F1534"/>
    <w:rsid w:val="004F1E03"/>
    <w:rsid w:val="004F56FC"/>
    <w:rsid w:val="004F59CE"/>
    <w:rsid w:val="004F70C5"/>
    <w:rsid w:val="00501AB7"/>
    <w:rsid w:val="005030A3"/>
    <w:rsid w:val="0050563C"/>
    <w:rsid w:val="00506CCA"/>
    <w:rsid w:val="0051145F"/>
    <w:rsid w:val="00515461"/>
    <w:rsid w:val="00515928"/>
    <w:rsid w:val="005206BB"/>
    <w:rsid w:val="0052083A"/>
    <w:rsid w:val="00522765"/>
    <w:rsid w:val="005252B2"/>
    <w:rsid w:val="0052698C"/>
    <w:rsid w:val="00527520"/>
    <w:rsid w:val="00533BC3"/>
    <w:rsid w:val="0054148F"/>
    <w:rsid w:val="005418FE"/>
    <w:rsid w:val="00547A05"/>
    <w:rsid w:val="005508C6"/>
    <w:rsid w:val="005553DF"/>
    <w:rsid w:val="00555B28"/>
    <w:rsid w:val="0055695D"/>
    <w:rsid w:val="0055717B"/>
    <w:rsid w:val="0056148A"/>
    <w:rsid w:val="00562773"/>
    <w:rsid w:val="00563D75"/>
    <w:rsid w:val="00566C3F"/>
    <w:rsid w:val="00570FD3"/>
    <w:rsid w:val="00571CB8"/>
    <w:rsid w:val="00573885"/>
    <w:rsid w:val="00575B07"/>
    <w:rsid w:val="005814E2"/>
    <w:rsid w:val="00581E3D"/>
    <w:rsid w:val="005822F5"/>
    <w:rsid w:val="005829AB"/>
    <w:rsid w:val="00583D48"/>
    <w:rsid w:val="0058435A"/>
    <w:rsid w:val="005902E8"/>
    <w:rsid w:val="005903A2"/>
    <w:rsid w:val="00590B0A"/>
    <w:rsid w:val="00591AFB"/>
    <w:rsid w:val="00593F28"/>
    <w:rsid w:val="005A023B"/>
    <w:rsid w:val="005A0B0D"/>
    <w:rsid w:val="005A0E1E"/>
    <w:rsid w:val="005A2C6E"/>
    <w:rsid w:val="005A519D"/>
    <w:rsid w:val="005A67BF"/>
    <w:rsid w:val="005B7A42"/>
    <w:rsid w:val="005C260C"/>
    <w:rsid w:val="005C3D29"/>
    <w:rsid w:val="005C4505"/>
    <w:rsid w:val="005C4B13"/>
    <w:rsid w:val="005D149D"/>
    <w:rsid w:val="005D22A4"/>
    <w:rsid w:val="005D33B7"/>
    <w:rsid w:val="005D58FF"/>
    <w:rsid w:val="005D5DD9"/>
    <w:rsid w:val="005D79E9"/>
    <w:rsid w:val="005E0810"/>
    <w:rsid w:val="005E0B46"/>
    <w:rsid w:val="005E3C6E"/>
    <w:rsid w:val="005E4082"/>
    <w:rsid w:val="005E5B5F"/>
    <w:rsid w:val="005F35AF"/>
    <w:rsid w:val="005F4618"/>
    <w:rsid w:val="005F7374"/>
    <w:rsid w:val="006026D7"/>
    <w:rsid w:val="006044D4"/>
    <w:rsid w:val="00612CA2"/>
    <w:rsid w:val="006147DC"/>
    <w:rsid w:val="006151F9"/>
    <w:rsid w:val="006166CC"/>
    <w:rsid w:val="00622BCE"/>
    <w:rsid w:val="00622FFB"/>
    <w:rsid w:val="006255A4"/>
    <w:rsid w:val="00625D89"/>
    <w:rsid w:val="006268FE"/>
    <w:rsid w:val="00627228"/>
    <w:rsid w:val="0063154E"/>
    <w:rsid w:val="006321D3"/>
    <w:rsid w:val="006335D8"/>
    <w:rsid w:val="0063755A"/>
    <w:rsid w:val="00637A56"/>
    <w:rsid w:val="0064551C"/>
    <w:rsid w:val="00645D35"/>
    <w:rsid w:val="00646434"/>
    <w:rsid w:val="00651C07"/>
    <w:rsid w:val="00651E01"/>
    <w:rsid w:val="006537C7"/>
    <w:rsid w:val="00655199"/>
    <w:rsid w:val="006553E9"/>
    <w:rsid w:val="0065571D"/>
    <w:rsid w:val="00657A36"/>
    <w:rsid w:val="00657A7D"/>
    <w:rsid w:val="00660827"/>
    <w:rsid w:val="00665782"/>
    <w:rsid w:val="00667F98"/>
    <w:rsid w:val="00672BE5"/>
    <w:rsid w:val="006730C5"/>
    <w:rsid w:val="00674590"/>
    <w:rsid w:val="006749C0"/>
    <w:rsid w:val="00677496"/>
    <w:rsid w:val="00677B17"/>
    <w:rsid w:val="00682CB4"/>
    <w:rsid w:val="00684ADD"/>
    <w:rsid w:val="00686C71"/>
    <w:rsid w:val="00691991"/>
    <w:rsid w:val="006923B8"/>
    <w:rsid w:val="00693243"/>
    <w:rsid w:val="006A3AF3"/>
    <w:rsid w:val="006A43F6"/>
    <w:rsid w:val="006A7CB8"/>
    <w:rsid w:val="006B0150"/>
    <w:rsid w:val="006B3568"/>
    <w:rsid w:val="006B4853"/>
    <w:rsid w:val="006B4AD6"/>
    <w:rsid w:val="006B5BF9"/>
    <w:rsid w:val="006C03BE"/>
    <w:rsid w:val="006C0FB7"/>
    <w:rsid w:val="006C1B98"/>
    <w:rsid w:val="006C3326"/>
    <w:rsid w:val="006C4E23"/>
    <w:rsid w:val="006C78F6"/>
    <w:rsid w:val="006D0B8D"/>
    <w:rsid w:val="006D0ED8"/>
    <w:rsid w:val="006D2032"/>
    <w:rsid w:val="006D6088"/>
    <w:rsid w:val="006D6733"/>
    <w:rsid w:val="006E07FF"/>
    <w:rsid w:val="006E39D8"/>
    <w:rsid w:val="006F04E0"/>
    <w:rsid w:val="006F142A"/>
    <w:rsid w:val="006F14AB"/>
    <w:rsid w:val="006F1784"/>
    <w:rsid w:val="006F21FD"/>
    <w:rsid w:val="006F433C"/>
    <w:rsid w:val="00700BC3"/>
    <w:rsid w:val="00700D9C"/>
    <w:rsid w:val="00703B57"/>
    <w:rsid w:val="00705093"/>
    <w:rsid w:val="00706120"/>
    <w:rsid w:val="00706D1B"/>
    <w:rsid w:val="007120B1"/>
    <w:rsid w:val="00716716"/>
    <w:rsid w:val="0071678D"/>
    <w:rsid w:val="00716C0C"/>
    <w:rsid w:val="007216A0"/>
    <w:rsid w:val="00722135"/>
    <w:rsid w:val="00724403"/>
    <w:rsid w:val="0072747D"/>
    <w:rsid w:val="00727715"/>
    <w:rsid w:val="00727F5F"/>
    <w:rsid w:val="007308DB"/>
    <w:rsid w:val="007347A6"/>
    <w:rsid w:val="00736A25"/>
    <w:rsid w:val="007408F3"/>
    <w:rsid w:val="007415A7"/>
    <w:rsid w:val="007445DB"/>
    <w:rsid w:val="00744632"/>
    <w:rsid w:val="00745F96"/>
    <w:rsid w:val="0074735C"/>
    <w:rsid w:val="00752979"/>
    <w:rsid w:val="00753D2E"/>
    <w:rsid w:val="00754EB3"/>
    <w:rsid w:val="00755706"/>
    <w:rsid w:val="00757B8A"/>
    <w:rsid w:val="00757DBF"/>
    <w:rsid w:val="0076080A"/>
    <w:rsid w:val="007615BC"/>
    <w:rsid w:val="0076505A"/>
    <w:rsid w:val="00767597"/>
    <w:rsid w:val="00767C36"/>
    <w:rsid w:val="007712D6"/>
    <w:rsid w:val="00775DF4"/>
    <w:rsid w:val="00775F82"/>
    <w:rsid w:val="00780BB3"/>
    <w:rsid w:val="00782590"/>
    <w:rsid w:val="00782674"/>
    <w:rsid w:val="00783C2C"/>
    <w:rsid w:val="00783DE3"/>
    <w:rsid w:val="00784890"/>
    <w:rsid w:val="00785FA1"/>
    <w:rsid w:val="00786305"/>
    <w:rsid w:val="0078647D"/>
    <w:rsid w:val="00790244"/>
    <w:rsid w:val="007942D0"/>
    <w:rsid w:val="00796207"/>
    <w:rsid w:val="00796B97"/>
    <w:rsid w:val="007975A2"/>
    <w:rsid w:val="007A398E"/>
    <w:rsid w:val="007A61FB"/>
    <w:rsid w:val="007A6381"/>
    <w:rsid w:val="007B0A58"/>
    <w:rsid w:val="007B76C7"/>
    <w:rsid w:val="007B7AE2"/>
    <w:rsid w:val="007C2A88"/>
    <w:rsid w:val="007C31D6"/>
    <w:rsid w:val="007C58BA"/>
    <w:rsid w:val="007C5A23"/>
    <w:rsid w:val="007D3C6D"/>
    <w:rsid w:val="007D6ABE"/>
    <w:rsid w:val="007E0A2C"/>
    <w:rsid w:val="007E47FC"/>
    <w:rsid w:val="007E57A8"/>
    <w:rsid w:val="007E76F4"/>
    <w:rsid w:val="007F2F35"/>
    <w:rsid w:val="007F6945"/>
    <w:rsid w:val="007F745E"/>
    <w:rsid w:val="008052A7"/>
    <w:rsid w:val="00805DDF"/>
    <w:rsid w:val="0081409F"/>
    <w:rsid w:val="00817EDE"/>
    <w:rsid w:val="00821F2B"/>
    <w:rsid w:val="008226B3"/>
    <w:rsid w:val="00830406"/>
    <w:rsid w:val="00833832"/>
    <w:rsid w:val="00833F9C"/>
    <w:rsid w:val="00840E75"/>
    <w:rsid w:val="00845C1B"/>
    <w:rsid w:val="00845F57"/>
    <w:rsid w:val="0085093F"/>
    <w:rsid w:val="00850E97"/>
    <w:rsid w:val="00852E42"/>
    <w:rsid w:val="00853952"/>
    <w:rsid w:val="00853C31"/>
    <w:rsid w:val="00857C23"/>
    <w:rsid w:val="008608D4"/>
    <w:rsid w:val="00862140"/>
    <w:rsid w:val="00863C17"/>
    <w:rsid w:val="00866BE0"/>
    <w:rsid w:val="00867D9B"/>
    <w:rsid w:val="00870B05"/>
    <w:rsid w:val="00870CF4"/>
    <w:rsid w:val="00872368"/>
    <w:rsid w:val="00872766"/>
    <w:rsid w:val="00872EFB"/>
    <w:rsid w:val="00873658"/>
    <w:rsid w:val="00880156"/>
    <w:rsid w:val="00884240"/>
    <w:rsid w:val="00885B73"/>
    <w:rsid w:val="00885BB2"/>
    <w:rsid w:val="00886E44"/>
    <w:rsid w:val="00886E7F"/>
    <w:rsid w:val="00893BA8"/>
    <w:rsid w:val="00893D9D"/>
    <w:rsid w:val="008952C2"/>
    <w:rsid w:val="0089574D"/>
    <w:rsid w:val="0089653C"/>
    <w:rsid w:val="00896AA8"/>
    <w:rsid w:val="00897805"/>
    <w:rsid w:val="00897D5C"/>
    <w:rsid w:val="00897F27"/>
    <w:rsid w:val="008A15C7"/>
    <w:rsid w:val="008A2275"/>
    <w:rsid w:val="008A51C5"/>
    <w:rsid w:val="008A67C3"/>
    <w:rsid w:val="008B4CF4"/>
    <w:rsid w:val="008C0DCA"/>
    <w:rsid w:val="008C209D"/>
    <w:rsid w:val="008C4DD3"/>
    <w:rsid w:val="008D3F04"/>
    <w:rsid w:val="008D6A6D"/>
    <w:rsid w:val="008E63C0"/>
    <w:rsid w:val="008E642B"/>
    <w:rsid w:val="008E69B0"/>
    <w:rsid w:val="008E714A"/>
    <w:rsid w:val="008F3931"/>
    <w:rsid w:val="008F742E"/>
    <w:rsid w:val="00900CF5"/>
    <w:rsid w:val="00910C47"/>
    <w:rsid w:val="0091253F"/>
    <w:rsid w:val="00920566"/>
    <w:rsid w:val="009207F9"/>
    <w:rsid w:val="00921D98"/>
    <w:rsid w:val="00922508"/>
    <w:rsid w:val="00922ADB"/>
    <w:rsid w:val="00923464"/>
    <w:rsid w:val="00923A4C"/>
    <w:rsid w:val="00924BF4"/>
    <w:rsid w:val="009259BA"/>
    <w:rsid w:val="00926117"/>
    <w:rsid w:val="0092710E"/>
    <w:rsid w:val="00930ADB"/>
    <w:rsid w:val="009325E8"/>
    <w:rsid w:val="0093741B"/>
    <w:rsid w:val="00937679"/>
    <w:rsid w:val="00937E8B"/>
    <w:rsid w:val="009415CE"/>
    <w:rsid w:val="009435DE"/>
    <w:rsid w:val="00944EEA"/>
    <w:rsid w:val="009455FC"/>
    <w:rsid w:val="00947C1B"/>
    <w:rsid w:val="00950642"/>
    <w:rsid w:val="00952D81"/>
    <w:rsid w:val="0095303A"/>
    <w:rsid w:val="00953F6A"/>
    <w:rsid w:val="009542E3"/>
    <w:rsid w:val="00954889"/>
    <w:rsid w:val="00955B01"/>
    <w:rsid w:val="009562FD"/>
    <w:rsid w:val="0096114D"/>
    <w:rsid w:val="009730D0"/>
    <w:rsid w:val="009733DA"/>
    <w:rsid w:val="00977027"/>
    <w:rsid w:val="00981E04"/>
    <w:rsid w:val="00983042"/>
    <w:rsid w:val="00984694"/>
    <w:rsid w:val="009909B6"/>
    <w:rsid w:val="00993F2A"/>
    <w:rsid w:val="00994629"/>
    <w:rsid w:val="00994687"/>
    <w:rsid w:val="00995A54"/>
    <w:rsid w:val="00997CD7"/>
    <w:rsid w:val="009A10EC"/>
    <w:rsid w:val="009A2E63"/>
    <w:rsid w:val="009A38B9"/>
    <w:rsid w:val="009A4944"/>
    <w:rsid w:val="009A5806"/>
    <w:rsid w:val="009A5C4C"/>
    <w:rsid w:val="009A6006"/>
    <w:rsid w:val="009A62E2"/>
    <w:rsid w:val="009A67FF"/>
    <w:rsid w:val="009A7512"/>
    <w:rsid w:val="009B512C"/>
    <w:rsid w:val="009B662A"/>
    <w:rsid w:val="009C011E"/>
    <w:rsid w:val="009C3D39"/>
    <w:rsid w:val="009C3FF2"/>
    <w:rsid w:val="009C4858"/>
    <w:rsid w:val="009D02FE"/>
    <w:rsid w:val="009D1953"/>
    <w:rsid w:val="009D3BAD"/>
    <w:rsid w:val="009D5F1E"/>
    <w:rsid w:val="009D5F22"/>
    <w:rsid w:val="009E17F3"/>
    <w:rsid w:val="009E3D59"/>
    <w:rsid w:val="009F2DFD"/>
    <w:rsid w:val="009F2E67"/>
    <w:rsid w:val="009F2F59"/>
    <w:rsid w:val="009F7E83"/>
    <w:rsid w:val="00A021D1"/>
    <w:rsid w:val="00A100F0"/>
    <w:rsid w:val="00A14D1E"/>
    <w:rsid w:val="00A152F7"/>
    <w:rsid w:val="00A16672"/>
    <w:rsid w:val="00A20785"/>
    <w:rsid w:val="00A32E86"/>
    <w:rsid w:val="00A33BC2"/>
    <w:rsid w:val="00A33F47"/>
    <w:rsid w:val="00A36520"/>
    <w:rsid w:val="00A4003D"/>
    <w:rsid w:val="00A4059E"/>
    <w:rsid w:val="00A406F2"/>
    <w:rsid w:val="00A45A14"/>
    <w:rsid w:val="00A474CF"/>
    <w:rsid w:val="00A4765A"/>
    <w:rsid w:val="00A47A2F"/>
    <w:rsid w:val="00A50300"/>
    <w:rsid w:val="00A504D4"/>
    <w:rsid w:val="00A51783"/>
    <w:rsid w:val="00A51797"/>
    <w:rsid w:val="00A52211"/>
    <w:rsid w:val="00A5534F"/>
    <w:rsid w:val="00A61DD5"/>
    <w:rsid w:val="00A64541"/>
    <w:rsid w:val="00A655E0"/>
    <w:rsid w:val="00A67849"/>
    <w:rsid w:val="00A71DF2"/>
    <w:rsid w:val="00A72B8A"/>
    <w:rsid w:val="00A81383"/>
    <w:rsid w:val="00A81667"/>
    <w:rsid w:val="00A822E8"/>
    <w:rsid w:val="00A831D9"/>
    <w:rsid w:val="00A838C7"/>
    <w:rsid w:val="00A93AFF"/>
    <w:rsid w:val="00A946C3"/>
    <w:rsid w:val="00A94D29"/>
    <w:rsid w:val="00AA0A03"/>
    <w:rsid w:val="00AA0B1D"/>
    <w:rsid w:val="00AA14A2"/>
    <w:rsid w:val="00AA2535"/>
    <w:rsid w:val="00AA2CD0"/>
    <w:rsid w:val="00AA3145"/>
    <w:rsid w:val="00AA63BF"/>
    <w:rsid w:val="00AA7D3A"/>
    <w:rsid w:val="00AB622B"/>
    <w:rsid w:val="00AB658C"/>
    <w:rsid w:val="00AB71D8"/>
    <w:rsid w:val="00AC1EC6"/>
    <w:rsid w:val="00AC3071"/>
    <w:rsid w:val="00AC5F25"/>
    <w:rsid w:val="00AC62C0"/>
    <w:rsid w:val="00AD04AB"/>
    <w:rsid w:val="00AD0643"/>
    <w:rsid w:val="00AD183D"/>
    <w:rsid w:val="00AD1C9C"/>
    <w:rsid w:val="00AD5AC3"/>
    <w:rsid w:val="00AD5AC4"/>
    <w:rsid w:val="00AD607B"/>
    <w:rsid w:val="00AD6EBF"/>
    <w:rsid w:val="00AE24FA"/>
    <w:rsid w:val="00AE36C8"/>
    <w:rsid w:val="00AE47D3"/>
    <w:rsid w:val="00AE7FC2"/>
    <w:rsid w:val="00AF2973"/>
    <w:rsid w:val="00AF4D4F"/>
    <w:rsid w:val="00AF6B00"/>
    <w:rsid w:val="00B000B9"/>
    <w:rsid w:val="00B0069A"/>
    <w:rsid w:val="00B0189F"/>
    <w:rsid w:val="00B024E7"/>
    <w:rsid w:val="00B07D7A"/>
    <w:rsid w:val="00B1124A"/>
    <w:rsid w:val="00B11DF7"/>
    <w:rsid w:val="00B14414"/>
    <w:rsid w:val="00B1483A"/>
    <w:rsid w:val="00B20EC4"/>
    <w:rsid w:val="00B21144"/>
    <w:rsid w:val="00B21ED4"/>
    <w:rsid w:val="00B23023"/>
    <w:rsid w:val="00B25B44"/>
    <w:rsid w:val="00B265D3"/>
    <w:rsid w:val="00B30960"/>
    <w:rsid w:val="00B3410A"/>
    <w:rsid w:val="00B34AC5"/>
    <w:rsid w:val="00B34FF7"/>
    <w:rsid w:val="00B40EDB"/>
    <w:rsid w:val="00B41C7F"/>
    <w:rsid w:val="00B43EA2"/>
    <w:rsid w:val="00B45229"/>
    <w:rsid w:val="00B4527E"/>
    <w:rsid w:val="00B462D6"/>
    <w:rsid w:val="00B472E5"/>
    <w:rsid w:val="00B4778D"/>
    <w:rsid w:val="00B53178"/>
    <w:rsid w:val="00B61226"/>
    <w:rsid w:val="00B6195D"/>
    <w:rsid w:val="00B6440D"/>
    <w:rsid w:val="00B652B1"/>
    <w:rsid w:val="00B65D76"/>
    <w:rsid w:val="00B67538"/>
    <w:rsid w:val="00B70EBD"/>
    <w:rsid w:val="00B71C87"/>
    <w:rsid w:val="00B73CD2"/>
    <w:rsid w:val="00B75576"/>
    <w:rsid w:val="00B76CBD"/>
    <w:rsid w:val="00B814C0"/>
    <w:rsid w:val="00B8178F"/>
    <w:rsid w:val="00B820EF"/>
    <w:rsid w:val="00B83990"/>
    <w:rsid w:val="00B83EF7"/>
    <w:rsid w:val="00B84870"/>
    <w:rsid w:val="00B84B33"/>
    <w:rsid w:val="00B869B5"/>
    <w:rsid w:val="00B86CB2"/>
    <w:rsid w:val="00B909EB"/>
    <w:rsid w:val="00B91580"/>
    <w:rsid w:val="00B94A1B"/>
    <w:rsid w:val="00BA1666"/>
    <w:rsid w:val="00BA1BF7"/>
    <w:rsid w:val="00BA3FF6"/>
    <w:rsid w:val="00BA4225"/>
    <w:rsid w:val="00BA61B3"/>
    <w:rsid w:val="00BA650B"/>
    <w:rsid w:val="00BA6729"/>
    <w:rsid w:val="00BB1353"/>
    <w:rsid w:val="00BB370B"/>
    <w:rsid w:val="00BB58F4"/>
    <w:rsid w:val="00BB5C2E"/>
    <w:rsid w:val="00BC0FA2"/>
    <w:rsid w:val="00BC4982"/>
    <w:rsid w:val="00BC5BC6"/>
    <w:rsid w:val="00BC612E"/>
    <w:rsid w:val="00BD0A73"/>
    <w:rsid w:val="00BD22AE"/>
    <w:rsid w:val="00BD67E2"/>
    <w:rsid w:val="00BE09EF"/>
    <w:rsid w:val="00BF1CD5"/>
    <w:rsid w:val="00BF3D5E"/>
    <w:rsid w:val="00BF730B"/>
    <w:rsid w:val="00C04A07"/>
    <w:rsid w:val="00C0689B"/>
    <w:rsid w:val="00C07A5A"/>
    <w:rsid w:val="00C105BF"/>
    <w:rsid w:val="00C135EE"/>
    <w:rsid w:val="00C201CD"/>
    <w:rsid w:val="00C21ABF"/>
    <w:rsid w:val="00C231ED"/>
    <w:rsid w:val="00C2400B"/>
    <w:rsid w:val="00C24420"/>
    <w:rsid w:val="00C26B3E"/>
    <w:rsid w:val="00C26DFA"/>
    <w:rsid w:val="00C30031"/>
    <w:rsid w:val="00C31A49"/>
    <w:rsid w:val="00C3658F"/>
    <w:rsid w:val="00C423E1"/>
    <w:rsid w:val="00C4246D"/>
    <w:rsid w:val="00C4431C"/>
    <w:rsid w:val="00C44B48"/>
    <w:rsid w:val="00C45A7D"/>
    <w:rsid w:val="00C467FA"/>
    <w:rsid w:val="00C46B0A"/>
    <w:rsid w:val="00C509F9"/>
    <w:rsid w:val="00C51497"/>
    <w:rsid w:val="00C5365C"/>
    <w:rsid w:val="00C556C5"/>
    <w:rsid w:val="00C628BE"/>
    <w:rsid w:val="00C62C23"/>
    <w:rsid w:val="00C658AB"/>
    <w:rsid w:val="00C7064A"/>
    <w:rsid w:val="00C72317"/>
    <w:rsid w:val="00C7428E"/>
    <w:rsid w:val="00C74ED3"/>
    <w:rsid w:val="00C8033A"/>
    <w:rsid w:val="00C835CF"/>
    <w:rsid w:val="00C85374"/>
    <w:rsid w:val="00C868DD"/>
    <w:rsid w:val="00C87D37"/>
    <w:rsid w:val="00C91DF8"/>
    <w:rsid w:val="00C9209E"/>
    <w:rsid w:val="00C9544C"/>
    <w:rsid w:val="00C95824"/>
    <w:rsid w:val="00C96897"/>
    <w:rsid w:val="00CA094D"/>
    <w:rsid w:val="00CA2340"/>
    <w:rsid w:val="00CA7EAE"/>
    <w:rsid w:val="00CB6C22"/>
    <w:rsid w:val="00CC3938"/>
    <w:rsid w:val="00CD0B09"/>
    <w:rsid w:val="00CD42D4"/>
    <w:rsid w:val="00CD504C"/>
    <w:rsid w:val="00CD6F39"/>
    <w:rsid w:val="00CD74F8"/>
    <w:rsid w:val="00CD7D79"/>
    <w:rsid w:val="00CE64E8"/>
    <w:rsid w:val="00CE7C0C"/>
    <w:rsid w:val="00CF239D"/>
    <w:rsid w:val="00CF647F"/>
    <w:rsid w:val="00CF6B40"/>
    <w:rsid w:val="00D019AB"/>
    <w:rsid w:val="00D10CD6"/>
    <w:rsid w:val="00D11CBF"/>
    <w:rsid w:val="00D13C86"/>
    <w:rsid w:val="00D166EC"/>
    <w:rsid w:val="00D178F3"/>
    <w:rsid w:val="00D20514"/>
    <w:rsid w:val="00D21BBF"/>
    <w:rsid w:val="00D22863"/>
    <w:rsid w:val="00D22B35"/>
    <w:rsid w:val="00D22F61"/>
    <w:rsid w:val="00D23217"/>
    <w:rsid w:val="00D25D5D"/>
    <w:rsid w:val="00D26F2C"/>
    <w:rsid w:val="00D27240"/>
    <w:rsid w:val="00D27C55"/>
    <w:rsid w:val="00D301C7"/>
    <w:rsid w:val="00D30660"/>
    <w:rsid w:val="00D323F5"/>
    <w:rsid w:val="00D33C0E"/>
    <w:rsid w:val="00D37D17"/>
    <w:rsid w:val="00D43A1F"/>
    <w:rsid w:val="00D46169"/>
    <w:rsid w:val="00D46978"/>
    <w:rsid w:val="00D47477"/>
    <w:rsid w:val="00D51E7F"/>
    <w:rsid w:val="00D56955"/>
    <w:rsid w:val="00D6194F"/>
    <w:rsid w:val="00D707C4"/>
    <w:rsid w:val="00D7286C"/>
    <w:rsid w:val="00D73F3D"/>
    <w:rsid w:val="00D772F4"/>
    <w:rsid w:val="00D77718"/>
    <w:rsid w:val="00D83171"/>
    <w:rsid w:val="00D859B2"/>
    <w:rsid w:val="00D90F1C"/>
    <w:rsid w:val="00D9196F"/>
    <w:rsid w:val="00D93D4D"/>
    <w:rsid w:val="00D951E2"/>
    <w:rsid w:val="00D95748"/>
    <w:rsid w:val="00D97A20"/>
    <w:rsid w:val="00DA12D9"/>
    <w:rsid w:val="00DA13F7"/>
    <w:rsid w:val="00DA7686"/>
    <w:rsid w:val="00DA7EF4"/>
    <w:rsid w:val="00DB4678"/>
    <w:rsid w:val="00DB4B38"/>
    <w:rsid w:val="00DB52CB"/>
    <w:rsid w:val="00DB5390"/>
    <w:rsid w:val="00DB5B9A"/>
    <w:rsid w:val="00DC1290"/>
    <w:rsid w:val="00DC21A5"/>
    <w:rsid w:val="00DC45A2"/>
    <w:rsid w:val="00DC49D1"/>
    <w:rsid w:val="00DD0EE2"/>
    <w:rsid w:val="00DD106E"/>
    <w:rsid w:val="00DD2C66"/>
    <w:rsid w:val="00DD4251"/>
    <w:rsid w:val="00DD7EB8"/>
    <w:rsid w:val="00DE1BEA"/>
    <w:rsid w:val="00DE2307"/>
    <w:rsid w:val="00DE37C9"/>
    <w:rsid w:val="00DE46DC"/>
    <w:rsid w:val="00DE4DCE"/>
    <w:rsid w:val="00DE52F8"/>
    <w:rsid w:val="00DE6F9A"/>
    <w:rsid w:val="00DE7576"/>
    <w:rsid w:val="00DF2A2E"/>
    <w:rsid w:val="00DF3900"/>
    <w:rsid w:val="00DF5741"/>
    <w:rsid w:val="00DF5B29"/>
    <w:rsid w:val="00DF74C3"/>
    <w:rsid w:val="00E0241A"/>
    <w:rsid w:val="00E02567"/>
    <w:rsid w:val="00E05D45"/>
    <w:rsid w:val="00E06794"/>
    <w:rsid w:val="00E07D9C"/>
    <w:rsid w:val="00E21523"/>
    <w:rsid w:val="00E2314B"/>
    <w:rsid w:val="00E2525E"/>
    <w:rsid w:val="00E27F3E"/>
    <w:rsid w:val="00E311FD"/>
    <w:rsid w:val="00E3129D"/>
    <w:rsid w:val="00E3374C"/>
    <w:rsid w:val="00E349EE"/>
    <w:rsid w:val="00E34D90"/>
    <w:rsid w:val="00E35671"/>
    <w:rsid w:val="00E41B4E"/>
    <w:rsid w:val="00E43DCB"/>
    <w:rsid w:val="00E467F4"/>
    <w:rsid w:val="00E51D2F"/>
    <w:rsid w:val="00E523DB"/>
    <w:rsid w:val="00E526E2"/>
    <w:rsid w:val="00E526FE"/>
    <w:rsid w:val="00E529E8"/>
    <w:rsid w:val="00E5531A"/>
    <w:rsid w:val="00E5547B"/>
    <w:rsid w:val="00E578A7"/>
    <w:rsid w:val="00E6377A"/>
    <w:rsid w:val="00E641C0"/>
    <w:rsid w:val="00E648EC"/>
    <w:rsid w:val="00E6510B"/>
    <w:rsid w:val="00E65302"/>
    <w:rsid w:val="00E654D4"/>
    <w:rsid w:val="00E664A2"/>
    <w:rsid w:val="00E67BAD"/>
    <w:rsid w:val="00E70A4D"/>
    <w:rsid w:val="00E722B4"/>
    <w:rsid w:val="00E72314"/>
    <w:rsid w:val="00E73C18"/>
    <w:rsid w:val="00E74C38"/>
    <w:rsid w:val="00E76E5D"/>
    <w:rsid w:val="00E771C3"/>
    <w:rsid w:val="00E77934"/>
    <w:rsid w:val="00E8384E"/>
    <w:rsid w:val="00E87E05"/>
    <w:rsid w:val="00E90196"/>
    <w:rsid w:val="00E91183"/>
    <w:rsid w:val="00E91462"/>
    <w:rsid w:val="00E91F35"/>
    <w:rsid w:val="00E93CF6"/>
    <w:rsid w:val="00E94127"/>
    <w:rsid w:val="00E95902"/>
    <w:rsid w:val="00E95BF3"/>
    <w:rsid w:val="00E95C05"/>
    <w:rsid w:val="00EA1E49"/>
    <w:rsid w:val="00EA472D"/>
    <w:rsid w:val="00EA5884"/>
    <w:rsid w:val="00EA6953"/>
    <w:rsid w:val="00EB2611"/>
    <w:rsid w:val="00EB74F6"/>
    <w:rsid w:val="00EC361C"/>
    <w:rsid w:val="00EC5B6F"/>
    <w:rsid w:val="00ED0BE4"/>
    <w:rsid w:val="00ED3581"/>
    <w:rsid w:val="00ED4932"/>
    <w:rsid w:val="00ED6AE7"/>
    <w:rsid w:val="00ED6C4C"/>
    <w:rsid w:val="00ED7884"/>
    <w:rsid w:val="00EE12D2"/>
    <w:rsid w:val="00EE2AB9"/>
    <w:rsid w:val="00EE6951"/>
    <w:rsid w:val="00EE7509"/>
    <w:rsid w:val="00EF053F"/>
    <w:rsid w:val="00EF216C"/>
    <w:rsid w:val="00EF2D6C"/>
    <w:rsid w:val="00EF5C85"/>
    <w:rsid w:val="00F05891"/>
    <w:rsid w:val="00F0653B"/>
    <w:rsid w:val="00F17AE5"/>
    <w:rsid w:val="00F20A17"/>
    <w:rsid w:val="00F224D5"/>
    <w:rsid w:val="00F2302D"/>
    <w:rsid w:val="00F231E9"/>
    <w:rsid w:val="00F25D1E"/>
    <w:rsid w:val="00F263F3"/>
    <w:rsid w:val="00F268D9"/>
    <w:rsid w:val="00F26BEC"/>
    <w:rsid w:val="00F308CD"/>
    <w:rsid w:val="00F318ED"/>
    <w:rsid w:val="00F431F2"/>
    <w:rsid w:val="00F51E67"/>
    <w:rsid w:val="00F53414"/>
    <w:rsid w:val="00F53C1C"/>
    <w:rsid w:val="00F5770A"/>
    <w:rsid w:val="00F607EC"/>
    <w:rsid w:val="00F63B5E"/>
    <w:rsid w:val="00F6651E"/>
    <w:rsid w:val="00F671F6"/>
    <w:rsid w:val="00F714A5"/>
    <w:rsid w:val="00F74B8D"/>
    <w:rsid w:val="00F77E3F"/>
    <w:rsid w:val="00F8138D"/>
    <w:rsid w:val="00F843E1"/>
    <w:rsid w:val="00F86E7A"/>
    <w:rsid w:val="00F904FA"/>
    <w:rsid w:val="00F91CAC"/>
    <w:rsid w:val="00F97477"/>
    <w:rsid w:val="00FA7902"/>
    <w:rsid w:val="00FB4F40"/>
    <w:rsid w:val="00FB7313"/>
    <w:rsid w:val="00FC3473"/>
    <w:rsid w:val="00FC38B3"/>
    <w:rsid w:val="00FC4835"/>
    <w:rsid w:val="00FC5D91"/>
    <w:rsid w:val="00FC67BE"/>
    <w:rsid w:val="00FC6E9E"/>
    <w:rsid w:val="00FC7B8D"/>
    <w:rsid w:val="00FD466F"/>
    <w:rsid w:val="00FD6A75"/>
    <w:rsid w:val="00FD7BD8"/>
    <w:rsid w:val="00FE02FD"/>
    <w:rsid w:val="00FE48BA"/>
    <w:rsid w:val="00FE7655"/>
    <w:rsid w:val="00FF0968"/>
    <w:rsid w:val="00FF170C"/>
    <w:rsid w:val="00FF26BC"/>
    <w:rsid w:val="00FF5B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C896D"/>
  <w15:docId w15:val="{9E21F453-5E03-4D13-A4B1-A6D5718A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7420"/>
    <w:rPr>
      <w:sz w:val="24"/>
      <w:szCs w:val="24"/>
      <w:lang w:eastAsia="en-US"/>
    </w:rPr>
  </w:style>
  <w:style w:type="paragraph" w:styleId="Antrat1">
    <w:name w:val="heading 1"/>
    <w:basedOn w:val="prastasis"/>
    <w:next w:val="prastasis"/>
    <w:qFormat/>
    <w:rsid w:val="00A52211"/>
    <w:pPr>
      <w:keepNext/>
      <w:jc w:val="center"/>
      <w:outlineLvl w:val="0"/>
    </w:pPr>
    <w:rPr>
      <w:b/>
      <w:bCs/>
      <w:sz w:val="32"/>
    </w:rPr>
  </w:style>
  <w:style w:type="paragraph" w:styleId="Antrat2">
    <w:name w:val="heading 2"/>
    <w:basedOn w:val="prastasis"/>
    <w:next w:val="prastasis"/>
    <w:qFormat/>
    <w:rsid w:val="00A52211"/>
    <w:pPr>
      <w:keepNext/>
      <w:jc w:val="center"/>
      <w:outlineLvl w:val="1"/>
    </w:pPr>
    <w:rPr>
      <w:sz w:val="28"/>
    </w:rPr>
  </w:style>
  <w:style w:type="paragraph" w:styleId="Antrat3">
    <w:name w:val="heading 3"/>
    <w:basedOn w:val="prastasis"/>
    <w:next w:val="prastasis"/>
    <w:qFormat/>
    <w:rsid w:val="00A52211"/>
    <w:pPr>
      <w:keepNext/>
      <w:ind w:firstLine="720"/>
      <w:jc w:val="both"/>
      <w:outlineLvl w:val="2"/>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2211"/>
    <w:pPr>
      <w:tabs>
        <w:tab w:val="center" w:pos="4153"/>
        <w:tab w:val="right" w:pos="8306"/>
      </w:tabs>
    </w:pPr>
  </w:style>
  <w:style w:type="character" w:styleId="Puslapionumeris">
    <w:name w:val="page number"/>
    <w:basedOn w:val="Numatytasispastraiposriftas"/>
    <w:rsid w:val="00A52211"/>
  </w:style>
  <w:style w:type="paragraph" w:styleId="Porat">
    <w:name w:val="footer"/>
    <w:basedOn w:val="prastasis"/>
    <w:rsid w:val="00A52211"/>
    <w:pPr>
      <w:tabs>
        <w:tab w:val="center" w:pos="4153"/>
        <w:tab w:val="right" w:pos="8306"/>
      </w:tabs>
    </w:pPr>
  </w:style>
  <w:style w:type="paragraph" w:styleId="Pagrindinistekstas">
    <w:name w:val="Body Text"/>
    <w:basedOn w:val="prastasis"/>
    <w:rsid w:val="00A52211"/>
    <w:pPr>
      <w:jc w:val="both"/>
    </w:pPr>
  </w:style>
  <w:style w:type="character" w:styleId="Hipersaitas">
    <w:name w:val="Hyperlink"/>
    <w:basedOn w:val="Numatytasispastraiposriftas"/>
    <w:rsid w:val="00A52211"/>
    <w:rPr>
      <w:color w:val="0000FF"/>
      <w:u w:val="single"/>
    </w:rPr>
  </w:style>
  <w:style w:type="paragraph" w:styleId="Pagrindiniotekstotrauka">
    <w:name w:val="Body Text Indent"/>
    <w:basedOn w:val="prastasis"/>
    <w:rsid w:val="00A52211"/>
    <w:pPr>
      <w:ind w:firstLine="720"/>
      <w:jc w:val="both"/>
    </w:pPr>
  </w:style>
  <w:style w:type="character" w:styleId="Perirtashipersaitas">
    <w:name w:val="FollowedHyperlink"/>
    <w:basedOn w:val="Numatytasispastraiposriftas"/>
    <w:rsid w:val="00A52211"/>
    <w:rPr>
      <w:color w:val="800080"/>
      <w:u w:val="single"/>
    </w:rPr>
  </w:style>
  <w:style w:type="paragraph" w:styleId="Debesliotekstas">
    <w:name w:val="Balloon Text"/>
    <w:basedOn w:val="prastasis"/>
    <w:link w:val="DebesliotekstasDiagrama"/>
    <w:rsid w:val="00133867"/>
    <w:rPr>
      <w:rFonts w:ascii="Tahoma" w:hAnsi="Tahoma" w:cs="Tahoma"/>
      <w:sz w:val="16"/>
      <w:szCs w:val="16"/>
    </w:rPr>
  </w:style>
  <w:style w:type="character" w:customStyle="1" w:styleId="DebesliotekstasDiagrama">
    <w:name w:val="Debesėlio tekstas Diagrama"/>
    <w:basedOn w:val="Numatytasispastraiposriftas"/>
    <w:link w:val="Debesliotekstas"/>
    <w:rsid w:val="00133867"/>
    <w:rPr>
      <w:rFonts w:ascii="Tahoma" w:hAnsi="Tahoma" w:cs="Tahoma"/>
      <w:sz w:val="16"/>
      <w:szCs w:val="16"/>
      <w:lang w:val="en-GB" w:eastAsia="en-US"/>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022DB4"/>
    <w:pPr>
      <w:ind w:left="720"/>
      <w:contextualSpacing/>
    </w:pPr>
  </w:style>
  <w:style w:type="paragraph" w:styleId="Pataisymai">
    <w:name w:val="Revision"/>
    <w:hidden/>
    <w:uiPriority w:val="99"/>
    <w:semiHidden/>
    <w:rsid w:val="00AD5AC3"/>
    <w:rPr>
      <w:sz w:val="24"/>
      <w:szCs w:val="24"/>
      <w:lang w:val="en-GB" w:eastAsia="en-US"/>
    </w:rPr>
  </w:style>
  <w:style w:type="character" w:styleId="Komentaronuoroda">
    <w:name w:val="annotation reference"/>
    <w:basedOn w:val="Numatytasispastraiposriftas"/>
    <w:semiHidden/>
    <w:unhideWhenUsed/>
    <w:rsid w:val="00482394"/>
    <w:rPr>
      <w:sz w:val="16"/>
      <w:szCs w:val="16"/>
    </w:rPr>
  </w:style>
  <w:style w:type="paragraph" w:styleId="Komentarotekstas">
    <w:name w:val="annotation text"/>
    <w:basedOn w:val="prastasis"/>
    <w:link w:val="KomentarotekstasDiagrama"/>
    <w:unhideWhenUsed/>
    <w:rsid w:val="00482394"/>
    <w:rPr>
      <w:sz w:val="20"/>
      <w:szCs w:val="20"/>
    </w:rPr>
  </w:style>
  <w:style w:type="character" w:customStyle="1" w:styleId="KomentarotekstasDiagrama">
    <w:name w:val="Komentaro tekstas Diagrama"/>
    <w:basedOn w:val="Numatytasispastraiposriftas"/>
    <w:link w:val="Komentarotekstas"/>
    <w:rsid w:val="00482394"/>
    <w:rPr>
      <w:lang w:val="en-GB" w:eastAsia="en-US"/>
    </w:rPr>
  </w:style>
  <w:style w:type="paragraph" w:styleId="Komentarotema">
    <w:name w:val="annotation subject"/>
    <w:basedOn w:val="Komentarotekstas"/>
    <w:next w:val="Komentarotekstas"/>
    <w:link w:val="KomentarotemaDiagrama"/>
    <w:semiHidden/>
    <w:unhideWhenUsed/>
    <w:rsid w:val="00482394"/>
    <w:rPr>
      <w:b/>
      <w:bCs/>
    </w:rPr>
  </w:style>
  <w:style w:type="character" w:customStyle="1" w:styleId="KomentarotemaDiagrama">
    <w:name w:val="Komentaro tema Diagrama"/>
    <w:basedOn w:val="KomentarotekstasDiagrama"/>
    <w:link w:val="Komentarotema"/>
    <w:semiHidden/>
    <w:rsid w:val="00482394"/>
    <w:rPr>
      <w:b/>
      <w:bCs/>
      <w:lang w:val="en-GB" w:eastAsia="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DE46DC"/>
    <w:rPr>
      <w:sz w:val="24"/>
      <w:szCs w:val="24"/>
      <w:lang w:val="en-GB" w:eastAsia="en-US"/>
    </w:rPr>
  </w:style>
  <w:style w:type="character" w:styleId="Neapdorotaspaminjimas">
    <w:name w:val="Unresolved Mention"/>
    <w:basedOn w:val="Numatytasispastraiposriftas"/>
    <w:uiPriority w:val="99"/>
    <w:semiHidden/>
    <w:unhideWhenUsed/>
    <w:rsid w:val="00B652B1"/>
    <w:rPr>
      <w:color w:val="605E5C"/>
      <w:shd w:val="clear" w:color="auto" w:fill="E1DFDD"/>
    </w:rPr>
  </w:style>
  <w:style w:type="character" w:styleId="Emfaz">
    <w:name w:val="Emphasis"/>
    <w:basedOn w:val="Numatytasispastraiposriftas"/>
    <w:uiPriority w:val="20"/>
    <w:qFormat/>
    <w:rsid w:val="00D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81337">
      <w:bodyDiv w:val="1"/>
      <w:marLeft w:val="0"/>
      <w:marRight w:val="0"/>
      <w:marTop w:val="0"/>
      <w:marBottom w:val="0"/>
      <w:divBdr>
        <w:top w:val="none" w:sz="0" w:space="0" w:color="auto"/>
        <w:left w:val="none" w:sz="0" w:space="0" w:color="auto"/>
        <w:bottom w:val="none" w:sz="0" w:space="0" w:color="auto"/>
        <w:right w:val="none" w:sz="0" w:space="0" w:color="auto"/>
      </w:divBdr>
      <w:divsChild>
        <w:div w:id="1193884591">
          <w:marLeft w:val="0"/>
          <w:marRight w:val="0"/>
          <w:marTop w:val="0"/>
          <w:marBottom w:val="0"/>
          <w:divBdr>
            <w:top w:val="none" w:sz="0" w:space="0" w:color="auto"/>
            <w:left w:val="none" w:sz="0" w:space="0" w:color="auto"/>
            <w:bottom w:val="none" w:sz="0" w:space="0" w:color="auto"/>
            <w:right w:val="none" w:sz="0" w:space="0" w:color="auto"/>
          </w:divBdr>
        </w:div>
        <w:div w:id="1272977026">
          <w:marLeft w:val="0"/>
          <w:marRight w:val="0"/>
          <w:marTop w:val="0"/>
          <w:marBottom w:val="0"/>
          <w:divBdr>
            <w:top w:val="none" w:sz="0" w:space="0" w:color="auto"/>
            <w:left w:val="none" w:sz="0" w:space="0" w:color="auto"/>
            <w:bottom w:val="none" w:sz="0" w:space="0" w:color="auto"/>
            <w:right w:val="none" w:sz="0" w:space="0" w:color="auto"/>
          </w:divBdr>
        </w:div>
        <w:div w:id="97256299">
          <w:marLeft w:val="0"/>
          <w:marRight w:val="0"/>
          <w:marTop w:val="0"/>
          <w:marBottom w:val="0"/>
          <w:divBdr>
            <w:top w:val="none" w:sz="0" w:space="0" w:color="auto"/>
            <w:left w:val="none" w:sz="0" w:space="0" w:color="auto"/>
            <w:bottom w:val="none" w:sz="0" w:space="0" w:color="auto"/>
            <w:right w:val="none" w:sz="0" w:space="0" w:color="auto"/>
          </w:divBdr>
        </w:div>
      </w:divsChild>
    </w:div>
    <w:div w:id="1128164989">
      <w:bodyDiv w:val="1"/>
      <w:marLeft w:val="0"/>
      <w:marRight w:val="0"/>
      <w:marTop w:val="0"/>
      <w:marBottom w:val="0"/>
      <w:divBdr>
        <w:top w:val="none" w:sz="0" w:space="0" w:color="auto"/>
        <w:left w:val="none" w:sz="0" w:space="0" w:color="auto"/>
        <w:bottom w:val="none" w:sz="0" w:space="0" w:color="auto"/>
        <w:right w:val="none" w:sz="0" w:space="0" w:color="auto"/>
      </w:divBdr>
      <w:divsChild>
        <w:div w:id="1945992204">
          <w:marLeft w:val="0"/>
          <w:marRight w:val="0"/>
          <w:marTop w:val="0"/>
          <w:marBottom w:val="0"/>
          <w:divBdr>
            <w:top w:val="none" w:sz="0" w:space="0" w:color="auto"/>
            <w:left w:val="none" w:sz="0" w:space="0" w:color="auto"/>
            <w:bottom w:val="none" w:sz="0" w:space="0" w:color="auto"/>
            <w:right w:val="none" w:sz="0" w:space="0" w:color="auto"/>
          </w:divBdr>
        </w:div>
        <w:div w:id="2092777314">
          <w:marLeft w:val="0"/>
          <w:marRight w:val="0"/>
          <w:marTop w:val="0"/>
          <w:marBottom w:val="0"/>
          <w:divBdr>
            <w:top w:val="none" w:sz="0" w:space="0" w:color="auto"/>
            <w:left w:val="none" w:sz="0" w:space="0" w:color="auto"/>
            <w:bottom w:val="none" w:sz="0" w:space="0" w:color="auto"/>
            <w:right w:val="none" w:sz="0" w:space="0" w:color="auto"/>
          </w:divBdr>
        </w:div>
        <w:div w:id="960039508">
          <w:marLeft w:val="0"/>
          <w:marRight w:val="0"/>
          <w:marTop w:val="0"/>
          <w:marBottom w:val="0"/>
          <w:divBdr>
            <w:top w:val="none" w:sz="0" w:space="0" w:color="auto"/>
            <w:left w:val="none" w:sz="0" w:space="0" w:color="auto"/>
            <w:bottom w:val="none" w:sz="0" w:space="0" w:color="auto"/>
            <w:right w:val="none" w:sz="0" w:space="0" w:color="auto"/>
          </w:divBdr>
        </w:div>
      </w:divsChild>
    </w:div>
    <w:div w:id="14140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588BE-3BA2-4302-A51E-746CC641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18815</Words>
  <Characters>10726</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Kasacinės instancijos teismo pranešėjas</vt:lpstr>
      <vt:lpstr>Kasacinės instancijos teismo pranešėjas</vt:lpstr>
    </vt:vector>
  </TitlesOfParts>
  <Company>LAT</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Kasacinės instancijos teismo pranešėjas</dc:title>
  <dc:subject/>
  <cp:keywords/>
  <cp:lastPrinted>2025-12-01T12:02:00Z</cp:lastPrinted>
  <dcterms:created xsi:type="dcterms:W3CDTF">2026-06-15T13:58:00Z</dcterms:created>
  <dcterms:modified xsi:type="dcterms:W3CDTF">2026-06-17T10:12:00Z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73765fa368d445df902502e051e9d34a201602221428305">
    <vt:lpwstr>mbT85M9UgkjMMVV0as5WzpidGbk=</vt:lpwstr>
  </property>
  <property fmtid="{D5CDD505-2E9C-101B-9397-08002B2CF9AE}" pid="3" name="NSMeb06407673094278a20d861d57307f82202512021153091">
    <vt:lpwstr>S7L9Vzz2TQlKUMzpLevMA3aozto=</vt:lpwstr>
  </property>
  <property fmtid="{D5CDD505-2E9C-101B-9397-08002B2CF9AE}" pid="4" name="NSM4d12877b80cf4348aa598569b159e51e202606171250503">
    <vt:lpwstr>FR7FgZb7z+avVUo7jiublBR0AmU=</vt:lpwstr>
  </property>
</Properties>
</file>