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85AE4" w14:textId="1833B565" w:rsidR="00D71DC0" w:rsidRPr="00B65884" w:rsidRDefault="00100798" w:rsidP="00D71DC0">
      <w:pPr>
        <w:spacing w:after="0"/>
        <w:ind w:left="5245" w:firstLine="0"/>
        <w:rPr>
          <w:lang w:val="lt-LT"/>
        </w:rPr>
      </w:pPr>
      <w:r w:rsidRPr="007F5BAA">
        <w:rPr>
          <w:lang w:val="lt-LT"/>
        </w:rPr>
        <w:t xml:space="preserve">  </w:t>
      </w:r>
      <w:r w:rsidR="00D71DC0" w:rsidRPr="00B65884">
        <w:rPr>
          <w:lang w:val="lt-LT"/>
        </w:rPr>
        <w:t>Baudžiamoji byla Nr. 2K-7-117-511/2024</w:t>
      </w:r>
    </w:p>
    <w:p w14:paraId="46839C71" w14:textId="77777777" w:rsidR="00D71DC0" w:rsidRPr="00B65884" w:rsidRDefault="00D71DC0" w:rsidP="00D71DC0">
      <w:pPr>
        <w:spacing w:after="0"/>
        <w:ind w:left="5245" w:firstLine="0"/>
        <w:rPr>
          <w:lang w:val="lt-LT"/>
        </w:rPr>
      </w:pPr>
      <w:r w:rsidRPr="00B65884">
        <w:rPr>
          <w:lang w:val="lt-LT"/>
        </w:rPr>
        <w:t xml:space="preserve">  Teisminio proceso Nr. 1-01-1-25997-2019-7</w:t>
      </w:r>
    </w:p>
    <w:p w14:paraId="42157D0F" w14:textId="77777777" w:rsidR="00D71DC0" w:rsidRPr="00B65884" w:rsidRDefault="00D71DC0" w:rsidP="00D71DC0">
      <w:pPr>
        <w:spacing w:after="0"/>
        <w:ind w:left="5245" w:firstLine="0"/>
        <w:rPr>
          <w:lang w:val="lt-LT"/>
        </w:rPr>
      </w:pPr>
      <w:r w:rsidRPr="00B65884">
        <w:rPr>
          <w:lang w:val="lt-LT"/>
        </w:rPr>
        <w:t xml:space="preserve">  Procesinio sprendimo kategorijos:</w:t>
      </w:r>
    </w:p>
    <w:p w14:paraId="4D6B7267" w14:textId="7D4775B8" w:rsidR="00D71DC0" w:rsidRDefault="00D71DC0" w:rsidP="00D71DC0">
      <w:pPr>
        <w:spacing w:after="0"/>
        <w:ind w:left="5245" w:firstLine="0"/>
        <w:rPr>
          <w:lang w:val="lt-LT"/>
        </w:rPr>
      </w:pPr>
      <w:r w:rsidRPr="00B65884">
        <w:rPr>
          <w:lang w:val="lt-LT"/>
        </w:rPr>
        <w:t xml:space="preserve">  1.2.25.4.1;</w:t>
      </w:r>
      <w:r w:rsidRPr="00B65884">
        <w:t xml:space="preserve"> </w:t>
      </w:r>
      <w:r w:rsidRPr="00B65884">
        <w:rPr>
          <w:lang w:val="lt-LT"/>
        </w:rPr>
        <w:t>2.1.7.4.4; 2.1.7.5; 2.8.9.4</w:t>
      </w:r>
    </w:p>
    <w:p w14:paraId="0E2A073F" w14:textId="2AF22265" w:rsidR="00680441" w:rsidRDefault="00680441" w:rsidP="00680441">
      <w:pPr>
        <w:spacing w:after="0"/>
        <w:ind w:left="5245" w:firstLine="0"/>
        <w:rPr>
          <w:lang w:val="lt-LT"/>
        </w:rPr>
      </w:pPr>
      <w:r>
        <w:rPr>
          <w:lang w:val="lt-LT"/>
        </w:rPr>
        <w:t xml:space="preserve">  </w:t>
      </w:r>
      <w:r>
        <w:rPr>
          <w:lang w:val="lt-LT"/>
        </w:rPr>
        <w:t xml:space="preserve">(S) </w:t>
      </w:r>
    </w:p>
    <w:p w14:paraId="2E10BDF9" w14:textId="77777777" w:rsidR="00D71DC0" w:rsidRPr="006C74D1" w:rsidRDefault="00D71DC0" w:rsidP="00D71DC0">
      <w:pPr>
        <w:spacing w:after="0"/>
        <w:ind w:left="0" w:firstLine="0"/>
        <w:jc w:val="left"/>
        <w:rPr>
          <w:lang w:val="lt-LT"/>
        </w:rPr>
      </w:pPr>
    </w:p>
    <w:p w14:paraId="5354CA27" w14:textId="77777777" w:rsidR="00D71DC0" w:rsidRPr="006C74D1" w:rsidRDefault="00D71DC0" w:rsidP="00D71DC0">
      <w:pPr>
        <w:spacing w:after="0"/>
        <w:ind w:left="0" w:firstLine="0"/>
        <w:jc w:val="center"/>
        <w:rPr>
          <w:lang w:val="lt-LT"/>
        </w:rPr>
      </w:pPr>
      <w:r w:rsidRPr="006C74D1">
        <w:rPr>
          <w:noProof/>
          <w:lang w:val="lt-LT" w:eastAsia="lt-LT"/>
        </w:rPr>
        <w:drawing>
          <wp:inline distT="0" distB="0" distL="0" distR="0" wp14:anchorId="53F21D50" wp14:editId="0A5B585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6DC2C0E" w14:textId="77777777" w:rsidR="00D71DC0" w:rsidRPr="006C74D1" w:rsidRDefault="00D71DC0" w:rsidP="00D71DC0">
      <w:pPr>
        <w:spacing w:after="0"/>
        <w:ind w:left="0" w:firstLine="0"/>
        <w:jc w:val="center"/>
        <w:rPr>
          <w:lang w:val="lt-LT"/>
        </w:rPr>
      </w:pPr>
    </w:p>
    <w:p w14:paraId="779318E2" w14:textId="77777777" w:rsidR="00D71DC0" w:rsidRPr="006C74D1" w:rsidRDefault="00D71DC0" w:rsidP="00D71DC0">
      <w:pPr>
        <w:keepNext/>
        <w:spacing w:after="0"/>
        <w:ind w:left="0" w:firstLine="0"/>
        <w:jc w:val="center"/>
        <w:outlineLvl w:val="0"/>
        <w:rPr>
          <w:b/>
          <w:bCs/>
          <w:sz w:val="32"/>
          <w:lang w:val="lt-LT"/>
        </w:rPr>
      </w:pPr>
      <w:r w:rsidRPr="006C74D1">
        <w:rPr>
          <w:b/>
          <w:bCs/>
          <w:sz w:val="32"/>
          <w:lang w:val="lt-LT"/>
        </w:rPr>
        <w:t xml:space="preserve">LIETUVOS AUKŠČIAUSIASIS TEISMAS </w:t>
      </w:r>
    </w:p>
    <w:p w14:paraId="612E836C" w14:textId="77777777" w:rsidR="00D71DC0" w:rsidRPr="006C74D1" w:rsidRDefault="00D71DC0" w:rsidP="00D71DC0">
      <w:pPr>
        <w:keepNext/>
        <w:spacing w:after="0"/>
        <w:ind w:left="0" w:firstLine="0"/>
        <w:jc w:val="left"/>
        <w:outlineLvl w:val="0"/>
        <w:rPr>
          <w:b/>
          <w:bCs/>
          <w:sz w:val="32"/>
          <w:lang w:val="lt-LT"/>
        </w:rPr>
      </w:pPr>
    </w:p>
    <w:p w14:paraId="5074A0AC" w14:textId="77777777" w:rsidR="00D71DC0" w:rsidRPr="006C74D1" w:rsidRDefault="00D71DC0" w:rsidP="00D71DC0">
      <w:pPr>
        <w:keepNext/>
        <w:spacing w:after="0"/>
        <w:ind w:left="0" w:firstLine="0"/>
        <w:jc w:val="center"/>
        <w:outlineLvl w:val="0"/>
        <w:rPr>
          <w:b/>
          <w:bCs/>
          <w:sz w:val="32"/>
          <w:lang w:val="lt-LT"/>
        </w:rPr>
      </w:pPr>
      <w:r w:rsidRPr="006C74D1">
        <w:rPr>
          <w:b/>
          <w:bCs/>
          <w:sz w:val="32"/>
          <w:lang w:val="lt-LT"/>
        </w:rPr>
        <w:t>N U T A R T I S</w:t>
      </w:r>
    </w:p>
    <w:p w14:paraId="2544C98B" w14:textId="77777777" w:rsidR="00D71DC0" w:rsidRPr="006C74D1" w:rsidRDefault="00D71DC0" w:rsidP="00D71DC0">
      <w:pPr>
        <w:keepNext/>
        <w:spacing w:after="0"/>
        <w:ind w:left="0" w:firstLine="0"/>
        <w:jc w:val="center"/>
        <w:outlineLvl w:val="1"/>
        <w:rPr>
          <w:sz w:val="28"/>
          <w:lang w:val="lt-LT"/>
        </w:rPr>
      </w:pPr>
      <w:r w:rsidRPr="006C74D1">
        <w:rPr>
          <w:lang w:val="lt-LT"/>
        </w:rPr>
        <w:t>LIETUVOS RESPUBLIKOS VARDU</w:t>
      </w:r>
    </w:p>
    <w:p w14:paraId="5AF491EA" w14:textId="77777777" w:rsidR="00D71DC0" w:rsidRPr="00091C15" w:rsidRDefault="00D71DC0" w:rsidP="00D71DC0">
      <w:pPr>
        <w:spacing w:after="0"/>
        <w:ind w:left="0" w:firstLine="0"/>
        <w:jc w:val="left"/>
        <w:rPr>
          <w:lang w:val="lt-LT"/>
        </w:rPr>
      </w:pPr>
    </w:p>
    <w:p w14:paraId="738EB597" w14:textId="77777777" w:rsidR="00D71DC0" w:rsidRPr="00091C15" w:rsidRDefault="00D71DC0" w:rsidP="00D71DC0">
      <w:pPr>
        <w:keepNext/>
        <w:spacing w:after="0"/>
        <w:ind w:left="0" w:firstLine="0"/>
        <w:jc w:val="center"/>
        <w:outlineLvl w:val="0"/>
        <w:rPr>
          <w:bCs/>
          <w:lang w:val="lt-LT"/>
        </w:rPr>
      </w:pPr>
      <w:r w:rsidRPr="00091C15">
        <w:rPr>
          <w:bCs/>
          <w:lang w:val="lt-LT"/>
        </w:rPr>
        <w:t xml:space="preserve">2024 m. </w:t>
      </w:r>
      <w:bookmarkStart w:id="0" w:name="_Hlk509237814"/>
      <w:r w:rsidRPr="00091C15">
        <w:rPr>
          <w:lang w:val="lt-LT"/>
        </w:rPr>
        <w:t>spalio 15</w:t>
      </w:r>
      <w:r w:rsidRPr="00091C15">
        <w:rPr>
          <w:bCs/>
          <w:lang w:val="lt-LT"/>
        </w:rPr>
        <w:t xml:space="preserve"> </w:t>
      </w:r>
      <w:bookmarkEnd w:id="0"/>
      <w:r w:rsidRPr="00091C15">
        <w:rPr>
          <w:bCs/>
          <w:lang w:val="lt-LT"/>
        </w:rPr>
        <w:t>d.</w:t>
      </w:r>
    </w:p>
    <w:p w14:paraId="44D95E29" w14:textId="77777777" w:rsidR="00D71DC0" w:rsidRPr="00091C15" w:rsidRDefault="00D71DC0" w:rsidP="00D71DC0">
      <w:pPr>
        <w:spacing w:after="0"/>
        <w:ind w:left="0" w:firstLine="0"/>
        <w:jc w:val="center"/>
        <w:rPr>
          <w:lang w:val="lt-LT"/>
        </w:rPr>
      </w:pPr>
      <w:r w:rsidRPr="00091C15">
        <w:rPr>
          <w:lang w:val="lt-LT"/>
        </w:rPr>
        <w:t>Vilnius</w:t>
      </w:r>
    </w:p>
    <w:p w14:paraId="61FE31EB" w14:textId="77777777" w:rsidR="00D71DC0" w:rsidRPr="006C74D1" w:rsidRDefault="00D71DC0" w:rsidP="00D71DC0">
      <w:pPr>
        <w:spacing w:after="0"/>
        <w:ind w:left="0" w:firstLine="0"/>
        <w:jc w:val="left"/>
        <w:rPr>
          <w:lang w:val="lt-LT"/>
        </w:rPr>
      </w:pPr>
    </w:p>
    <w:p w14:paraId="6FCDFB34" w14:textId="758D8A91" w:rsidR="00D71DC0" w:rsidRDefault="00D71DC0" w:rsidP="00D71DC0">
      <w:pPr>
        <w:spacing w:after="0"/>
        <w:ind w:left="0" w:firstLine="720"/>
        <w:rPr>
          <w:lang w:val="lt-LT"/>
        </w:rPr>
      </w:pPr>
      <w:r w:rsidRPr="006C74D1">
        <w:rPr>
          <w:lang w:val="lt-LT"/>
        </w:rPr>
        <w:t>Lietuvos Aukščiausiojo Teismo Baudžiamųjų bylų</w:t>
      </w:r>
      <w:r>
        <w:rPr>
          <w:lang w:val="lt-LT"/>
        </w:rPr>
        <w:t xml:space="preserve"> </w:t>
      </w:r>
      <w:r w:rsidRPr="00032F00">
        <w:rPr>
          <w:lang w:val="lt-LT"/>
        </w:rPr>
        <w:t>skyriaus išplėstinė septynių teisėjų kolegija</w:t>
      </w:r>
      <w:r w:rsidRPr="006C74D1">
        <w:rPr>
          <w:lang w:val="lt-LT"/>
        </w:rPr>
        <w:t>, susidedanti iš teisėjų</w:t>
      </w:r>
      <w:bookmarkStart w:id="1" w:name="_Hlk158035079"/>
      <w:r w:rsidRPr="006C74D1">
        <w:rPr>
          <w:lang w:val="lt-LT"/>
        </w:rPr>
        <w:t xml:space="preserve"> </w:t>
      </w:r>
      <w:bookmarkStart w:id="2" w:name="_Hlk165844399"/>
      <w:r w:rsidRPr="006C74D1">
        <w:rPr>
          <w:lang w:val="lt-LT"/>
        </w:rPr>
        <w:t>Alvydo Pikelio</w:t>
      </w:r>
      <w:bookmarkEnd w:id="1"/>
      <w:r w:rsidRPr="006C74D1">
        <w:rPr>
          <w:lang w:val="lt-LT"/>
        </w:rPr>
        <w:t xml:space="preserve"> </w:t>
      </w:r>
      <w:bookmarkEnd w:id="2"/>
      <w:r w:rsidRPr="006C74D1">
        <w:rPr>
          <w:lang w:val="lt-LT"/>
        </w:rPr>
        <w:t>(kolegijos pirmininkas),</w:t>
      </w:r>
      <w:bookmarkStart w:id="3" w:name="_Hlk158035098"/>
      <w:r w:rsidRPr="006C74D1">
        <w:rPr>
          <w:lang w:val="lt-LT"/>
        </w:rPr>
        <w:t xml:space="preserve"> </w:t>
      </w:r>
      <w:bookmarkStart w:id="4" w:name="_Hlk165844430"/>
      <w:r w:rsidRPr="00032F00">
        <w:rPr>
          <w:lang w:val="lt-LT"/>
        </w:rPr>
        <w:t>Oleg</w:t>
      </w:r>
      <w:r>
        <w:rPr>
          <w:lang w:val="lt-LT"/>
        </w:rPr>
        <w:t>o</w:t>
      </w:r>
      <w:r w:rsidRPr="00032F00">
        <w:rPr>
          <w:lang w:val="lt-LT"/>
        </w:rPr>
        <w:t xml:space="preserve"> </w:t>
      </w:r>
      <w:proofErr w:type="spellStart"/>
      <w:r w:rsidRPr="00032F00">
        <w:rPr>
          <w:lang w:val="lt-LT"/>
        </w:rPr>
        <w:t>Fedosiuk</w:t>
      </w:r>
      <w:r>
        <w:rPr>
          <w:lang w:val="lt-LT"/>
        </w:rPr>
        <w:t>o</w:t>
      </w:r>
      <w:proofErr w:type="spellEnd"/>
      <w:r w:rsidRPr="00032F00">
        <w:rPr>
          <w:lang w:val="lt-LT"/>
        </w:rPr>
        <w:t>, Sigit</w:t>
      </w:r>
      <w:r>
        <w:rPr>
          <w:lang w:val="lt-LT"/>
        </w:rPr>
        <w:t>os </w:t>
      </w:r>
      <w:r w:rsidRPr="00032F00">
        <w:rPr>
          <w:lang w:val="lt-LT"/>
        </w:rPr>
        <w:t>Jokimaitė</w:t>
      </w:r>
      <w:r>
        <w:rPr>
          <w:lang w:val="lt-LT"/>
        </w:rPr>
        <w:t>s</w:t>
      </w:r>
      <w:r w:rsidRPr="00032F00">
        <w:rPr>
          <w:lang w:val="lt-LT"/>
        </w:rPr>
        <w:t>, Gabrielė</w:t>
      </w:r>
      <w:r>
        <w:rPr>
          <w:lang w:val="lt-LT"/>
        </w:rPr>
        <w:t>s</w:t>
      </w:r>
      <w:r w:rsidRPr="00032F00">
        <w:rPr>
          <w:lang w:val="lt-LT"/>
        </w:rPr>
        <w:t xml:space="preserve"> Juodkaitė</w:t>
      </w:r>
      <w:r>
        <w:rPr>
          <w:lang w:val="lt-LT"/>
        </w:rPr>
        <w:t>s</w:t>
      </w:r>
      <w:r w:rsidRPr="00032F00">
        <w:rPr>
          <w:lang w:val="lt-LT"/>
        </w:rPr>
        <w:t>-</w:t>
      </w:r>
      <w:proofErr w:type="spellStart"/>
      <w:r w:rsidRPr="00032F00">
        <w:rPr>
          <w:lang w:val="lt-LT"/>
        </w:rPr>
        <w:t>Granskienė</w:t>
      </w:r>
      <w:r>
        <w:rPr>
          <w:lang w:val="lt-LT"/>
        </w:rPr>
        <w:t>s</w:t>
      </w:r>
      <w:proofErr w:type="spellEnd"/>
      <w:r w:rsidRPr="00032F00">
        <w:rPr>
          <w:lang w:val="lt-LT"/>
        </w:rPr>
        <w:t>, Artūr</w:t>
      </w:r>
      <w:r>
        <w:rPr>
          <w:lang w:val="lt-LT"/>
        </w:rPr>
        <w:t>o</w:t>
      </w:r>
      <w:r w:rsidRPr="00032F00">
        <w:rPr>
          <w:lang w:val="lt-LT"/>
        </w:rPr>
        <w:t xml:space="preserve"> </w:t>
      </w:r>
      <w:proofErr w:type="spellStart"/>
      <w:r w:rsidRPr="00032F00">
        <w:rPr>
          <w:lang w:val="lt-LT"/>
        </w:rPr>
        <w:t>Pažarski</w:t>
      </w:r>
      <w:r>
        <w:rPr>
          <w:lang w:val="lt-LT"/>
        </w:rPr>
        <w:t>o</w:t>
      </w:r>
      <w:proofErr w:type="spellEnd"/>
      <w:r w:rsidRPr="00032F00">
        <w:rPr>
          <w:lang w:val="lt-LT"/>
        </w:rPr>
        <w:t>, Alen</w:t>
      </w:r>
      <w:r>
        <w:rPr>
          <w:lang w:val="lt-LT"/>
        </w:rPr>
        <w:t xml:space="preserve">o </w:t>
      </w:r>
      <w:proofErr w:type="spellStart"/>
      <w:r w:rsidRPr="00032F00">
        <w:rPr>
          <w:lang w:val="lt-LT"/>
        </w:rPr>
        <w:t>Piesliak</w:t>
      </w:r>
      <w:r>
        <w:rPr>
          <w:lang w:val="lt-LT"/>
        </w:rPr>
        <w:t>o</w:t>
      </w:r>
      <w:bookmarkEnd w:id="4"/>
      <w:proofErr w:type="spellEnd"/>
      <w:r>
        <w:rPr>
          <w:lang w:val="lt-LT"/>
        </w:rPr>
        <w:t xml:space="preserve"> </w:t>
      </w:r>
      <w:r w:rsidRPr="006C74D1">
        <w:rPr>
          <w:lang w:val="lt-LT"/>
        </w:rPr>
        <w:t>ir Eligijaus</w:t>
      </w:r>
      <w:r>
        <w:rPr>
          <w:lang w:val="lt-LT"/>
        </w:rPr>
        <w:t> </w:t>
      </w:r>
      <w:proofErr w:type="spellStart"/>
      <w:r w:rsidRPr="006C74D1">
        <w:rPr>
          <w:lang w:val="lt-LT"/>
        </w:rPr>
        <w:t>Gladučio</w:t>
      </w:r>
      <w:bookmarkEnd w:id="3"/>
      <w:proofErr w:type="spellEnd"/>
      <w:r w:rsidRPr="006C74D1">
        <w:rPr>
          <w:lang w:val="lt-LT"/>
        </w:rPr>
        <w:t xml:space="preserve"> (pranešėjas),</w:t>
      </w:r>
    </w:p>
    <w:p w14:paraId="4C2AFD3D" w14:textId="77777777" w:rsidR="00D71DC0" w:rsidRPr="006C74D1" w:rsidRDefault="00D71DC0" w:rsidP="00D71DC0">
      <w:pPr>
        <w:spacing w:after="0"/>
        <w:ind w:left="0" w:firstLine="0"/>
        <w:rPr>
          <w:lang w:val="lt-LT"/>
        </w:rPr>
      </w:pPr>
      <w:r w:rsidRPr="00BD6147">
        <w:rPr>
          <w:lang w:val="lt-LT"/>
        </w:rPr>
        <w:t xml:space="preserve">sekretoriaujant Agatai </w:t>
      </w:r>
      <w:proofErr w:type="spellStart"/>
      <w:r w:rsidRPr="00BD6147">
        <w:rPr>
          <w:lang w:val="lt-LT"/>
        </w:rPr>
        <w:t>Minkel</w:t>
      </w:r>
      <w:proofErr w:type="spellEnd"/>
      <w:r w:rsidRPr="00BD6147">
        <w:rPr>
          <w:lang w:val="lt-LT"/>
        </w:rPr>
        <w:t>,</w:t>
      </w:r>
    </w:p>
    <w:p w14:paraId="2841F709" w14:textId="77777777" w:rsidR="00D71DC0" w:rsidRDefault="00D71DC0" w:rsidP="00D71DC0">
      <w:pPr>
        <w:spacing w:after="0"/>
        <w:ind w:left="0" w:firstLine="0"/>
        <w:rPr>
          <w:lang w:val="lt-LT"/>
        </w:rPr>
      </w:pPr>
      <w:r w:rsidRPr="006C74D1">
        <w:rPr>
          <w:lang w:val="lt-LT"/>
        </w:rPr>
        <w:t>dalyvaujant prokurorui Dariui Čaplikui,</w:t>
      </w:r>
    </w:p>
    <w:p w14:paraId="05AEE100" w14:textId="754B1419" w:rsidR="00D71DC0" w:rsidRDefault="00D71DC0" w:rsidP="00D71DC0">
      <w:pPr>
        <w:spacing w:after="0"/>
        <w:ind w:left="0" w:firstLine="0"/>
        <w:rPr>
          <w:lang w:val="lt-LT"/>
        </w:rPr>
      </w:pPr>
      <w:r w:rsidRPr="00BD6147">
        <w:rPr>
          <w:lang w:val="lt-LT"/>
        </w:rPr>
        <w:t>nuteistajam L</w:t>
      </w:r>
      <w:bookmarkStart w:id="5" w:name="Buk_15"/>
      <w:r w:rsidR="00680441">
        <w:rPr>
          <w:lang w:val="lt-LT"/>
        </w:rPr>
        <w:t xml:space="preserve">. </w:t>
      </w:r>
      <w:r w:rsidR="00680441" w:rsidRPr="00680441">
        <w:rPr>
          <w:lang w:val="lt-LT"/>
        </w:rPr>
        <w:t xml:space="preserve">J. L. </w:t>
      </w:r>
      <w:bookmarkEnd w:id="5"/>
      <w:r w:rsidRPr="00BD6147">
        <w:rPr>
          <w:lang w:val="lt-LT"/>
        </w:rPr>
        <w:t>(L</w:t>
      </w:r>
      <w:r w:rsidR="00680441">
        <w:rPr>
          <w:lang w:val="lt-LT"/>
        </w:rPr>
        <w:t>.</w:t>
      </w:r>
      <w:r w:rsidRPr="00BD6147">
        <w:rPr>
          <w:lang w:val="lt-LT"/>
        </w:rPr>
        <w:t xml:space="preserve"> </w:t>
      </w:r>
      <w:bookmarkStart w:id="6" w:name="Buk_16"/>
      <w:r w:rsidR="00680441" w:rsidRPr="00680441">
        <w:rPr>
          <w:lang w:val="lt-LT"/>
        </w:rPr>
        <w:t>J. L.</w:t>
      </w:r>
      <w:bookmarkEnd w:id="6"/>
      <w:r w:rsidRPr="00BD6147">
        <w:rPr>
          <w:lang w:val="lt-LT"/>
        </w:rPr>
        <w:t xml:space="preserve">), jo gynėjui advokatui Laimonui </w:t>
      </w:r>
      <w:proofErr w:type="spellStart"/>
      <w:r w:rsidRPr="00BD6147">
        <w:rPr>
          <w:lang w:val="lt-LT"/>
        </w:rPr>
        <w:t>Judickui</w:t>
      </w:r>
      <w:proofErr w:type="spellEnd"/>
      <w:r w:rsidRPr="00BD6147">
        <w:rPr>
          <w:lang w:val="lt-LT"/>
        </w:rPr>
        <w:t>,</w:t>
      </w:r>
    </w:p>
    <w:p w14:paraId="20FA707A" w14:textId="77777777" w:rsidR="00D71DC0" w:rsidRDefault="00D71DC0" w:rsidP="00D71DC0">
      <w:pPr>
        <w:spacing w:after="0"/>
        <w:ind w:left="0" w:firstLine="0"/>
        <w:rPr>
          <w:lang w:val="lt-LT"/>
        </w:rPr>
      </w:pPr>
      <w:r>
        <w:rPr>
          <w:lang w:val="lt-LT"/>
        </w:rPr>
        <w:t xml:space="preserve">vertėjai </w:t>
      </w:r>
      <w:r w:rsidRPr="00BD6147">
        <w:rPr>
          <w:lang w:val="lt-LT"/>
        </w:rPr>
        <w:t>Rasa</w:t>
      </w:r>
      <w:r>
        <w:rPr>
          <w:lang w:val="lt-LT"/>
        </w:rPr>
        <w:t>i</w:t>
      </w:r>
      <w:r w:rsidRPr="00BD6147">
        <w:rPr>
          <w:lang w:val="lt-LT"/>
        </w:rPr>
        <w:t xml:space="preserve"> </w:t>
      </w:r>
      <w:proofErr w:type="spellStart"/>
      <w:r w:rsidRPr="00BD6147">
        <w:rPr>
          <w:lang w:val="lt-LT"/>
        </w:rPr>
        <w:t>Čirien</w:t>
      </w:r>
      <w:r>
        <w:rPr>
          <w:lang w:val="lt-LT"/>
        </w:rPr>
        <w:t>ei</w:t>
      </w:r>
      <w:proofErr w:type="spellEnd"/>
      <w:r>
        <w:rPr>
          <w:lang w:val="lt-LT"/>
        </w:rPr>
        <w:t xml:space="preserve">, </w:t>
      </w:r>
    </w:p>
    <w:p w14:paraId="42B9C9FE" w14:textId="5B3ECE49" w:rsidR="00D71DC0" w:rsidRPr="006C74D1" w:rsidRDefault="00D71DC0" w:rsidP="00D71DC0">
      <w:pPr>
        <w:spacing w:after="0"/>
        <w:ind w:left="0" w:firstLine="720"/>
        <w:rPr>
          <w:lang w:val="lt-LT"/>
        </w:rPr>
      </w:pPr>
      <w:r w:rsidRPr="006C74D1">
        <w:rPr>
          <w:lang w:val="lt-LT"/>
        </w:rPr>
        <w:t xml:space="preserve">viešame teismo posėdyje kasacine žodinio proceso tvarka išnagrinėjo baudžiamąją bylą pagal </w:t>
      </w:r>
      <w:bookmarkStart w:id="7" w:name="_Hlk167801935"/>
      <w:r w:rsidRPr="006C74D1">
        <w:rPr>
          <w:b/>
          <w:bCs/>
          <w:lang w:val="lt-LT"/>
        </w:rPr>
        <w:t>nuteistojo L</w:t>
      </w:r>
      <w:bookmarkStart w:id="8" w:name="Buk_17"/>
      <w:r w:rsidR="00680441">
        <w:rPr>
          <w:b/>
          <w:bCs/>
          <w:lang w:val="lt-LT"/>
        </w:rPr>
        <w:t xml:space="preserve">. </w:t>
      </w:r>
      <w:r w:rsidR="00680441" w:rsidRPr="00680441">
        <w:rPr>
          <w:b/>
          <w:bCs/>
          <w:lang w:val="lt-LT"/>
        </w:rPr>
        <w:t xml:space="preserve">J. L. </w:t>
      </w:r>
      <w:bookmarkEnd w:id="8"/>
      <w:r w:rsidRPr="006C74D1">
        <w:rPr>
          <w:b/>
          <w:bCs/>
          <w:lang w:val="lt-LT"/>
        </w:rPr>
        <w:t xml:space="preserve">gynėjo advokato Laimono </w:t>
      </w:r>
      <w:proofErr w:type="spellStart"/>
      <w:r w:rsidRPr="006C74D1">
        <w:rPr>
          <w:b/>
          <w:bCs/>
          <w:lang w:val="lt-LT"/>
        </w:rPr>
        <w:t>Judicko</w:t>
      </w:r>
      <w:proofErr w:type="spellEnd"/>
      <w:r w:rsidRPr="006C74D1">
        <w:rPr>
          <w:lang w:val="lt-LT"/>
        </w:rPr>
        <w:t xml:space="preserve"> kasacinį skundą </w:t>
      </w:r>
      <w:bookmarkEnd w:id="7"/>
      <w:r w:rsidRPr="006C74D1">
        <w:rPr>
          <w:lang w:val="lt-LT"/>
        </w:rPr>
        <w:t>dėl Šiaulių apygardos teismo Baudžiamųjų bylų skyriaus teisėjų kolegijos 2023 m. lapkričio 15 d. nuosprendžio, kuriuo L</w:t>
      </w:r>
      <w:bookmarkStart w:id="9" w:name="Buk_18"/>
      <w:r w:rsidR="00680441">
        <w:rPr>
          <w:lang w:val="lt-LT"/>
        </w:rPr>
        <w:t>. </w:t>
      </w:r>
      <w:r w:rsidR="00680441" w:rsidRPr="00680441">
        <w:rPr>
          <w:lang w:val="lt-LT"/>
        </w:rPr>
        <w:t xml:space="preserve">J. L. </w:t>
      </w:r>
      <w:bookmarkEnd w:id="9"/>
      <w:r w:rsidRPr="006C74D1">
        <w:rPr>
          <w:lang w:val="lt-LT"/>
        </w:rPr>
        <w:t>pripažintas kaltu ir nuteistas pagal Lietuvos Respublikos baudžiamojo kodekso (toliau – BK) 281 straipsnio 1 dalį.</w:t>
      </w:r>
    </w:p>
    <w:p w14:paraId="6C86EEA9" w14:textId="5FB48999" w:rsidR="00D71DC0" w:rsidRPr="006C74D1" w:rsidRDefault="00D71DC0" w:rsidP="00D71DC0">
      <w:pPr>
        <w:spacing w:after="0"/>
        <w:ind w:left="0" w:firstLine="720"/>
        <w:rPr>
          <w:lang w:val="lt-LT"/>
        </w:rPr>
      </w:pPr>
      <w:r w:rsidRPr="006C74D1">
        <w:rPr>
          <w:lang w:val="lt-LT"/>
        </w:rPr>
        <w:t>Šiaulių apylinkės teismo 2021 m. rugsėjo 29 d. nuosprendžiu L</w:t>
      </w:r>
      <w:r w:rsidR="00680441">
        <w:rPr>
          <w:lang w:val="lt-LT"/>
        </w:rPr>
        <w:t>.</w:t>
      </w:r>
      <w:r w:rsidRPr="006C74D1">
        <w:rPr>
          <w:lang w:val="lt-LT"/>
        </w:rPr>
        <w:t xml:space="preserve"> </w:t>
      </w:r>
      <w:bookmarkStart w:id="10" w:name="Buk_19"/>
      <w:r w:rsidR="00680441" w:rsidRPr="00680441">
        <w:rPr>
          <w:lang w:val="lt-LT"/>
        </w:rPr>
        <w:t xml:space="preserve">J. L. </w:t>
      </w:r>
      <w:bookmarkEnd w:id="10"/>
      <w:r w:rsidRPr="006C74D1">
        <w:rPr>
          <w:lang w:val="lt-LT"/>
        </w:rPr>
        <w:t>pagal BK 281</w:t>
      </w:r>
      <w:r w:rsidR="00680441">
        <w:rPr>
          <w:lang w:val="lt-LT"/>
        </w:rPr>
        <w:t> </w:t>
      </w:r>
      <w:r w:rsidRPr="006C74D1">
        <w:rPr>
          <w:lang w:val="lt-LT"/>
        </w:rPr>
        <w:t>straipsnio 1 dalį išteisintas, nes nepadaryta veika, turinti nusikaltimo ar baudžiamojo nusižengimo požymių (Lietuvos Respublikos baudžiamojo proceso kodekso (toliau – ir BPK) 303 straipsnio 5 dalies 1</w:t>
      </w:r>
      <w:r w:rsidR="00680441">
        <w:rPr>
          <w:lang w:val="lt-LT"/>
        </w:rPr>
        <w:t> </w:t>
      </w:r>
      <w:r w:rsidRPr="006C74D1">
        <w:rPr>
          <w:lang w:val="lt-LT"/>
        </w:rPr>
        <w:t xml:space="preserve">punktas). Nukentėjusiojo </w:t>
      </w:r>
      <w:bookmarkStart w:id="11" w:name="Buk_1"/>
      <w:r w:rsidR="00680441" w:rsidRPr="00680441">
        <w:rPr>
          <w:lang w:val="lt-LT"/>
        </w:rPr>
        <w:t xml:space="preserve">D. B. </w:t>
      </w:r>
      <w:bookmarkEnd w:id="11"/>
      <w:r w:rsidRPr="006C74D1">
        <w:rPr>
          <w:lang w:val="lt-LT"/>
        </w:rPr>
        <w:t xml:space="preserve">atstovo </w:t>
      </w:r>
      <w:r>
        <w:rPr>
          <w:lang w:val="lt-LT"/>
        </w:rPr>
        <w:t xml:space="preserve">advokato </w:t>
      </w:r>
      <w:proofErr w:type="spellStart"/>
      <w:r w:rsidRPr="006C74D1">
        <w:rPr>
          <w:lang w:val="lt-LT"/>
        </w:rPr>
        <w:t>Murado</w:t>
      </w:r>
      <w:proofErr w:type="spellEnd"/>
      <w:r w:rsidRPr="006C74D1">
        <w:rPr>
          <w:lang w:val="lt-LT"/>
        </w:rPr>
        <w:t xml:space="preserve"> </w:t>
      </w:r>
      <w:proofErr w:type="spellStart"/>
      <w:r w:rsidRPr="006C74D1">
        <w:rPr>
          <w:lang w:val="lt-LT"/>
        </w:rPr>
        <w:t>Bakano</w:t>
      </w:r>
      <w:proofErr w:type="spellEnd"/>
      <w:r>
        <w:rPr>
          <w:lang w:val="lt-LT"/>
        </w:rPr>
        <w:t xml:space="preserve"> </w:t>
      </w:r>
      <w:r w:rsidRPr="006C74D1">
        <w:rPr>
          <w:lang w:val="lt-LT"/>
        </w:rPr>
        <w:t>prašymas dėl atstovavimo išlaidų atlyginimo priteisimo atmestas.</w:t>
      </w:r>
    </w:p>
    <w:p w14:paraId="0F7EBDFC" w14:textId="77777777" w:rsidR="00D71DC0" w:rsidRPr="006C74D1" w:rsidRDefault="00D71DC0" w:rsidP="00D71DC0">
      <w:pPr>
        <w:spacing w:after="0"/>
        <w:ind w:left="0" w:firstLine="720"/>
        <w:rPr>
          <w:lang w:val="lt-LT"/>
        </w:rPr>
      </w:pPr>
      <w:r w:rsidRPr="006C74D1">
        <w:rPr>
          <w:lang w:val="lt-LT"/>
        </w:rPr>
        <w:t>Šiaulių apygardos teismo Baudžiamųjų bylų skyriaus teisėjų kolegijos 2022 m. balandžio</w:t>
      </w:r>
      <w:r>
        <w:rPr>
          <w:lang w:val="lt-LT"/>
        </w:rPr>
        <w:t> </w:t>
      </w:r>
      <w:r w:rsidRPr="006C74D1">
        <w:rPr>
          <w:lang w:val="lt-LT"/>
        </w:rPr>
        <w:t>27 d. nutartimi Šiaulių apylinkės teismo 2021 m. rugsėjo 29 d. nuosprendis panaikintas ir byla perduota iš naujo nagrinėti pirmosios instancijos teismui (BPK 326 straipsnio 1 dalies 4 punkto a</w:t>
      </w:r>
      <w:r>
        <w:rPr>
          <w:lang w:val="lt-LT"/>
        </w:rPr>
        <w:t> </w:t>
      </w:r>
      <w:r w:rsidRPr="006C74D1">
        <w:rPr>
          <w:lang w:val="lt-LT"/>
        </w:rPr>
        <w:t>papunktis).</w:t>
      </w:r>
    </w:p>
    <w:p w14:paraId="0C4B384E" w14:textId="6F22B385" w:rsidR="00D71DC0" w:rsidRPr="006C74D1" w:rsidRDefault="00D71DC0" w:rsidP="00D71DC0">
      <w:pPr>
        <w:spacing w:after="0"/>
        <w:ind w:left="0" w:firstLine="720"/>
        <w:rPr>
          <w:lang w:val="lt-LT"/>
        </w:rPr>
      </w:pPr>
      <w:bookmarkStart w:id="12" w:name="_Hlk167872026"/>
      <w:r w:rsidRPr="006C74D1">
        <w:rPr>
          <w:lang w:val="lt-LT"/>
        </w:rPr>
        <w:t xml:space="preserve">Šiaulių apylinkės teismo 2023 m. liepos 13 d. </w:t>
      </w:r>
      <w:bookmarkEnd w:id="12"/>
      <w:r w:rsidRPr="006C74D1">
        <w:rPr>
          <w:lang w:val="lt-LT"/>
        </w:rPr>
        <w:t>nuosprendžiu L</w:t>
      </w:r>
      <w:r w:rsidR="00680441">
        <w:rPr>
          <w:lang w:val="lt-LT"/>
        </w:rPr>
        <w:t>.</w:t>
      </w:r>
      <w:r w:rsidRPr="006C74D1">
        <w:rPr>
          <w:lang w:val="lt-LT"/>
        </w:rPr>
        <w:t xml:space="preserve"> </w:t>
      </w:r>
      <w:bookmarkStart w:id="13" w:name="Buk_20"/>
      <w:r w:rsidR="00680441" w:rsidRPr="00680441">
        <w:rPr>
          <w:lang w:val="lt-LT"/>
        </w:rPr>
        <w:t xml:space="preserve">J. L. </w:t>
      </w:r>
      <w:bookmarkEnd w:id="13"/>
      <w:r w:rsidRPr="006C74D1">
        <w:rPr>
          <w:lang w:val="lt-LT"/>
        </w:rPr>
        <w:t>pagal BK 281</w:t>
      </w:r>
      <w:r w:rsidR="00680441">
        <w:rPr>
          <w:lang w:val="lt-LT"/>
        </w:rPr>
        <w:t> </w:t>
      </w:r>
      <w:r w:rsidRPr="006C74D1">
        <w:rPr>
          <w:lang w:val="lt-LT"/>
        </w:rPr>
        <w:t xml:space="preserve">straipsnio 1 dalį išteisintas, nes nepadaryta veika, turinti nusikaltimo ar baudžiamojo nusižengimo požymių (BPK 303 straipsnio 5 dalies 1 punktas). Nukentėjusiojo </w:t>
      </w:r>
      <w:bookmarkStart w:id="14" w:name="Buk_2"/>
      <w:r w:rsidR="00680441" w:rsidRPr="00680441">
        <w:rPr>
          <w:lang w:val="lt-LT"/>
        </w:rPr>
        <w:t xml:space="preserve">D. B. </w:t>
      </w:r>
      <w:bookmarkEnd w:id="14"/>
      <w:r w:rsidRPr="006C74D1">
        <w:rPr>
          <w:lang w:val="lt-LT"/>
        </w:rPr>
        <w:t xml:space="preserve">atstovo advokato </w:t>
      </w:r>
      <w:proofErr w:type="spellStart"/>
      <w:r w:rsidRPr="006C74D1">
        <w:rPr>
          <w:lang w:val="lt-LT"/>
        </w:rPr>
        <w:t>Murado</w:t>
      </w:r>
      <w:proofErr w:type="spellEnd"/>
      <w:r w:rsidRPr="006C74D1">
        <w:rPr>
          <w:lang w:val="lt-LT"/>
        </w:rPr>
        <w:t xml:space="preserve"> </w:t>
      </w:r>
      <w:proofErr w:type="spellStart"/>
      <w:r w:rsidRPr="006C74D1">
        <w:rPr>
          <w:lang w:val="lt-LT"/>
        </w:rPr>
        <w:t>Bakano</w:t>
      </w:r>
      <w:proofErr w:type="spellEnd"/>
      <w:r w:rsidRPr="006C74D1">
        <w:rPr>
          <w:lang w:val="lt-LT"/>
        </w:rPr>
        <w:t xml:space="preserve"> prašymas dėl atstovavimo išlaidų atlyginimo priteisimo atmestas.</w:t>
      </w:r>
    </w:p>
    <w:p w14:paraId="3CBBADF3" w14:textId="5E6250F0" w:rsidR="00D71DC0" w:rsidRPr="006C74D1" w:rsidRDefault="00D71DC0" w:rsidP="00D71DC0">
      <w:pPr>
        <w:spacing w:after="0"/>
        <w:ind w:left="0" w:firstLine="720"/>
        <w:rPr>
          <w:lang w:val="lt-LT"/>
        </w:rPr>
      </w:pPr>
      <w:r w:rsidRPr="006C74D1">
        <w:rPr>
          <w:lang w:val="lt-LT"/>
        </w:rPr>
        <w:t>Šiaulių apygardos teismo Baudžiamųjų bylų skyriaus teisėjų kolegijos 2023 m. lapkričio 15 d. nuosprendžiu Šiaulių apylinkės teismo 2023 m. liepos 13 d. nuosprendis panaikintas ir priimtas naujas nuosprendis: L</w:t>
      </w:r>
      <w:r w:rsidR="00680441">
        <w:rPr>
          <w:lang w:val="lt-LT"/>
        </w:rPr>
        <w:t>.</w:t>
      </w:r>
      <w:r w:rsidRPr="006C74D1">
        <w:rPr>
          <w:lang w:val="lt-LT"/>
        </w:rPr>
        <w:t xml:space="preserve"> </w:t>
      </w:r>
      <w:bookmarkStart w:id="15" w:name="Buk_21"/>
      <w:r w:rsidR="00680441" w:rsidRPr="00680441">
        <w:rPr>
          <w:lang w:val="lt-LT"/>
        </w:rPr>
        <w:t xml:space="preserve">J. L. </w:t>
      </w:r>
      <w:bookmarkEnd w:id="15"/>
      <w:r w:rsidRPr="006C74D1">
        <w:rPr>
          <w:lang w:val="lt-LT"/>
        </w:rPr>
        <w:t xml:space="preserve">pripažintas kaltu ir nuteistas pagal BK 281 straipsnio 1 dalį 30 MGL (1500 Eur) dydžio bauda, nustatant šešių mėnesių terminą, per kurį </w:t>
      </w:r>
      <w:r>
        <w:rPr>
          <w:lang w:val="lt-LT"/>
        </w:rPr>
        <w:t xml:space="preserve">ji </w:t>
      </w:r>
      <w:r w:rsidRPr="006C74D1">
        <w:rPr>
          <w:lang w:val="lt-LT"/>
        </w:rPr>
        <w:t xml:space="preserve">turi būti savanoriškai sumokėta. Nukentėjusiojo </w:t>
      </w:r>
      <w:bookmarkStart w:id="16" w:name="Buk_3"/>
      <w:r w:rsidR="00680441" w:rsidRPr="00680441">
        <w:rPr>
          <w:lang w:val="lt-LT"/>
        </w:rPr>
        <w:t xml:space="preserve">D. B. </w:t>
      </w:r>
      <w:bookmarkEnd w:id="16"/>
      <w:r w:rsidRPr="006C74D1">
        <w:rPr>
          <w:lang w:val="lt-LT"/>
        </w:rPr>
        <w:t xml:space="preserve">atstovo advokato </w:t>
      </w:r>
      <w:proofErr w:type="spellStart"/>
      <w:r w:rsidRPr="006C74D1">
        <w:rPr>
          <w:lang w:val="lt-LT"/>
        </w:rPr>
        <w:t>Murado</w:t>
      </w:r>
      <w:proofErr w:type="spellEnd"/>
      <w:r w:rsidRPr="006C74D1">
        <w:rPr>
          <w:lang w:val="lt-LT"/>
        </w:rPr>
        <w:t xml:space="preserve"> </w:t>
      </w:r>
      <w:proofErr w:type="spellStart"/>
      <w:r w:rsidRPr="006C74D1">
        <w:rPr>
          <w:lang w:val="lt-LT"/>
        </w:rPr>
        <w:t>Bakano</w:t>
      </w:r>
      <w:proofErr w:type="spellEnd"/>
      <w:r w:rsidRPr="006C74D1">
        <w:rPr>
          <w:lang w:val="lt-LT"/>
        </w:rPr>
        <w:t xml:space="preserve"> prašymas dėl 784 Eur atstovavimo išlaidų atlyginimo priteisimo patenkintas.</w:t>
      </w:r>
    </w:p>
    <w:p w14:paraId="070D242A" w14:textId="77777777" w:rsidR="00D71DC0" w:rsidRPr="006C74D1" w:rsidRDefault="00D71DC0" w:rsidP="00D71DC0">
      <w:pPr>
        <w:spacing w:after="0"/>
        <w:rPr>
          <w:lang w:val="lt-LT"/>
        </w:rPr>
      </w:pPr>
    </w:p>
    <w:p w14:paraId="1E310D6B" w14:textId="77777777" w:rsidR="00D71DC0" w:rsidRDefault="00D71DC0" w:rsidP="00D71DC0">
      <w:pPr>
        <w:spacing w:after="0"/>
        <w:ind w:left="0" w:firstLine="720"/>
        <w:rPr>
          <w:lang w:val="lt-LT"/>
        </w:rPr>
      </w:pPr>
      <w:r w:rsidRPr="00193C97">
        <w:rPr>
          <w:lang w:val="lt-LT"/>
        </w:rPr>
        <w:t>Išplėstinė septynių teisėjų kolegija, išnagrinėjusi bylą ir išklausiusi nuteistojo ir jo gynėjo, prašiusių kasacinį skundą tenkinti, prokuroro, prašiusio kasacinį skundą atmesti, paaiškinimų,</w:t>
      </w:r>
    </w:p>
    <w:p w14:paraId="5ADC7126" w14:textId="77777777" w:rsidR="00D71DC0" w:rsidRPr="006C74D1" w:rsidRDefault="00D71DC0" w:rsidP="00D71DC0">
      <w:pPr>
        <w:shd w:val="clear" w:color="auto" w:fill="FFFFFF"/>
        <w:spacing w:after="0"/>
        <w:rPr>
          <w:lang w:val="lt-LT"/>
        </w:rPr>
      </w:pPr>
    </w:p>
    <w:p w14:paraId="55EDB03F" w14:textId="77777777" w:rsidR="00D71DC0" w:rsidRPr="006C74D1" w:rsidRDefault="00D71DC0" w:rsidP="00D71DC0">
      <w:pPr>
        <w:shd w:val="clear" w:color="auto" w:fill="FFFFFF"/>
        <w:spacing w:after="0"/>
        <w:ind w:left="0" w:firstLine="0"/>
        <w:rPr>
          <w:color w:val="000000"/>
          <w:spacing w:val="46"/>
          <w:lang w:val="lt-LT"/>
        </w:rPr>
      </w:pPr>
      <w:r w:rsidRPr="006C74D1">
        <w:rPr>
          <w:lang w:val="lt-LT"/>
        </w:rPr>
        <w:t>n u s t a t ė :</w:t>
      </w:r>
    </w:p>
    <w:p w14:paraId="1A8F3AE1" w14:textId="77777777" w:rsidR="00D71DC0" w:rsidRPr="006C74D1" w:rsidRDefault="00D71DC0" w:rsidP="00D71DC0">
      <w:pPr>
        <w:shd w:val="clear" w:color="auto" w:fill="FFFFFF"/>
        <w:ind w:left="0" w:firstLine="720"/>
        <w:rPr>
          <w:color w:val="000000"/>
          <w:spacing w:val="46"/>
          <w:lang w:val="lt-LT"/>
        </w:rPr>
      </w:pPr>
      <w:r w:rsidRPr="006C74D1">
        <w:rPr>
          <w:lang w:val="lt-LT"/>
        </w:rPr>
        <w:t xml:space="preserve"> </w:t>
      </w:r>
    </w:p>
    <w:p w14:paraId="03D282FD" w14:textId="77777777" w:rsidR="00D71DC0" w:rsidRPr="006C74D1" w:rsidRDefault="00D71DC0" w:rsidP="00D71DC0">
      <w:pPr>
        <w:ind w:left="0" w:firstLine="0"/>
        <w:jc w:val="center"/>
        <w:rPr>
          <w:lang w:val="lt-LT"/>
        </w:rPr>
      </w:pPr>
      <w:r w:rsidRPr="006C74D1">
        <w:rPr>
          <w:lang w:val="lt-LT"/>
        </w:rPr>
        <w:t>I. Bylos esmė</w:t>
      </w:r>
    </w:p>
    <w:p w14:paraId="3DF7CEB2" w14:textId="77777777" w:rsidR="00D71DC0" w:rsidRPr="006C74D1" w:rsidRDefault="00D71DC0" w:rsidP="00D71DC0">
      <w:pPr>
        <w:ind w:left="0" w:firstLine="0"/>
        <w:jc w:val="center"/>
        <w:rPr>
          <w:lang w:val="lt-LT"/>
        </w:rPr>
      </w:pPr>
      <w:r w:rsidRPr="006C74D1">
        <w:rPr>
          <w:lang w:val="lt-LT"/>
        </w:rPr>
        <w:t xml:space="preserve"> </w:t>
      </w:r>
    </w:p>
    <w:p w14:paraId="66C151A3" w14:textId="004AFD2E" w:rsidR="00D71DC0" w:rsidRPr="006C74D1" w:rsidRDefault="00D71DC0" w:rsidP="00680441">
      <w:pPr>
        <w:pStyle w:val="Pagrindinistekstas"/>
        <w:numPr>
          <w:ilvl w:val="0"/>
          <w:numId w:val="1"/>
        </w:numPr>
      </w:pPr>
      <w:r w:rsidRPr="006C74D1">
        <w:t xml:space="preserve">Apeliacinės instancijos teismo nuosprendžiu L. </w:t>
      </w:r>
      <w:bookmarkStart w:id="17" w:name="Buk_22"/>
      <w:r w:rsidR="00680441" w:rsidRPr="00680441">
        <w:t xml:space="preserve">J. L. </w:t>
      </w:r>
      <w:bookmarkEnd w:id="17"/>
      <w:r w:rsidRPr="006C74D1">
        <w:t xml:space="preserve">buvo pripažintas kaltu ir nuteistas pagal BK 281 straipsnio 1 dalį dėl to, kad jis 2019 m. birželio 17 d. apie 20.57 val. ties </w:t>
      </w:r>
      <w:r>
        <w:t>prekybos centru</w:t>
      </w:r>
      <w:r w:rsidRPr="006C74D1">
        <w:t xml:space="preserve"> „Norfa“, esančiu Šiaulių r., Kuršėnuose, Vilniaus g. 2, vairuodamas lengvąjį automobilį </w:t>
      </w:r>
      <w:r>
        <w:t>„</w:t>
      </w:r>
      <w:r w:rsidRPr="006C74D1">
        <w:t>BMW</w:t>
      </w:r>
      <w:r>
        <w:t> </w:t>
      </w:r>
      <w:r w:rsidRPr="006C74D1">
        <w:t xml:space="preserve">320D“, valst. Nr. </w:t>
      </w:r>
      <w:bookmarkStart w:id="18" w:name="Buk_52"/>
      <w:r w:rsidR="00680441" w:rsidRPr="00680441">
        <w:t>(</w:t>
      </w:r>
      <w:r w:rsidR="00680441" w:rsidRPr="00680441">
        <w:rPr>
          <w:i/>
          <w:iCs/>
        </w:rPr>
        <w:t>duomenys neskelbtini</w:t>
      </w:r>
      <w:r w:rsidR="00680441" w:rsidRPr="00680441">
        <w:t xml:space="preserve">), </w:t>
      </w:r>
      <w:bookmarkEnd w:id="18"/>
      <w:r w:rsidRPr="006C74D1">
        <w:t>pažeidė Kelių eismo taisyklių (toliau – KET) 9, 101 ir 106</w:t>
      </w:r>
      <w:r>
        <w:t> </w:t>
      </w:r>
      <w:r w:rsidRPr="006C74D1">
        <w:t>punktus ir sukėlė pavojų kitų eismo dalyvių bei jų turto saugumui, nes, važiuodamas L.</w:t>
      </w:r>
      <w:r>
        <w:t> </w:t>
      </w:r>
      <w:r w:rsidRPr="006C74D1">
        <w:t>Ivinskio aikštės pirm</w:t>
      </w:r>
      <w:r>
        <w:t>ąja</w:t>
      </w:r>
      <w:r w:rsidRPr="006C74D1">
        <w:t xml:space="preserve"> eismo juosta ir prieš pasukdamas į dešinėje pusėje esančią automobilių stovėjimo aikštelę, neįsitikino, kad tai daryti saugu, nesilaikė visų būtinų atsargumo priemonių, prieš darydamas posūkį į dešinėje pusėje esančią automobilių stovėjimo aikštelę, nepasitraukė prie pat dešinio pirmosios eismo juostos krašto, o sukdamas į automobilių stovėjimo aikštelę, nepraleido ta pačia kryptimi pirmąja eismo juosta tiesiai važi</w:t>
      </w:r>
      <w:r>
        <w:t>uojančio</w:t>
      </w:r>
      <w:r w:rsidRPr="006C74D1">
        <w:t xml:space="preserve"> motociklo „Yamaha</w:t>
      </w:r>
      <w:r>
        <w:t> </w:t>
      </w:r>
      <w:r w:rsidRPr="006C74D1">
        <w:t>MT</w:t>
      </w:r>
      <w:r>
        <w:t> </w:t>
      </w:r>
      <w:r w:rsidRPr="006C74D1">
        <w:t>125 ABS“, valst.</w:t>
      </w:r>
      <w:r>
        <w:t> </w:t>
      </w:r>
      <w:r w:rsidRPr="006C74D1">
        <w:t>Nr.</w:t>
      </w:r>
      <w:r>
        <w:t> </w:t>
      </w:r>
      <w:r w:rsidR="00680441" w:rsidRPr="00680441">
        <w:t>(</w:t>
      </w:r>
      <w:r w:rsidR="00680441" w:rsidRPr="00680441">
        <w:rPr>
          <w:i/>
          <w:iCs/>
        </w:rPr>
        <w:t>duomenys neskelbtini</w:t>
      </w:r>
      <w:r w:rsidR="00680441" w:rsidRPr="00680441">
        <w:t>),</w:t>
      </w:r>
      <w:r w:rsidRPr="006C74D1">
        <w:t xml:space="preserve"> kurį vairavo </w:t>
      </w:r>
      <w:bookmarkStart w:id="19" w:name="Buk_10"/>
      <w:r w:rsidR="00680441" w:rsidRPr="00680441">
        <w:t>D. B.</w:t>
      </w:r>
      <w:bookmarkEnd w:id="19"/>
      <w:r w:rsidRPr="006C74D1">
        <w:t xml:space="preserve">, dėl to susidūrė su motociklu, tai yra įvyko eismo įvykis, </w:t>
      </w:r>
      <w:r w:rsidR="008B755C">
        <w:t>per</w:t>
      </w:r>
      <w:r w:rsidR="008B755C" w:rsidRPr="006C74D1">
        <w:t xml:space="preserve"> </w:t>
      </w:r>
      <w:r w:rsidR="00A046E4">
        <w:t>š</w:t>
      </w:r>
      <w:r w:rsidR="008B755C">
        <w:t>į</w:t>
      </w:r>
      <w:r w:rsidR="00A046E4">
        <w:t xml:space="preserve"> eismo įvyk</w:t>
      </w:r>
      <w:r w:rsidR="008B755C">
        <w:t>į</w:t>
      </w:r>
      <w:r w:rsidR="00A046E4" w:rsidRPr="006C74D1">
        <w:t xml:space="preserve"> </w:t>
      </w:r>
      <w:r w:rsidRPr="006C74D1">
        <w:t xml:space="preserve">buvo nesunkiai sutrikdyta nukentėjusiojo </w:t>
      </w:r>
      <w:bookmarkStart w:id="20" w:name="Buk_4"/>
      <w:r w:rsidR="00680441" w:rsidRPr="00680441">
        <w:t xml:space="preserve">D. B. </w:t>
      </w:r>
      <w:bookmarkEnd w:id="20"/>
      <w:r w:rsidRPr="006C74D1">
        <w:t>sveikata.</w:t>
      </w:r>
    </w:p>
    <w:p w14:paraId="2165C54A" w14:textId="77777777" w:rsidR="00D71DC0" w:rsidRPr="006C74D1" w:rsidRDefault="00D71DC0" w:rsidP="00D71DC0">
      <w:pPr>
        <w:pStyle w:val="Pagrindinistekstas"/>
        <w:ind w:left="0" w:firstLine="0"/>
        <w:rPr>
          <w:iCs/>
          <w:lang w:bidi="lt-LT"/>
        </w:rPr>
      </w:pPr>
    </w:p>
    <w:p w14:paraId="584E7103" w14:textId="77777777" w:rsidR="00D71DC0" w:rsidRPr="006C74D1" w:rsidRDefault="00D71DC0" w:rsidP="00D71DC0">
      <w:pPr>
        <w:pStyle w:val="Pagrindinistekstas"/>
        <w:ind w:left="0" w:firstLine="0"/>
        <w:jc w:val="center"/>
        <w:rPr>
          <w:iCs/>
          <w:lang w:bidi="lt-LT"/>
        </w:rPr>
      </w:pPr>
      <w:r w:rsidRPr="006C74D1">
        <w:rPr>
          <w:iCs/>
          <w:lang w:bidi="lt-LT"/>
        </w:rPr>
        <w:t>II. Apeliacinės instancijos teismo nuosprendžio esmė</w:t>
      </w:r>
    </w:p>
    <w:p w14:paraId="545264B8" w14:textId="77777777" w:rsidR="00D71DC0" w:rsidRPr="006C74D1" w:rsidRDefault="00D71DC0" w:rsidP="00D71DC0">
      <w:pPr>
        <w:pStyle w:val="Pagrindinistekstas"/>
        <w:ind w:left="0" w:firstLine="0"/>
        <w:rPr>
          <w:iCs/>
          <w:lang w:bidi="lt-LT"/>
        </w:rPr>
      </w:pPr>
    </w:p>
    <w:p w14:paraId="77EEBE82" w14:textId="1E54888B" w:rsidR="00D71DC0" w:rsidRPr="007B6934" w:rsidRDefault="00D71DC0" w:rsidP="00D71DC0">
      <w:pPr>
        <w:pStyle w:val="Pagrindinistekstas"/>
        <w:numPr>
          <w:ilvl w:val="0"/>
          <w:numId w:val="1"/>
        </w:numPr>
      </w:pPr>
      <w:bookmarkStart w:id="21" w:name="_Hlk159228474"/>
      <w:r w:rsidRPr="006C74D1">
        <w:rPr>
          <w:iCs/>
          <w:lang w:bidi="lt-LT"/>
        </w:rPr>
        <w:t xml:space="preserve">Apeliacinės instancijos teismas, išnagrinėjęs Šiaulių apygardos prokuratūros Šiaulių apylinkės prokuratūros prokuroro Lino Vitkaus ir nukentėjusiojo </w:t>
      </w:r>
      <w:bookmarkStart w:id="22" w:name="Buk_5"/>
      <w:r w:rsidR="00680441" w:rsidRPr="00680441">
        <w:rPr>
          <w:iCs/>
          <w:lang w:bidi="lt-LT"/>
        </w:rPr>
        <w:t xml:space="preserve">D. B. </w:t>
      </w:r>
      <w:bookmarkEnd w:id="22"/>
      <w:r w:rsidRPr="006C74D1">
        <w:rPr>
          <w:iCs/>
          <w:lang w:bidi="lt-LT"/>
        </w:rPr>
        <w:t>apeliacinius skundus, konstatavo,</w:t>
      </w:r>
      <w:r w:rsidRPr="006C74D1">
        <w:t xml:space="preserve"> kad </w:t>
      </w:r>
      <w:r w:rsidRPr="006C74D1">
        <w:rPr>
          <w:iCs/>
          <w:lang w:bidi="lt-LT"/>
        </w:rPr>
        <w:t xml:space="preserve">pirmosios instancijos teismas, vertindamas įrodymus, pažeidė BPK 20 straipsnio 5 dalies reikalavimus, dėl to padarė bylos aplinkybių neatitinkančią išvadą, kad </w:t>
      </w:r>
      <w:r>
        <w:rPr>
          <w:iCs/>
          <w:lang w:bidi="lt-LT"/>
        </w:rPr>
        <w:t xml:space="preserve">L. </w:t>
      </w:r>
      <w:bookmarkStart w:id="23" w:name="Buk_23"/>
      <w:r w:rsidR="00680441" w:rsidRPr="00680441">
        <w:rPr>
          <w:iCs/>
          <w:lang w:bidi="lt-LT"/>
        </w:rPr>
        <w:t xml:space="preserve">J. L. </w:t>
      </w:r>
      <w:bookmarkEnd w:id="23"/>
      <w:r>
        <w:rPr>
          <w:iCs/>
          <w:lang w:bidi="lt-LT"/>
        </w:rPr>
        <w:t xml:space="preserve">veikoje </w:t>
      </w:r>
      <w:r w:rsidRPr="00BB79CA">
        <w:rPr>
          <w:iCs/>
          <w:lang w:bidi="lt-LT"/>
        </w:rPr>
        <w:t>nėra visų nusikaltimo, nurodyto BK 281 straipsnio 1 dalyje, objektyviosios pusės požymių</w:t>
      </w:r>
      <w:r w:rsidRPr="003D7D32">
        <w:rPr>
          <w:iCs/>
          <w:lang w:bidi="lt-LT"/>
        </w:rPr>
        <w:t xml:space="preserve">, </w:t>
      </w:r>
      <w:r w:rsidRPr="006C74D1">
        <w:t xml:space="preserve">ir nepagrįstai </w:t>
      </w:r>
      <w:r>
        <w:t>jį išteisino</w:t>
      </w:r>
      <w:r w:rsidRPr="006C74D1">
        <w:t xml:space="preserve">. Teisėjų kolegija byloje surinktų įrodymų visumai prieštaraujančia pripažino pirmosios instancijos teismo išvadą, kad </w:t>
      </w:r>
      <w:r w:rsidRPr="00224107">
        <w:t>L</w:t>
      </w:r>
      <w:r>
        <w:t>.</w:t>
      </w:r>
      <w:r w:rsidRPr="00224107">
        <w:t xml:space="preserve"> </w:t>
      </w:r>
      <w:bookmarkStart w:id="24" w:name="Buk_24"/>
      <w:r w:rsidR="00680441" w:rsidRPr="00680441">
        <w:t>J. L.</w:t>
      </w:r>
      <w:bookmarkEnd w:id="24"/>
      <w:r>
        <w:t>,</w:t>
      </w:r>
      <w:r w:rsidRPr="00224107">
        <w:t xml:space="preserve"> suk</w:t>
      </w:r>
      <w:r>
        <w:t>damas</w:t>
      </w:r>
      <w:r w:rsidRPr="00224107">
        <w:t xml:space="preserve"> į automobilių stovėjimo aikštelę</w:t>
      </w:r>
      <w:r>
        <w:t>,</w:t>
      </w:r>
      <w:r w:rsidRPr="00224107">
        <w:t xml:space="preserve"> </w:t>
      </w:r>
      <w:r>
        <w:t xml:space="preserve">neprivalėjo </w:t>
      </w:r>
      <w:r w:rsidRPr="00224107">
        <w:t>praleisti ta pačia kryptimi pirmąja eismo juosta tiesiai važi</w:t>
      </w:r>
      <w:r>
        <w:t>uojančio</w:t>
      </w:r>
      <w:r w:rsidRPr="00224107">
        <w:t xml:space="preserve"> motocikl</w:t>
      </w:r>
      <w:r>
        <w:t xml:space="preserve">o, o </w:t>
      </w:r>
      <w:r w:rsidRPr="006C74D1">
        <w:t xml:space="preserve">eismo įvykis galėjo kilti dėl nukentėjusiojo </w:t>
      </w:r>
      <w:bookmarkStart w:id="25" w:name="Buk_6"/>
      <w:r w:rsidR="00680441" w:rsidRPr="00680441">
        <w:t xml:space="preserve">D. B. </w:t>
      </w:r>
      <w:bookmarkEnd w:id="25"/>
      <w:r w:rsidRPr="006C74D1">
        <w:t>neatsargių veiksmų</w:t>
      </w:r>
      <w:r>
        <w:t xml:space="preserve"> (</w:t>
      </w:r>
      <w:r w:rsidRPr="00224107">
        <w:t>nepastebėjo prieš</w:t>
      </w:r>
      <w:r>
        <w:t xml:space="preserve">ais važiuojančios </w:t>
      </w:r>
      <w:r w:rsidRPr="00224107">
        <w:t>transporto priemonės ir į ją atsitrenkė</w:t>
      </w:r>
      <w:r>
        <w:t xml:space="preserve">). </w:t>
      </w:r>
      <w:r w:rsidRPr="006C74D1">
        <w:t>Apeliacinės instancijos teismas, iš naujo įvertinęs byloje esančius įrodymus, konstatavo, kad būtent L. </w:t>
      </w:r>
      <w:bookmarkStart w:id="26" w:name="Buk_25"/>
      <w:r w:rsidR="00680441" w:rsidRPr="00680441">
        <w:t xml:space="preserve">J. L. </w:t>
      </w:r>
      <w:bookmarkEnd w:id="26"/>
      <w:r>
        <w:t>KET</w:t>
      </w:r>
      <w:r w:rsidRPr="006C74D1">
        <w:t xml:space="preserve"> reikalavimus pažeidžiantys veiksmai </w:t>
      </w:r>
      <w:r>
        <w:t>lėmė</w:t>
      </w:r>
      <w:r w:rsidRPr="006C74D1">
        <w:t xml:space="preserve"> </w:t>
      </w:r>
      <w:r w:rsidR="00A046E4">
        <w:t xml:space="preserve">tai, jog kilo </w:t>
      </w:r>
      <w:r w:rsidRPr="006C74D1">
        <w:t>eismo įvyki</w:t>
      </w:r>
      <w:r w:rsidR="00A046E4">
        <w:t>s</w:t>
      </w:r>
      <w:r w:rsidRPr="006C74D1">
        <w:t>, dėl to jo padaryta veika atitinka visus nusikaltimo, nustatyto BK 281 straipsnio 1 dalyje, objektyviuosius ir subjektyviuosius sudėties požymius.</w:t>
      </w:r>
      <w:r>
        <w:t xml:space="preserve"> </w:t>
      </w:r>
      <w:r w:rsidRPr="00AC64BD">
        <w:rPr>
          <w:iCs/>
          <w:lang w:bidi="lt-LT"/>
        </w:rPr>
        <w:t xml:space="preserve">Teisėjų kolegija pripažino, kad būtent </w:t>
      </w:r>
      <w:r w:rsidRPr="00224107">
        <w:t>L</w:t>
      </w:r>
      <w:r>
        <w:t>.</w:t>
      </w:r>
      <w:r w:rsidRPr="00224107">
        <w:t xml:space="preserve"> </w:t>
      </w:r>
      <w:bookmarkStart w:id="27" w:name="Buk_26"/>
      <w:r w:rsidR="00680441" w:rsidRPr="00680441">
        <w:t xml:space="preserve">J. L. </w:t>
      </w:r>
      <w:bookmarkEnd w:id="27"/>
      <w:r w:rsidRPr="00AC64BD">
        <w:rPr>
          <w:iCs/>
          <w:lang w:bidi="lt-LT"/>
        </w:rPr>
        <w:t>veiksmai</w:t>
      </w:r>
      <w:r>
        <w:rPr>
          <w:iCs/>
          <w:lang w:bidi="lt-LT"/>
        </w:rPr>
        <w:t>,</w:t>
      </w:r>
      <w:r w:rsidRPr="00AC64BD">
        <w:rPr>
          <w:iCs/>
          <w:lang w:bidi="lt-LT"/>
        </w:rPr>
        <w:t xml:space="preserve"> – važiuodamas pirmąja eismo juosta ir ruošdamasis sukti į dešinėje pusėje esančią automobilių stovėjimo aikštelę, suko iš dalies arba visiškai būdamas kairėje kelio važiuojamosios dalies pusėje</w:t>
      </w:r>
      <w:r>
        <w:rPr>
          <w:iCs/>
          <w:lang w:bidi="lt-LT"/>
        </w:rPr>
        <w:t xml:space="preserve"> ir</w:t>
      </w:r>
      <w:r w:rsidRPr="00AC64BD">
        <w:rPr>
          <w:iCs/>
          <w:lang w:bidi="lt-LT"/>
        </w:rPr>
        <w:t xml:space="preserve"> užkirto</w:t>
      </w:r>
      <w:r>
        <w:rPr>
          <w:iCs/>
          <w:lang w:bidi="lt-LT"/>
        </w:rPr>
        <w:t xml:space="preserve"> </w:t>
      </w:r>
      <w:r w:rsidRPr="00AC64BD">
        <w:rPr>
          <w:iCs/>
          <w:lang w:bidi="lt-LT"/>
        </w:rPr>
        <w:t>kelią motociklu važi</w:t>
      </w:r>
      <w:r>
        <w:rPr>
          <w:iCs/>
          <w:lang w:bidi="lt-LT"/>
        </w:rPr>
        <w:t>uojančiam</w:t>
      </w:r>
      <w:r w:rsidRPr="00AC64BD">
        <w:rPr>
          <w:iCs/>
          <w:lang w:bidi="lt-LT"/>
        </w:rPr>
        <w:t xml:space="preserve"> nukentėjusiajam </w:t>
      </w:r>
      <w:bookmarkStart w:id="28" w:name="Buk_14"/>
      <w:r w:rsidR="00680441" w:rsidRPr="00680441">
        <w:rPr>
          <w:iCs/>
          <w:lang w:bidi="lt-LT"/>
        </w:rPr>
        <w:t>D. B.</w:t>
      </w:r>
      <w:bookmarkEnd w:id="28"/>
      <w:r>
        <w:rPr>
          <w:iCs/>
          <w:lang w:bidi="lt-LT"/>
        </w:rPr>
        <w:t>, –</w:t>
      </w:r>
      <w:r>
        <w:t xml:space="preserve"> buvo </w:t>
      </w:r>
      <w:r w:rsidRPr="00962B6E">
        <w:rPr>
          <w:iCs/>
          <w:lang w:bidi="lt-LT"/>
        </w:rPr>
        <w:t>esminė eismo įvykio kilimo priežasti</w:t>
      </w:r>
      <w:r>
        <w:rPr>
          <w:iCs/>
          <w:lang w:bidi="lt-LT"/>
        </w:rPr>
        <w:t>s</w:t>
      </w:r>
      <w:r w:rsidRPr="00962B6E">
        <w:rPr>
          <w:iCs/>
          <w:lang w:bidi="lt-LT"/>
        </w:rPr>
        <w:t>.</w:t>
      </w:r>
    </w:p>
    <w:p w14:paraId="1D0F6F00" w14:textId="77777777" w:rsidR="00D71DC0" w:rsidRPr="006C74D1" w:rsidRDefault="00D71DC0" w:rsidP="00D71DC0">
      <w:pPr>
        <w:pStyle w:val="Pagrindinistekstas"/>
        <w:ind w:left="0" w:firstLine="0"/>
        <w:rPr>
          <w:iCs/>
          <w:lang w:bidi="lt-LT"/>
        </w:rPr>
      </w:pPr>
    </w:p>
    <w:bookmarkEnd w:id="21"/>
    <w:p w14:paraId="74220A85" w14:textId="77777777" w:rsidR="00D71DC0" w:rsidRPr="006C74D1" w:rsidRDefault="00D71DC0" w:rsidP="00D71DC0">
      <w:pPr>
        <w:pStyle w:val="Pagrindinistekstas"/>
        <w:ind w:left="0" w:firstLine="0"/>
        <w:jc w:val="center"/>
        <w:rPr>
          <w:iCs/>
          <w:lang w:bidi="lt-LT"/>
        </w:rPr>
      </w:pPr>
      <w:r w:rsidRPr="006C74D1">
        <w:rPr>
          <w:iCs/>
          <w:lang w:bidi="lt-LT"/>
        </w:rPr>
        <w:t>III. Kasacinio skundo argumentai</w:t>
      </w:r>
    </w:p>
    <w:p w14:paraId="58FA8102" w14:textId="77777777" w:rsidR="00D71DC0" w:rsidRPr="006C74D1" w:rsidRDefault="00D71DC0" w:rsidP="00D71DC0">
      <w:pPr>
        <w:pStyle w:val="Pagrindinistekstas"/>
        <w:ind w:left="714"/>
        <w:rPr>
          <w:iCs/>
          <w:lang w:bidi="lt-LT"/>
        </w:rPr>
      </w:pPr>
      <w:r w:rsidRPr="006C74D1">
        <w:rPr>
          <w:iCs/>
          <w:lang w:bidi="lt-LT"/>
        </w:rPr>
        <w:t xml:space="preserve"> </w:t>
      </w:r>
    </w:p>
    <w:p w14:paraId="1D340AC3" w14:textId="23479D14" w:rsidR="00D71DC0" w:rsidRPr="006C74D1" w:rsidRDefault="00D71DC0" w:rsidP="00D71DC0">
      <w:pPr>
        <w:pStyle w:val="Pagrindinistekstas"/>
        <w:numPr>
          <w:ilvl w:val="0"/>
          <w:numId w:val="1"/>
        </w:numPr>
        <w:ind w:left="357" w:hanging="357"/>
        <w:rPr>
          <w:lang w:bidi="lt-LT"/>
        </w:rPr>
      </w:pPr>
      <w:r w:rsidRPr="006C74D1">
        <w:t xml:space="preserve">Kasaciniu skundu nuteistojo L. </w:t>
      </w:r>
      <w:bookmarkStart w:id="29" w:name="Buk_27"/>
      <w:r w:rsidR="00680441" w:rsidRPr="00680441">
        <w:t xml:space="preserve">J. L. </w:t>
      </w:r>
      <w:bookmarkEnd w:id="29"/>
      <w:r w:rsidRPr="006C74D1">
        <w:t xml:space="preserve">gynėjas advokatas L. </w:t>
      </w:r>
      <w:proofErr w:type="spellStart"/>
      <w:r w:rsidRPr="006C74D1">
        <w:t>Judickas</w:t>
      </w:r>
      <w:proofErr w:type="spellEnd"/>
      <w:r w:rsidRPr="006C74D1">
        <w:rPr>
          <w:lang w:bidi="lt-LT"/>
        </w:rPr>
        <w:t xml:space="preserve"> </w:t>
      </w:r>
      <w:r w:rsidRPr="006C74D1">
        <w:t>prašo panaikinti Šiaulių apygardos teismo Baudžiamųjų bylų skyriaus teisėjų kolegijos 2023 m. lapkričio 15 d. nuosprendį ir palikti galioti</w:t>
      </w:r>
      <w:r w:rsidRPr="006C74D1">
        <w:rPr>
          <w:lang w:bidi="lt-LT"/>
        </w:rPr>
        <w:t xml:space="preserve"> Šiaulių apylinkės teismo 2023 m. liepos 13 d. nuosprendį be pakeitimų. </w:t>
      </w:r>
      <w:r w:rsidRPr="006C74D1">
        <w:t>Nuteistojo gynėjas skunde nurodo:</w:t>
      </w:r>
    </w:p>
    <w:p w14:paraId="708D96EE" w14:textId="552BF4E6" w:rsidR="00D71DC0" w:rsidRPr="005D10B8" w:rsidRDefault="00D71DC0" w:rsidP="00D71DC0">
      <w:pPr>
        <w:pStyle w:val="Pagrindinistekstas"/>
        <w:numPr>
          <w:ilvl w:val="1"/>
          <w:numId w:val="1"/>
        </w:numPr>
        <w:rPr>
          <w:iCs/>
        </w:rPr>
      </w:pPr>
      <w:r w:rsidRPr="005D10B8">
        <w:lastRenderedPageBreak/>
        <w:t xml:space="preserve">Priimant skundžiamą </w:t>
      </w:r>
      <w:r>
        <w:t xml:space="preserve">apeliacinės instancijos teismo </w:t>
      </w:r>
      <w:r w:rsidRPr="005D10B8">
        <w:t>nuosprendį</w:t>
      </w:r>
      <w:r>
        <w:t>,</w:t>
      </w:r>
      <w:r w:rsidRPr="005D10B8">
        <w:t xml:space="preserve"> buvo padaryti esminiai BPK</w:t>
      </w:r>
      <w:r>
        <w:t> </w:t>
      </w:r>
      <w:r w:rsidRPr="005D10B8">
        <w:t xml:space="preserve">20 straipsnio 5 dalies pažeidimai, kadangi, atliekant sąlyginių specialisto išvados ir ekspertizės akto vertinimą, buvo nukrypta nuo Lietuvos Aukščiausiojo Teismo praktikos, aktualios vertinant tokio pobūdžio </w:t>
      </w:r>
      <w:r>
        <w:t>įrodymus</w:t>
      </w:r>
      <w:r w:rsidRPr="005D10B8">
        <w:t xml:space="preserve">. Be to, įrodymų vertinimas pasireiškė selektyviu, tik kaltinimui palankių specialisto išvados ir ekspertizės akto motyvų vertinimu, </w:t>
      </w:r>
      <w:r>
        <w:t>i</w:t>
      </w:r>
      <w:r w:rsidRPr="005D10B8">
        <w:t>g</w:t>
      </w:r>
      <w:r>
        <w:t>n</w:t>
      </w:r>
      <w:r w:rsidRPr="005D10B8">
        <w:t xml:space="preserve">oruojant kaltinimui nepalankius šių dokumentų motyvus ir teisiamojo posėdžio metu eksperto duotus parodymus. Šie pažeidimai yra esminiai, </w:t>
      </w:r>
      <w:r>
        <w:t xml:space="preserve">jie </w:t>
      </w:r>
      <w:r w:rsidRPr="005D10B8">
        <w:t>sukliud</w:t>
      </w:r>
      <w:r>
        <w:t>ė</w:t>
      </w:r>
      <w:r w:rsidRPr="005D10B8">
        <w:t xml:space="preserve"> apeliacinės instancijos teismui priimti teisėtą sprendimą.</w:t>
      </w:r>
    </w:p>
    <w:p w14:paraId="02E41C3B" w14:textId="42BD6FBD" w:rsidR="00D71DC0" w:rsidRPr="005A4A4A" w:rsidRDefault="00D71DC0" w:rsidP="00D71DC0">
      <w:pPr>
        <w:pStyle w:val="Pagrindinistekstas"/>
        <w:numPr>
          <w:ilvl w:val="1"/>
          <w:numId w:val="1"/>
        </w:numPr>
        <w:rPr>
          <w:iCs/>
        </w:rPr>
      </w:pPr>
      <w:r w:rsidRPr="006C74D1">
        <w:rPr>
          <w:iCs/>
        </w:rPr>
        <w:t xml:space="preserve">Apeliacinės instancijos teismas nuosprendyje kasatoriaus kaltę grindė Lietuvos teismo ekspertizės centro 2019 m. rugsėjo 23 d. specialisto išvada Nr. 11 Š-88(19), Lietuvos </w:t>
      </w:r>
      <w:r>
        <w:rPr>
          <w:iCs/>
        </w:rPr>
        <w:t xml:space="preserve">teismo </w:t>
      </w:r>
      <w:r w:rsidRPr="006C74D1">
        <w:rPr>
          <w:iCs/>
        </w:rPr>
        <w:t xml:space="preserve">ekspertizės centro 2020 m. rugsėjo 14 d. ekspertizės akto Nr. 11K-180(20) išvadomis, teisiamojo posėdžio metu eksperto V. </w:t>
      </w:r>
      <w:proofErr w:type="spellStart"/>
      <w:r w:rsidRPr="006C74D1">
        <w:rPr>
          <w:iCs/>
        </w:rPr>
        <w:t>Pačebuto</w:t>
      </w:r>
      <w:proofErr w:type="spellEnd"/>
      <w:r w:rsidRPr="006C74D1">
        <w:rPr>
          <w:iCs/>
        </w:rPr>
        <w:t xml:space="preserve"> bei specialisto E. </w:t>
      </w:r>
      <w:proofErr w:type="spellStart"/>
      <w:r w:rsidRPr="006C74D1">
        <w:rPr>
          <w:iCs/>
        </w:rPr>
        <w:t>Grigelio</w:t>
      </w:r>
      <w:proofErr w:type="spellEnd"/>
      <w:r w:rsidRPr="006C74D1">
        <w:rPr>
          <w:iCs/>
        </w:rPr>
        <w:t xml:space="preserve"> duotais parodymais. Teisiamojo posėdžio metu apklaustas ekspertas V. Pačebutas paaiškino, kad ekspertizės aktas, kaip ir specialisto išvada, yra sąlygin</w:t>
      </w:r>
      <w:r>
        <w:rPr>
          <w:iCs/>
        </w:rPr>
        <w:t>i</w:t>
      </w:r>
      <w:r w:rsidRPr="006C74D1">
        <w:rPr>
          <w:iCs/>
        </w:rPr>
        <w:t>s. Tai patvirtina ir pačių išvadų turinys. Specialisto išvadoje nurodyta: „Jeigu tuo metu, kai iškilo grėsmė eismo saugumui, artėjantis motociklas &lt;...&gt;</w:t>
      </w:r>
      <w:r>
        <w:rPr>
          <w:iCs/>
        </w:rPr>
        <w:t>,</w:t>
      </w:r>
      <w:r w:rsidRPr="006C74D1">
        <w:rPr>
          <w:iCs/>
        </w:rPr>
        <w:t xml:space="preserve"> važiuodamas </w:t>
      </w:r>
      <w:r>
        <w:rPr>
          <w:iCs/>
        </w:rPr>
        <w:t>&lt;...&gt;</w:t>
      </w:r>
      <w:r w:rsidRPr="006C74D1">
        <w:rPr>
          <w:iCs/>
        </w:rPr>
        <w:t xml:space="preserve"> leistinu 50 km/h greičiu, buvo ne</w:t>
      </w:r>
      <w:r>
        <w:rPr>
          <w:iCs/>
        </w:rPr>
        <w:t xml:space="preserve"> </w:t>
      </w:r>
      <w:r w:rsidRPr="006C74D1">
        <w:rPr>
          <w:iCs/>
        </w:rPr>
        <w:t xml:space="preserve">mažesniu nei 32,7 </w:t>
      </w:r>
      <w:r w:rsidR="00087870">
        <w:rPr>
          <w:iCs/>
        </w:rPr>
        <w:t xml:space="preserve">m </w:t>
      </w:r>
      <w:r w:rsidRPr="006C74D1">
        <w:rPr>
          <w:iCs/>
        </w:rPr>
        <w:t>atstumu neprivažiavęs susidūrimo vietos, tai tokiu atveju motociklo vairuotojas &lt;...&gt;, iškilus grėsmei eismo saugumui, laiku nestabdė vairuojamo motociklo bei susidūrė su automobiliu &lt;...&gt; ir techniniu požiūriu tai turėjo priežastinį ryšį su šio eismo įvykio kilimu</w:t>
      </w:r>
      <w:r>
        <w:rPr>
          <w:iCs/>
        </w:rPr>
        <w:t>.</w:t>
      </w:r>
      <w:r w:rsidRPr="006C74D1">
        <w:rPr>
          <w:iCs/>
        </w:rPr>
        <w:t>“ Ekspertizės akte nurodyta: „&lt;...&gt; jeigu prieš eismo įvykį susidariusioje situacijoje automobiliu &lt;...&gt; prieš vykdant manevrą į dešinę buvo važiuojama tokiu atstumu nuo dešiniojo važiuojamosios dalies krašto, kad pro šį tarpą saugiai galėjo pravažiuoti motociklas</w:t>
      </w:r>
      <w:r>
        <w:rPr>
          <w:iCs/>
        </w:rPr>
        <w:t> </w:t>
      </w:r>
      <w:r w:rsidRPr="006C74D1">
        <w:rPr>
          <w:iCs/>
        </w:rPr>
        <w:t>&lt;...&gt;, tai yra priklausomai nuo važiavimo greičių automobiliui važiuojant</w:t>
      </w:r>
      <w:r>
        <w:rPr>
          <w:iCs/>
        </w:rPr>
        <w:t xml:space="preserve"> nuo</w:t>
      </w:r>
      <w:r w:rsidRPr="006C74D1">
        <w:rPr>
          <w:iCs/>
        </w:rPr>
        <w:t xml:space="preserve"> 1,65 m iki 1,875 m ar didesniu atstumu nuo dešiniojo važiuojamosios dalies krašto &lt;...&gt;</w:t>
      </w:r>
      <w:r>
        <w:rPr>
          <w:iCs/>
        </w:rPr>
        <w:t>,</w:t>
      </w:r>
      <w:r w:rsidRPr="006C74D1">
        <w:rPr>
          <w:iCs/>
        </w:rPr>
        <w:t xml:space="preserve"> automobilio vairuotojo &lt;...&gt; veiksmai,</w:t>
      </w:r>
      <w:r>
        <w:rPr>
          <w:iCs/>
        </w:rPr>
        <w:t xml:space="preserve"> </w:t>
      </w:r>
      <w:r w:rsidRPr="005A4A4A">
        <w:rPr>
          <w:iCs/>
        </w:rPr>
        <w:t>– prieš sukdamas į dešinę nepasitraukė kuo arčiau dešiniojo važiuojamosios dalies krašto, vykdydamas manevrą nedavė kelio dešiniau jo iš paskos artėjusiam motociklui &lt;...&gt;</w:t>
      </w:r>
      <w:r>
        <w:rPr>
          <w:iCs/>
        </w:rPr>
        <w:t>,</w:t>
      </w:r>
      <w:r w:rsidRPr="005A4A4A">
        <w:rPr>
          <w:iCs/>
        </w:rPr>
        <w:t xml:space="preserve"> – techniniu požiūriu sąlygojo šio eismo įvykio kilimą</w:t>
      </w:r>
      <w:r>
        <w:rPr>
          <w:iCs/>
        </w:rPr>
        <w:t>.</w:t>
      </w:r>
      <w:r w:rsidRPr="005A4A4A">
        <w:rPr>
          <w:iCs/>
        </w:rPr>
        <w:t>“</w:t>
      </w:r>
    </w:p>
    <w:p w14:paraId="041BA8FA" w14:textId="69C45A0C" w:rsidR="00D71DC0" w:rsidRPr="005A4A4A" w:rsidRDefault="00D71DC0" w:rsidP="00D71DC0">
      <w:pPr>
        <w:pStyle w:val="Pagrindinistekstas"/>
        <w:numPr>
          <w:ilvl w:val="1"/>
          <w:numId w:val="1"/>
        </w:numPr>
        <w:rPr>
          <w:iCs/>
        </w:rPr>
      </w:pPr>
      <w:r w:rsidRPr="006C74D1">
        <w:rPr>
          <w:iCs/>
        </w:rPr>
        <w:t xml:space="preserve">Tiek specialisto išvada, tiek ekspertizės aktas (jų išvados) priklauso nuo aplinkybių, kurias reikia nustatyti (abiejų transporto priemonių tikslus judėjimo greitis prieš pat eismo įvykį </w:t>
      </w:r>
      <w:r>
        <w:rPr>
          <w:iCs/>
        </w:rPr>
        <w:t>ir</w:t>
      </w:r>
      <w:r w:rsidRPr="006C74D1">
        <w:rPr>
          <w:iCs/>
        </w:rPr>
        <w:t xml:space="preserve"> transporto priemonių tiksli padėtis prieš eismo įvykį). Aplinkybės, kuriomis grindžiama sąlyginė išvada, turi būti nustatytos patikimai ir nekelti jokių abejonių (kasacinės nutartys baudžiamosiose bylose Nr. 2K-319-511/2017, </w:t>
      </w:r>
      <w:r w:rsidRPr="005A4A4A">
        <w:rPr>
          <w:iCs/>
        </w:rPr>
        <w:t>2K-236-648/2020</w:t>
      </w:r>
      <w:r>
        <w:rPr>
          <w:iCs/>
        </w:rPr>
        <w:t xml:space="preserve">, </w:t>
      </w:r>
      <w:r w:rsidRPr="005A4A4A">
        <w:rPr>
          <w:iCs/>
        </w:rPr>
        <w:t>2K-218-976/2022</w:t>
      </w:r>
      <w:r>
        <w:rPr>
          <w:iCs/>
        </w:rPr>
        <w:t xml:space="preserve">, </w:t>
      </w:r>
      <w:r w:rsidRPr="005A4A4A">
        <w:rPr>
          <w:iCs/>
        </w:rPr>
        <w:t xml:space="preserve">2K-5-1073/2024). </w:t>
      </w:r>
    </w:p>
    <w:p w14:paraId="342E3260" w14:textId="568EE25B" w:rsidR="00D71DC0" w:rsidRDefault="00D71DC0" w:rsidP="00D71DC0">
      <w:pPr>
        <w:pStyle w:val="Pagrindinistekstas"/>
        <w:numPr>
          <w:ilvl w:val="1"/>
          <w:numId w:val="1"/>
        </w:numPr>
        <w:rPr>
          <w:iCs/>
        </w:rPr>
      </w:pPr>
      <w:r w:rsidRPr="006C74D1">
        <w:rPr>
          <w:iCs/>
        </w:rPr>
        <w:t xml:space="preserve">Skundžiamą nuosprendį priėmęs apeliacinės instancijos teismas, įvertinęs specialisto išvadą ir ekspertizės aktą, nusprendė, kad būtent kasatoriaus veiksmai lėmė eismo įvykio kilimą. Tokia išvada motyvuojama tuo, kad byloje nėra duomenų (tiek specialisto išvadoje, tiek ekspertizės akte konstatuota, jog nėra galimybės apskaičiuoti judėjimo greičio prieš pat eismo įvykį), kuriuos įvertinus būtų galima padaryti neginčijamą išvadą, ar motociklo vairuotojas susidariusioje situacijoje turėjo galimybę sustabdyti motociklą ir taip išvengti susidūrimo su automobiliu. Bylos nagrinėjimo teisme metu ekspertas V. Pačebutas paaiškino, </w:t>
      </w:r>
      <w:r>
        <w:rPr>
          <w:iCs/>
        </w:rPr>
        <w:t>jog</w:t>
      </w:r>
      <w:r w:rsidRPr="006C74D1">
        <w:rPr>
          <w:iCs/>
        </w:rPr>
        <w:t xml:space="preserve"> tam, </w:t>
      </w:r>
      <w:r>
        <w:rPr>
          <w:iCs/>
        </w:rPr>
        <w:t>kad</w:t>
      </w:r>
      <w:r w:rsidRPr="006C74D1">
        <w:rPr>
          <w:iCs/>
        </w:rPr>
        <w:t xml:space="preserve"> būtų galima tiesiogiai remtis ekspertizės akto išvadomis, reikėtų nustatyti faktą apie motociklo vairuotojo veiksmus, </w:t>
      </w:r>
      <w:r>
        <w:rPr>
          <w:iCs/>
        </w:rPr>
        <w:t>t</w:t>
      </w:r>
      <w:r w:rsidRPr="006C74D1">
        <w:rPr>
          <w:iCs/>
        </w:rPr>
        <w:t xml:space="preserve">o šioje baudžiamojoje byloje nėra įmanoma padaryti. </w:t>
      </w:r>
    </w:p>
    <w:p w14:paraId="6B4F5625" w14:textId="428E910E" w:rsidR="00D71DC0" w:rsidRPr="006C74D1" w:rsidRDefault="00D71DC0" w:rsidP="00D71DC0">
      <w:pPr>
        <w:pStyle w:val="Pagrindinistekstas"/>
        <w:numPr>
          <w:ilvl w:val="1"/>
          <w:numId w:val="1"/>
        </w:numPr>
        <w:rPr>
          <w:iCs/>
        </w:rPr>
      </w:pPr>
      <w:r w:rsidRPr="006C74D1">
        <w:rPr>
          <w:iCs/>
        </w:rPr>
        <w:t xml:space="preserve">Skundžiamo nuosprendžio motyvai rodo, </w:t>
      </w:r>
      <w:r>
        <w:rPr>
          <w:iCs/>
        </w:rPr>
        <w:t>kad</w:t>
      </w:r>
      <w:r w:rsidRPr="006C74D1">
        <w:rPr>
          <w:iCs/>
        </w:rPr>
        <w:t xml:space="preserve"> kasatoriaus kaltė įrodyta ne aplinkybėmis, kurios pagrįstų sąlyginės išvados sąlygą, </w:t>
      </w:r>
      <w:r>
        <w:rPr>
          <w:iCs/>
        </w:rPr>
        <w:t>jog</w:t>
      </w:r>
      <w:r w:rsidRPr="006C74D1">
        <w:rPr>
          <w:iCs/>
        </w:rPr>
        <w:t xml:space="preserve"> būtent kasatorius prieš eismo įvykį susidariusioje situacijoje, prieš </w:t>
      </w:r>
      <w:r>
        <w:rPr>
          <w:iCs/>
        </w:rPr>
        <w:t>atlikdamas</w:t>
      </w:r>
      <w:r w:rsidRPr="006C74D1">
        <w:rPr>
          <w:iCs/>
        </w:rPr>
        <w:t xml:space="preserve"> manevrą į dešinę, važiavo tokiu atstumu nuo dešiniojo važiuojamosios dalies krašto, kad pro šį tarpą saugiai galėjo pravažiuoti motociklas, o tuo, </w:t>
      </w:r>
      <w:r>
        <w:rPr>
          <w:iCs/>
        </w:rPr>
        <w:t>kad</w:t>
      </w:r>
      <w:r w:rsidRPr="006C74D1">
        <w:rPr>
          <w:iCs/>
        </w:rPr>
        <w:t xml:space="preserve"> nėra įrodyta, </w:t>
      </w:r>
      <w:r>
        <w:rPr>
          <w:iCs/>
        </w:rPr>
        <w:t>jog</w:t>
      </w:r>
      <w:r w:rsidRPr="006C74D1">
        <w:rPr>
          <w:iCs/>
        </w:rPr>
        <w:t xml:space="preserve"> motociklininkas susidariusioje situacijoje galėjo sustabdyti motociklą ir išvengti susidūrimo.</w:t>
      </w:r>
    </w:p>
    <w:p w14:paraId="5DA8ACC2" w14:textId="77777777" w:rsidR="00D71DC0" w:rsidRPr="006C74D1" w:rsidRDefault="00D71DC0" w:rsidP="00D71DC0">
      <w:pPr>
        <w:pStyle w:val="Pagrindinistekstas"/>
        <w:numPr>
          <w:ilvl w:val="1"/>
          <w:numId w:val="1"/>
        </w:numPr>
        <w:rPr>
          <w:iCs/>
        </w:rPr>
      </w:pPr>
      <w:r w:rsidRPr="006C74D1">
        <w:rPr>
          <w:iCs/>
        </w:rPr>
        <w:t xml:space="preserve">Lietuvos Respublikos Konstitucinis </w:t>
      </w:r>
      <w:r>
        <w:rPr>
          <w:iCs/>
        </w:rPr>
        <w:t>T</w:t>
      </w:r>
      <w:r w:rsidRPr="006C74D1">
        <w:rPr>
          <w:iCs/>
        </w:rPr>
        <w:t xml:space="preserve">eismas, aiškindamas Lietuvos Respublikos Konstitucijos 31 straipsnio 1 dalyje įtvirtintą asmens nekaltumo prezumpciją, yra pažymėjęs, </w:t>
      </w:r>
      <w:r w:rsidRPr="006C74D1">
        <w:rPr>
          <w:iCs/>
        </w:rPr>
        <w:lastRenderedPageBreak/>
        <w:t>kad ji yra pamatinis teisingumo vykdymo baudžiamųjų bylų procese principas, viena svarbiausių žmogaus teisių ir laisvių garantijų; asmuo laikomas nepadariusiu nusikaltimo, kol jo kaltumas nebus įrodytas įstatymo nustatyta tvarka ir pripažintas įsiteisėjusiu teismo nuosprendžiu. Pareiga įrodinėti baudžiamajame procese tenka valstybės pareigūnams ir institucijoms. Ikiteisminio tyrimo pareigūnai, prokuroras ir teismas privalo siekti, kad būtų išaiškintos visos reikšmingos aplinkybės. Draudžiama įrodinėjim</w:t>
      </w:r>
      <w:r>
        <w:rPr>
          <w:iCs/>
        </w:rPr>
        <w:t>ą</w:t>
      </w:r>
      <w:r w:rsidRPr="006C74D1">
        <w:rPr>
          <w:iCs/>
        </w:rPr>
        <w:t xml:space="preserve"> perkelti kaltinamajam. Apeliacinės instancijos teismo atliktas sąlyginių specialisto išvados ir ekspertizės akto vertinimas prieštarauja cituotai teismų praktikai. Tokiu vertinimu įrodinėjimo pareiga yra perkeliama baudžiamojon atsakomybėn traukiamam asmeniui, pažeidžiant nekaltumo prezumpciją, todėl skundžiamas nuosprendis laikytinas neteisėtu ir nepagrįstu.</w:t>
      </w:r>
    </w:p>
    <w:p w14:paraId="2AF87282" w14:textId="2D161D07" w:rsidR="00D71DC0" w:rsidRPr="005A4A4A" w:rsidRDefault="00D71DC0" w:rsidP="00D71DC0">
      <w:pPr>
        <w:pStyle w:val="Pagrindinistekstas"/>
        <w:numPr>
          <w:ilvl w:val="1"/>
          <w:numId w:val="1"/>
        </w:numPr>
        <w:rPr>
          <w:iCs/>
        </w:rPr>
      </w:pPr>
      <w:r w:rsidRPr="006C74D1">
        <w:rPr>
          <w:iCs/>
        </w:rPr>
        <w:t>Be to, priimant skundžiamą nuosprendį, specialisto išvados ir ekspertizės akto vertinimas atliktas selektyviai, ignoruojant nepala</w:t>
      </w:r>
      <w:r>
        <w:rPr>
          <w:iCs/>
        </w:rPr>
        <w:t>n</w:t>
      </w:r>
      <w:r w:rsidRPr="006C74D1">
        <w:rPr>
          <w:iCs/>
        </w:rPr>
        <w:t>kius šių specialių žinių reikalaujančių tyrimų motyvus, specialisto išvado</w:t>
      </w:r>
      <w:r>
        <w:rPr>
          <w:iCs/>
        </w:rPr>
        <w:t>m</w:t>
      </w:r>
      <w:r w:rsidRPr="006C74D1">
        <w:rPr>
          <w:iCs/>
        </w:rPr>
        <w:t xml:space="preserve">s suteikiant didesnę įrodomąją reikšmę, ignoruojant specialisto išvados trūkumus, kurie pirmą kartą pažymėti dar </w:t>
      </w:r>
      <w:r w:rsidRPr="005A4A4A">
        <w:rPr>
          <w:iCs/>
        </w:rPr>
        <w:t>Šiaulių apylinkės teismo 2021 m. rugsėjo</w:t>
      </w:r>
      <w:r>
        <w:rPr>
          <w:iCs/>
        </w:rPr>
        <w:t> </w:t>
      </w:r>
      <w:r w:rsidRPr="005A4A4A">
        <w:rPr>
          <w:iCs/>
        </w:rPr>
        <w:t>29 d.</w:t>
      </w:r>
      <w:r>
        <w:rPr>
          <w:iCs/>
        </w:rPr>
        <w:t xml:space="preserve"> </w:t>
      </w:r>
      <w:r w:rsidRPr="005A4A4A">
        <w:rPr>
          <w:iCs/>
        </w:rPr>
        <w:t xml:space="preserve">nuosprendyje. Nuosprendyje konstatuota, </w:t>
      </w:r>
      <w:r>
        <w:rPr>
          <w:iCs/>
        </w:rPr>
        <w:t>kad,</w:t>
      </w:r>
      <w:r w:rsidRPr="005A4A4A">
        <w:rPr>
          <w:iCs/>
        </w:rPr>
        <w:t xml:space="preserve"> atliekant objekto tyrimą, kurio rezultatai </w:t>
      </w:r>
      <w:r>
        <w:rPr>
          <w:iCs/>
        </w:rPr>
        <w:t>ap</w:t>
      </w:r>
      <w:r w:rsidRPr="005A4A4A">
        <w:rPr>
          <w:iCs/>
        </w:rPr>
        <w:t xml:space="preserve">rašyti specialisto išvadoje, nebuvo įvertinta motociklo vairuotojo nurodyta aplinkybė, </w:t>
      </w:r>
      <w:r>
        <w:rPr>
          <w:iCs/>
        </w:rPr>
        <w:t>jog</w:t>
      </w:r>
      <w:r w:rsidRPr="005A4A4A">
        <w:rPr>
          <w:iCs/>
        </w:rPr>
        <w:t xml:space="preserve"> jis persirikiavo iš antros</w:t>
      </w:r>
      <w:r>
        <w:rPr>
          <w:iCs/>
        </w:rPr>
        <w:t>ios</w:t>
      </w:r>
      <w:r w:rsidRPr="005A4A4A">
        <w:rPr>
          <w:iCs/>
        </w:rPr>
        <w:t xml:space="preserve"> eismo juostos į pirmąją</w:t>
      </w:r>
      <w:r>
        <w:rPr>
          <w:iCs/>
        </w:rPr>
        <w:t xml:space="preserve"> eismo juostą</w:t>
      </w:r>
      <w:r w:rsidRPr="005A4A4A">
        <w:rPr>
          <w:iCs/>
        </w:rPr>
        <w:t xml:space="preserve">, kurios priekyje važiavo kasatoriaus automobilis; </w:t>
      </w:r>
      <w:r>
        <w:rPr>
          <w:iCs/>
        </w:rPr>
        <w:t>kad</w:t>
      </w:r>
      <w:r w:rsidRPr="005A4A4A">
        <w:rPr>
          <w:iCs/>
        </w:rPr>
        <w:t xml:space="preserve"> motociklo vairuotojas suko galvą (gręžėsi) į priekį (judėjimo kryptimi) ir atsitrenkė į galines šonines dureles; </w:t>
      </w:r>
      <w:r>
        <w:rPr>
          <w:iCs/>
        </w:rPr>
        <w:t>kad</w:t>
      </w:r>
      <w:r w:rsidRPr="005A4A4A">
        <w:rPr>
          <w:iCs/>
        </w:rPr>
        <w:t xml:space="preserve"> motociklo vairuotojas nematė kasatoriaus automobilio iki to momento, k</w:t>
      </w:r>
      <w:r>
        <w:rPr>
          <w:iCs/>
        </w:rPr>
        <w:t>ai</w:t>
      </w:r>
      <w:r w:rsidRPr="005A4A4A">
        <w:rPr>
          <w:iCs/>
        </w:rPr>
        <w:t xml:space="preserve"> į jį atsitrenkė. Analogiški trūkumai nurodyti ir ekspertizės akto motyvuojamojoje dalyje. Teisiamojo posėdžio metu ekspertas V. Pačebutas taip pat paaiškino, </w:t>
      </w:r>
      <w:r>
        <w:rPr>
          <w:iCs/>
        </w:rPr>
        <w:t>kad</w:t>
      </w:r>
      <w:r w:rsidRPr="005A4A4A">
        <w:rPr>
          <w:iCs/>
        </w:rPr>
        <w:t xml:space="preserve"> specialisto išvadoje ir ekspertizės akte motociklo vairuotojo veiksmai įvertinti skirtingai, kadangi jau po </w:t>
      </w:r>
      <w:r>
        <w:rPr>
          <w:iCs/>
        </w:rPr>
        <w:t xml:space="preserve">to, kai buvo pateiktos </w:t>
      </w:r>
      <w:r w:rsidRPr="005A4A4A">
        <w:rPr>
          <w:iCs/>
        </w:rPr>
        <w:t>specialisto išvados</w:t>
      </w:r>
      <w:r>
        <w:rPr>
          <w:iCs/>
        </w:rPr>
        <w:t>,</w:t>
      </w:r>
      <w:r w:rsidRPr="005A4A4A">
        <w:rPr>
          <w:iCs/>
        </w:rPr>
        <w:t xml:space="preserve"> paaiškėjo naujos faktinės aplinkybės.</w:t>
      </w:r>
    </w:p>
    <w:p w14:paraId="184DAB83" w14:textId="312D6B1E" w:rsidR="00D71DC0" w:rsidRPr="008004E7" w:rsidRDefault="00D71DC0" w:rsidP="00D71DC0">
      <w:pPr>
        <w:pStyle w:val="Pagrindinistekstas"/>
        <w:numPr>
          <w:ilvl w:val="1"/>
          <w:numId w:val="1"/>
        </w:numPr>
        <w:rPr>
          <w:iCs/>
        </w:rPr>
      </w:pPr>
      <w:r w:rsidRPr="006C74D1">
        <w:rPr>
          <w:iCs/>
        </w:rPr>
        <w:t xml:space="preserve">Prokuroro ir nukentėjusiojo </w:t>
      </w:r>
      <w:bookmarkStart w:id="30" w:name="Buk_7"/>
      <w:r w:rsidR="00680441" w:rsidRPr="00680441">
        <w:rPr>
          <w:iCs/>
        </w:rPr>
        <w:t xml:space="preserve">D. B. </w:t>
      </w:r>
      <w:bookmarkEnd w:id="30"/>
      <w:r w:rsidRPr="006C74D1">
        <w:rPr>
          <w:iCs/>
        </w:rPr>
        <w:t>apeliaciniuose skunduose iš esmės buvo ginčijamos vien ekspertizės akto išvados, teigiant</w:t>
      </w:r>
      <w:r>
        <w:rPr>
          <w:iCs/>
        </w:rPr>
        <w:t>,</w:t>
      </w:r>
      <w:r w:rsidRPr="006C74D1">
        <w:rPr>
          <w:iCs/>
        </w:rPr>
        <w:t xml:space="preserve"> </w:t>
      </w:r>
      <w:r>
        <w:rPr>
          <w:iCs/>
        </w:rPr>
        <w:t>kad</w:t>
      </w:r>
      <w:r w:rsidRPr="006C74D1">
        <w:rPr>
          <w:iCs/>
        </w:rPr>
        <w:t xml:space="preserve"> šiame tyrime nepagrįstai nuspręsta, jog kasatorius po eismo įvykio patraukė transporto priemonę. Tačiau dar </w:t>
      </w:r>
      <w:bookmarkStart w:id="31" w:name="_Hlk167871746"/>
      <w:r w:rsidRPr="006C74D1">
        <w:rPr>
          <w:iCs/>
        </w:rPr>
        <w:t xml:space="preserve">Šiaulių apylinkės teismo 2021 m. rugsėjo 29 d. </w:t>
      </w:r>
      <w:bookmarkEnd w:id="31"/>
      <w:r w:rsidRPr="006C74D1">
        <w:rPr>
          <w:iCs/>
        </w:rPr>
        <w:t>nuosprend</w:t>
      </w:r>
      <w:r>
        <w:rPr>
          <w:iCs/>
        </w:rPr>
        <w:t>yje buvo konstatuota</w:t>
      </w:r>
      <w:r w:rsidRPr="006C74D1">
        <w:rPr>
          <w:iCs/>
        </w:rPr>
        <w:t>, jog ši aplinkybė įvykio mechanizmo vertinimui faktinės reikšmės neturi. Tai teisiamojo posėdžio metu patvirtino pats ekspertas V.</w:t>
      </w:r>
      <w:r>
        <w:rPr>
          <w:iCs/>
        </w:rPr>
        <w:t> </w:t>
      </w:r>
      <w:r w:rsidRPr="006C74D1">
        <w:rPr>
          <w:iCs/>
        </w:rPr>
        <w:t>Pačebutas, kadangi motociklo greičio ir padėties vis tiek n</w:t>
      </w:r>
      <w:r>
        <w:rPr>
          <w:iCs/>
        </w:rPr>
        <w:t>e</w:t>
      </w:r>
      <w:r w:rsidRPr="006C74D1">
        <w:rPr>
          <w:iCs/>
        </w:rPr>
        <w:t xml:space="preserve">įmanoma nustatyti, automobilio padėtis iš karto po susidūrimo įvykio vertinimui nėra reikšminga. Tokiai išvadai pritarta ir </w:t>
      </w:r>
      <w:r w:rsidRPr="008004E7">
        <w:rPr>
          <w:iCs/>
        </w:rPr>
        <w:t>Šiaulių apylinkės teismo 2023 m. liepos 13 d.</w:t>
      </w:r>
      <w:r>
        <w:rPr>
          <w:iCs/>
        </w:rPr>
        <w:t xml:space="preserve"> </w:t>
      </w:r>
      <w:r w:rsidRPr="008004E7">
        <w:rPr>
          <w:iCs/>
        </w:rPr>
        <w:t>nuosprend</w:t>
      </w:r>
      <w:r w:rsidR="00087870">
        <w:rPr>
          <w:iCs/>
        </w:rPr>
        <w:t>yje</w:t>
      </w:r>
      <w:r w:rsidRPr="008004E7">
        <w:rPr>
          <w:iCs/>
        </w:rPr>
        <w:t>. Tačiau skundžiamame nuosprendyje šiai aplinkybei suteikiama daug reikšmės.</w:t>
      </w:r>
    </w:p>
    <w:p w14:paraId="76B98299" w14:textId="77777777" w:rsidR="00D71DC0" w:rsidRPr="006C74D1" w:rsidRDefault="00D71DC0" w:rsidP="00D71DC0">
      <w:pPr>
        <w:pStyle w:val="Pagrindinistekstas"/>
        <w:numPr>
          <w:ilvl w:val="1"/>
          <w:numId w:val="1"/>
        </w:numPr>
        <w:rPr>
          <w:iCs/>
        </w:rPr>
      </w:pPr>
      <w:r w:rsidRPr="006C74D1">
        <w:rPr>
          <w:iCs/>
        </w:rPr>
        <w:t>Antrą kartą bylą nagrinėjant apeliacinės instancijos teisme</w:t>
      </w:r>
      <w:r>
        <w:rPr>
          <w:iCs/>
        </w:rPr>
        <w:t>,</w:t>
      </w:r>
      <w:r w:rsidRPr="006C74D1">
        <w:rPr>
          <w:iCs/>
        </w:rPr>
        <w:t xml:space="preserve"> neatsirado jokių naujų faktinių aplinkybių, duomenų, kurie turėtų įtakos specialių žinių turintiems subjektams</w:t>
      </w:r>
      <w:r>
        <w:rPr>
          <w:iCs/>
        </w:rPr>
        <w:t>,</w:t>
      </w:r>
      <w:r w:rsidRPr="006C74D1">
        <w:rPr>
          <w:iCs/>
        </w:rPr>
        <w:t xml:space="preserve"> vertinant eismo įvykio mechanizmą. Bylos nagrinėjimo metu neskirti nauji (papildomi) ekspertiniai, specialių žinių reikalaujantys tyrimai. Taigi, priimant skundžiamą nuosprendį</w:t>
      </w:r>
      <w:r>
        <w:rPr>
          <w:iCs/>
        </w:rPr>
        <w:t>,</w:t>
      </w:r>
      <w:r w:rsidRPr="006C74D1">
        <w:rPr>
          <w:iCs/>
        </w:rPr>
        <w:t xml:space="preserve"> buvo vertinami tie patys įrodymai. Tačiau </w:t>
      </w:r>
      <w:r>
        <w:rPr>
          <w:iCs/>
        </w:rPr>
        <w:t>pirmiau</w:t>
      </w:r>
      <w:r w:rsidRPr="006C74D1">
        <w:rPr>
          <w:iCs/>
        </w:rPr>
        <w:t xml:space="preserve"> minėtos aplinkybės dėl motociklo vairuotojo persirikiavimo, galvos pasukimo ir automobilio nepastebėjimo nevertintos, dėl jų nepasisakyta. Toks selektyvus specialisto išvados ir ekspertizės akto vertinimas prieštarauja BPK 20 straipsnio 5 dalyje nu</w:t>
      </w:r>
      <w:r>
        <w:rPr>
          <w:iCs/>
        </w:rPr>
        <w:t>st</w:t>
      </w:r>
      <w:r w:rsidRPr="006C74D1">
        <w:rPr>
          <w:iCs/>
        </w:rPr>
        <w:t xml:space="preserve">atytai pareigai bylos duomenis vertinti visapusiškai ir išsamiai. </w:t>
      </w:r>
    </w:p>
    <w:p w14:paraId="59A9D523" w14:textId="77777777" w:rsidR="00914092" w:rsidRPr="007F5BAA" w:rsidRDefault="00914092" w:rsidP="00DC2180">
      <w:pPr>
        <w:pStyle w:val="Pagrindinistekstas"/>
        <w:ind w:left="0" w:firstLine="0"/>
        <w:rPr>
          <w:iCs/>
        </w:rPr>
      </w:pPr>
    </w:p>
    <w:p w14:paraId="2BE99086" w14:textId="5E731445" w:rsidR="00DC2180" w:rsidRPr="007F5BAA" w:rsidRDefault="00DC2180" w:rsidP="00DC2180">
      <w:pPr>
        <w:spacing w:before="120" w:after="0"/>
        <w:ind w:left="788" w:firstLine="0"/>
        <w:jc w:val="center"/>
        <w:rPr>
          <w:iCs/>
          <w:lang w:val="lt-LT"/>
        </w:rPr>
      </w:pPr>
      <w:r w:rsidRPr="007F5BAA">
        <w:rPr>
          <w:iCs/>
          <w:lang w:val="lt-LT"/>
        </w:rPr>
        <w:t xml:space="preserve">IV. Kasacinės instancijos </w:t>
      </w:r>
      <w:r w:rsidR="007B6934" w:rsidRPr="007F5BAA">
        <w:rPr>
          <w:iCs/>
          <w:lang w:val="lt-LT"/>
        </w:rPr>
        <w:t>teismo argumentai ir išvados</w:t>
      </w:r>
    </w:p>
    <w:p w14:paraId="3A5A274B" w14:textId="77777777" w:rsidR="00DC2180" w:rsidRPr="007F5BAA" w:rsidRDefault="00DC2180" w:rsidP="00DC2180">
      <w:pPr>
        <w:ind w:left="360" w:hanging="360"/>
        <w:rPr>
          <w:iCs/>
          <w:kern w:val="1"/>
          <w:lang w:val="lt-LT" w:eastAsia="lt-LT" w:bidi="hi-IN"/>
        </w:rPr>
      </w:pPr>
    </w:p>
    <w:p w14:paraId="79AD4E2C" w14:textId="7977B92D" w:rsidR="00C26A41" w:rsidRPr="007F5BAA" w:rsidRDefault="008E76D4" w:rsidP="00C26A41">
      <w:pPr>
        <w:pStyle w:val="Sraopastraipa"/>
        <w:numPr>
          <w:ilvl w:val="0"/>
          <w:numId w:val="1"/>
        </w:numPr>
        <w:rPr>
          <w:rFonts w:eastAsia="Calibri"/>
          <w:lang w:val="lt-LT"/>
        </w:rPr>
      </w:pPr>
      <w:r w:rsidRPr="007F5BAA">
        <w:rPr>
          <w:rFonts w:eastAsia="Calibri"/>
          <w:lang w:val="lt-LT"/>
        </w:rPr>
        <w:t>Nuteistojo L</w:t>
      </w:r>
      <w:r w:rsidR="00806BEC" w:rsidRPr="007F5BAA">
        <w:rPr>
          <w:rFonts w:eastAsia="Calibri"/>
          <w:lang w:val="lt-LT"/>
        </w:rPr>
        <w:t>.</w:t>
      </w:r>
      <w:r w:rsidRPr="007F5BAA">
        <w:rPr>
          <w:rFonts w:eastAsia="Calibri"/>
          <w:lang w:val="lt-LT"/>
        </w:rPr>
        <w:t xml:space="preserve"> </w:t>
      </w:r>
      <w:bookmarkStart w:id="32" w:name="Buk_28"/>
      <w:r w:rsidR="00680441" w:rsidRPr="00680441">
        <w:rPr>
          <w:rFonts w:eastAsia="Calibri"/>
          <w:lang w:val="lt-LT"/>
        </w:rPr>
        <w:t xml:space="preserve">J. L. </w:t>
      </w:r>
      <w:bookmarkEnd w:id="32"/>
      <w:r w:rsidRPr="007F5BAA">
        <w:rPr>
          <w:rFonts w:eastAsia="Calibri"/>
          <w:lang w:val="lt-LT"/>
        </w:rPr>
        <w:t>gynėjo advokato L</w:t>
      </w:r>
      <w:r w:rsidR="00806BEC" w:rsidRPr="007F5BAA">
        <w:rPr>
          <w:rFonts w:eastAsia="Calibri"/>
          <w:lang w:val="lt-LT"/>
        </w:rPr>
        <w:t>.</w:t>
      </w:r>
      <w:r w:rsidRPr="007F5BAA">
        <w:rPr>
          <w:rFonts w:eastAsia="Calibri"/>
          <w:lang w:val="lt-LT"/>
        </w:rPr>
        <w:t xml:space="preserve"> </w:t>
      </w:r>
      <w:proofErr w:type="spellStart"/>
      <w:r w:rsidRPr="007F5BAA">
        <w:rPr>
          <w:rFonts w:eastAsia="Calibri"/>
          <w:lang w:val="lt-LT"/>
        </w:rPr>
        <w:t>Judicko</w:t>
      </w:r>
      <w:proofErr w:type="spellEnd"/>
      <w:r w:rsidRPr="007F5BAA">
        <w:rPr>
          <w:rFonts w:eastAsia="Calibri"/>
          <w:lang w:val="lt-LT"/>
        </w:rPr>
        <w:t xml:space="preserve"> kasacinis skundas</w:t>
      </w:r>
      <w:r w:rsidR="00C26A41" w:rsidRPr="007F5BAA">
        <w:rPr>
          <w:rFonts w:eastAsia="Calibri"/>
          <w:lang w:val="lt-LT"/>
        </w:rPr>
        <w:t xml:space="preserve"> tenkintinas.</w:t>
      </w:r>
    </w:p>
    <w:p w14:paraId="2D290C52" w14:textId="77777777" w:rsidR="001876AC" w:rsidRPr="007F5BAA" w:rsidRDefault="001876AC" w:rsidP="001876AC">
      <w:pPr>
        <w:pStyle w:val="Pagrindinistekstas"/>
        <w:ind w:left="0" w:firstLine="0"/>
        <w:rPr>
          <w:iCs/>
        </w:rPr>
      </w:pPr>
      <w:bookmarkStart w:id="33" w:name="_Hlk160102418"/>
    </w:p>
    <w:p w14:paraId="23ECE024" w14:textId="5B9A8A6A" w:rsidR="008E76D4" w:rsidRPr="007F5BAA" w:rsidRDefault="001876AC" w:rsidP="001876AC">
      <w:pPr>
        <w:ind w:left="0" w:firstLine="720"/>
        <w:rPr>
          <w:i/>
          <w:lang w:val="lt-LT"/>
        </w:rPr>
      </w:pPr>
      <w:r w:rsidRPr="007F5BAA">
        <w:rPr>
          <w:i/>
          <w:lang w:val="lt-LT"/>
        </w:rPr>
        <w:t xml:space="preserve">Dėl </w:t>
      </w:r>
      <w:r w:rsidR="00D5612B" w:rsidRPr="007F5BAA">
        <w:rPr>
          <w:i/>
          <w:lang w:val="lt-LT"/>
        </w:rPr>
        <w:t>įrodymų vertinimo</w:t>
      </w:r>
      <w:r w:rsidR="007F5BAA" w:rsidRPr="007F5BAA">
        <w:rPr>
          <w:i/>
          <w:lang w:val="lt-LT"/>
        </w:rPr>
        <w:t xml:space="preserve">, priežastinio ryšio nustatymo ir </w:t>
      </w:r>
      <w:r w:rsidR="00D5612B" w:rsidRPr="007F5BAA">
        <w:rPr>
          <w:i/>
          <w:lang w:val="lt-LT"/>
        </w:rPr>
        <w:t xml:space="preserve">BK 281 straipsnio 1 dalies taikymo </w:t>
      </w:r>
      <w:bookmarkEnd w:id="33"/>
    </w:p>
    <w:p w14:paraId="26EA4F6D" w14:textId="77777777" w:rsidR="008E76D4" w:rsidRPr="007F5BAA" w:rsidRDefault="008E76D4" w:rsidP="008E76D4">
      <w:pPr>
        <w:ind w:left="0" w:firstLine="0"/>
        <w:rPr>
          <w:rFonts w:eastAsia="Calibri"/>
          <w:lang w:val="lt-LT"/>
        </w:rPr>
      </w:pPr>
    </w:p>
    <w:p w14:paraId="39470EDF" w14:textId="3AFC3F4F" w:rsidR="00D5612B" w:rsidRPr="007F5BAA" w:rsidRDefault="00E74FF2" w:rsidP="006F438F">
      <w:pPr>
        <w:pStyle w:val="Sraopastraipa"/>
        <w:numPr>
          <w:ilvl w:val="0"/>
          <w:numId w:val="1"/>
        </w:numPr>
        <w:ind w:left="357" w:hanging="357"/>
        <w:contextualSpacing w:val="0"/>
        <w:rPr>
          <w:rFonts w:eastAsia="Calibri"/>
          <w:lang w:val="lt-LT"/>
        </w:rPr>
      </w:pPr>
      <w:r w:rsidRPr="007F5BAA">
        <w:rPr>
          <w:rFonts w:eastAsia="Calibri"/>
          <w:lang w:val="lt-LT"/>
        </w:rPr>
        <w:t xml:space="preserve">Kasaciniame skunde nuteistojo L. </w:t>
      </w:r>
      <w:bookmarkStart w:id="34" w:name="Buk_29"/>
      <w:r w:rsidR="00680441" w:rsidRPr="00680441">
        <w:rPr>
          <w:rFonts w:eastAsia="Calibri"/>
          <w:lang w:val="lt-LT"/>
        </w:rPr>
        <w:t xml:space="preserve">J. L. </w:t>
      </w:r>
      <w:bookmarkEnd w:id="34"/>
      <w:r w:rsidRPr="007F5BAA">
        <w:rPr>
          <w:rFonts w:eastAsia="Calibri"/>
          <w:lang w:val="lt-LT"/>
        </w:rPr>
        <w:t xml:space="preserve">gynėjas advokatas L. </w:t>
      </w:r>
      <w:proofErr w:type="spellStart"/>
      <w:r w:rsidRPr="007F5BAA">
        <w:rPr>
          <w:rFonts w:eastAsia="Calibri"/>
          <w:lang w:val="lt-LT"/>
        </w:rPr>
        <w:t>Judickas</w:t>
      </w:r>
      <w:proofErr w:type="spellEnd"/>
      <w:r w:rsidRPr="007F5BAA">
        <w:rPr>
          <w:rFonts w:eastAsia="Calibri"/>
          <w:lang w:val="lt-LT"/>
        </w:rPr>
        <w:t xml:space="preserve"> prašymą panaikinti apeliacinės instancijos teismo apkaltinamąjį nuosprendį ir palikti galioti pirmosios instancijos teismo nuosprendį, kuriuo L. </w:t>
      </w:r>
      <w:bookmarkStart w:id="35" w:name="Buk_30"/>
      <w:r w:rsidR="00680441" w:rsidRPr="00680441">
        <w:rPr>
          <w:rFonts w:eastAsia="Calibri"/>
          <w:lang w:val="lt-LT"/>
        </w:rPr>
        <w:t xml:space="preserve">J. L. </w:t>
      </w:r>
      <w:bookmarkEnd w:id="35"/>
      <w:r w:rsidRPr="007F5BAA">
        <w:rPr>
          <w:rFonts w:eastAsia="Calibri"/>
          <w:lang w:val="lt-LT"/>
        </w:rPr>
        <w:t>išteisintas, nes nepadaryta veika, turinti nusikaltimo ar baudžiamojo nusižengimo požymių, motyvuoja tuo, kad apeliacinės instancijos teismas,</w:t>
      </w:r>
      <w:r w:rsidR="0002160A" w:rsidRPr="007F5BAA">
        <w:rPr>
          <w:rFonts w:eastAsia="Calibri"/>
          <w:lang w:val="lt-LT"/>
        </w:rPr>
        <w:t xml:space="preserve"> </w:t>
      </w:r>
      <w:r w:rsidR="00D42AC2">
        <w:rPr>
          <w:rFonts w:eastAsia="Calibri"/>
          <w:lang w:val="lt-LT"/>
        </w:rPr>
        <w:t xml:space="preserve">kaltinamąjį </w:t>
      </w:r>
      <w:r w:rsidR="0002160A" w:rsidRPr="007F5BAA">
        <w:rPr>
          <w:rFonts w:eastAsia="Calibri"/>
          <w:lang w:val="lt-LT"/>
        </w:rPr>
        <w:t>L. </w:t>
      </w:r>
      <w:bookmarkStart w:id="36" w:name="Buk_31"/>
      <w:r w:rsidR="00680441" w:rsidRPr="00680441">
        <w:rPr>
          <w:rFonts w:eastAsia="Calibri"/>
          <w:lang w:val="lt-LT"/>
        </w:rPr>
        <w:t xml:space="preserve">J. L. </w:t>
      </w:r>
      <w:bookmarkEnd w:id="36"/>
      <w:r w:rsidRPr="007F5BAA">
        <w:rPr>
          <w:rFonts w:eastAsia="Calibri"/>
          <w:lang w:val="lt-LT"/>
        </w:rPr>
        <w:t>pripažindamas kaltu pagal BK 281 straipsnio 1 dalį, padarė esminius BPK</w:t>
      </w:r>
      <w:r w:rsidR="00112179">
        <w:rPr>
          <w:rFonts w:eastAsia="Calibri"/>
          <w:lang w:val="lt-LT"/>
        </w:rPr>
        <w:t> </w:t>
      </w:r>
      <w:r w:rsidRPr="007F5BAA">
        <w:rPr>
          <w:rFonts w:eastAsia="Calibri"/>
          <w:lang w:val="lt-LT"/>
        </w:rPr>
        <w:t>20</w:t>
      </w:r>
      <w:r w:rsidR="00D71DC0">
        <w:rPr>
          <w:rFonts w:eastAsia="Calibri"/>
          <w:lang w:val="lt-LT"/>
        </w:rPr>
        <w:t> </w:t>
      </w:r>
      <w:r w:rsidRPr="007F5BAA">
        <w:rPr>
          <w:rFonts w:eastAsia="Calibri"/>
          <w:lang w:val="lt-LT"/>
        </w:rPr>
        <w:t xml:space="preserve">straipsnio 5 dalies pažeidimus, </w:t>
      </w:r>
      <w:r w:rsidR="00175DE0">
        <w:rPr>
          <w:rFonts w:eastAsia="Calibri"/>
          <w:lang w:val="lt-LT"/>
        </w:rPr>
        <w:t xml:space="preserve">t. y. </w:t>
      </w:r>
      <w:r w:rsidR="000648FA">
        <w:rPr>
          <w:rFonts w:eastAsia="Calibri"/>
          <w:lang w:val="lt-LT"/>
        </w:rPr>
        <w:t xml:space="preserve">nepaskyręs naujų specialių žinių reikalaujančių tyrimų ir remdamasis tais pačiais bylos duomenimis, paneigė pirmosios instancijos </w:t>
      </w:r>
      <w:r w:rsidR="00087870">
        <w:rPr>
          <w:rFonts w:eastAsia="Calibri"/>
          <w:lang w:val="lt-LT"/>
        </w:rPr>
        <w:t xml:space="preserve">teismo </w:t>
      </w:r>
      <w:r w:rsidR="004B2AB0">
        <w:rPr>
          <w:rFonts w:eastAsia="Calibri"/>
          <w:lang w:val="lt-LT"/>
        </w:rPr>
        <w:t xml:space="preserve">išvadas dėl eismo įvykį sukėlusių priežasčių, </w:t>
      </w:r>
      <w:r w:rsidR="00175DE0">
        <w:rPr>
          <w:rFonts w:eastAsia="Calibri"/>
          <w:lang w:val="lt-LT"/>
        </w:rPr>
        <w:t xml:space="preserve">perkėlė </w:t>
      </w:r>
      <w:r w:rsidR="00175DE0" w:rsidRPr="00175DE0">
        <w:rPr>
          <w:rFonts w:eastAsia="Calibri"/>
          <w:lang w:val="lt-LT"/>
        </w:rPr>
        <w:t>įrodinėjim</w:t>
      </w:r>
      <w:r w:rsidR="00175DE0">
        <w:rPr>
          <w:rFonts w:eastAsia="Calibri"/>
          <w:lang w:val="lt-LT"/>
        </w:rPr>
        <w:t xml:space="preserve">o naštą </w:t>
      </w:r>
      <w:r w:rsidR="00175DE0" w:rsidRPr="00175DE0">
        <w:rPr>
          <w:rFonts w:eastAsia="Calibri"/>
          <w:lang w:val="lt-LT"/>
        </w:rPr>
        <w:t>kaltinamajam</w:t>
      </w:r>
      <w:r w:rsidR="00175DE0">
        <w:rPr>
          <w:rFonts w:eastAsia="Calibri"/>
          <w:lang w:val="lt-LT"/>
        </w:rPr>
        <w:t xml:space="preserve">, </w:t>
      </w:r>
      <w:r w:rsidR="00175DE0" w:rsidRPr="00175DE0">
        <w:rPr>
          <w:rFonts w:eastAsia="Calibri"/>
          <w:lang w:val="lt-LT"/>
        </w:rPr>
        <w:t>selektyv</w:t>
      </w:r>
      <w:r w:rsidR="00175DE0">
        <w:rPr>
          <w:rFonts w:eastAsia="Calibri"/>
          <w:lang w:val="lt-LT"/>
        </w:rPr>
        <w:t>iai</w:t>
      </w:r>
      <w:r w:rsidR="00175DE0" w:rsidRPr="00175DE0">
        <w:rPr>
          <w:rFonts w:eastAsia="Calibri"/>
          <w:lang w:val="lt-LT"/>
        </w:rPr>
        <w:t xml:space="preserve"> </w:t>
      </w:r>
      <w:r w:rsidR="00175DE0">
        <w:rPr>
          <w:rFonts w:eastAsia="Calibri"/>
          <w:lang w:val="lt-LT"/>
        </w:rPr>
        <w:t xml:space="preserve">vertino sąlyginę </w:t>
      </w:r>
      <w:r w:rsidR="00175DE0" w:rsidRPr="00175DE0">
        <w:rPr>
          <w:rFonts w:eastAsia="Calibri"/>
          <w:lang w:val="lt-LT"/>
        </w:rPr>
        <w:t>specialisto išvad</w:t>
      </w:r>
      <w:r w:rsidR="00175DE0">
        <w:rPr>
          <w:rFonts w:eastAsia="Calibri"/>
          <w:lang w:val="lt-LT"/>
        </w:rPr>
        <w:t>ą</w:t>
      </w:r>
      <w:r w:rsidR="00175DE0" w:rsidRPr="00175DE0">
        <w:rPr>
          <w:rFonts w:eastAsia="Calibri"/>
          <w:lang w:val="lt-LT"/>
        </w:rPr>
        <w:t xml:space="preserve"> </w:t>
      </w:r>
      <w:r w:rsidR="00175DE0">
        <w:rPr>
          <w:rFonts w:eastAsia="Calibri"/>
          <w:lang w:val="lt-LT"/>
        </w:rPr>
        <w:t xml:space="preserve">ir sąlyginį </w:t>
      </w:r>
      <w:r w:rsidR="00175DE0" w:rsidRPr="00175DE0">
        <w:rPr>
          <w:rFonts w:eastAsia="Calibri"/>
          <w:lang w:val="lt-LT"/>
        </w:rPr>
        <w:t>ekspertizės akt</w:t>
      </w:r>
      <w:r w:rsidR="00175DE0">
        <w:rPr>
          <w:rFonts w:eastAsia="Calibri"/>
          <w:lang w:val="lt-LT"/>
        </w:rPr>
        <w:t>ą,</w:t>
      </w:r>
      <w:r w:rsidR="00175DE0" w:rsidRPr="00175DE0">
        <w:rPr>
          <w:rFonts w:eastAsia="Calibri"/>
          <w:lang w:val="lt-LT"/>
        </w:rPr>
        <w:t xml:space="preserve"> </w:t>
      </w:r>
      <w:r w:rsidR="00175DE0">
        <w:rPr>
          <w:rFonts w:eastAsia="Calibri"/>
          <w:lang w:val="lt-LT"/>
        </w:rPr>
        <w:t>ignoravo kaltinimui nepalankius bylos duomenis</w:t>
      </w:r>
      <w:r w:rsidR="00413F63">
        <w:rPr>
          <w:rFonts w:eastAsia="Calibri"/>
          <w:lang w:val="lt-LT"/>
        </w:rPr>
        <w:t xml:space="preserve"> dėl nukentėjusiojo veiksmų įtakos eismo įvykiui kilti</w:t>
      </w:r>
      <w:r w:rsidRPr="007F5BAA">
        <w:rPr>
          <w:rFonts w:eastAsia="Calibri"/>
          <w:lang w:val="lt-LT"/>
        </w:rPr>
        <w:t xml:space="preserve">, </w:t>
      </w:r>
      <w:r w:rsidR="00175DE0">
        <w:rPr>
          <w:rFonts w:eastAsia="Calibri"/>
          <w:lang w:val="lt-LT"/>
        </w:rPr>
        <w:t>t</w:t>
      </w:r>
      <w:r w:rsidR="00413F63">
        <w:rPr>
          <w:rFonts w:eastAsia="Calibri"/>
          <w:lang w:val="lt-LT"/>
        </w:rPr>
        <w:t>ai lėmė</w:t>
      </w:r>
      <w:r w:rsidR="00112179">
        <w:rPr>
          <w:rFonts w:eastAsia="Calibri"/>
          <w:lang w:val="lt-LT"/>
        </w:rPr>
        <w:t>, kad buvo</w:t>
      </w:r>
      <w:r w:rsidR="00413F63">
        <w:rPr>
          <w:rFonts w:eastAsia="Calibri"/>
          <w:lang w:val="lt-LT"/>
        </w:rPr>
        <w:t xml:space="preserve"> </w:t>
      </w:r>
      <w:r w:rsidR="00112179" w:rsidRPr="007F5BAA">
        <w:rPr>
          <w:rFonts w:eastAsia="Calibri"/>
          <w:lang w:val="lt-LT"/>
        </w:rPr>
        <w:t>neteising</w:t>
      </w:r>
      <w:r w:rsidR="00112179">
        <w:rPr>
          <w:rFonts w:eastAsia="Calibri"/>
          <w:lang w:val="lt-LT"/>
        </w:rPr>
        <w:t>ai nustatytas</w:t>
      </w:r>
      <w:r w:rsidR="00112179" w:rsidRPr="007F5BAA">
        <w:rPr>
          <w:rFonts w:eastAsia="Calibri"/>
          <w:lang w:val="lt-LT"/>
        </w:rPr>
        <w:t xml:space="preserve"> priežastini</w:t>
      </w:r>
      <w:r w:rsidR="00112179">
        <w:rPr>
          <w:rFonts w:eastAsia="Calibri"/>
          <w:lang w:val="lt-LT"/>
        </w:rPr>
        <w:t>s</w:t>
      </w:r>
      <w:r w:rsidR="00112179" w:rsidRPr="007F5BAA">
        <w:rPr>
          <w:rFonts w:eastAsia="Calibri"/>
          <w:lang w:val="lt-LT"/>
        </w:rPr>
        <w:t xml:space="preserve"> ryš</w:t>
      </w:r>
      <w:r w:rsidR="00112179">
        <w:rPr>
          <w:rFonts w:eastAsia="Calibri"/>
          <w:lang w:val="lt-LT"/>
        </w:rPr>
        <w:t>ys</w:t>
      </w:r>
      <w:r w:rsidR="00112179" w:rsidRPr="007F5BAA">
        <w:rPr>
          <w:rFonts w:eastAsia="Calibri"/>
          <w:lang w:val="lt-LT"/>
        </w:rPr>
        <w:t xml:space="preserve"> </w:t>
      </w:r>
      <w:r w:rsidRPr="007F5BAA">
        <w:rPr>
          <w:rFonts w:eastAsia="Calibri"/>
          <w:lang w:val="lt-LT"/>
        </w:rPr>
        <w:t>tarp nuteistojo veiksmų ir kilusių padarinių.</w:t>
      </w:r>
      <w:r w:rsidR="00322F08">
        <w:rPr>
          <w:rFonts w:eastAsia="Calibri"/>
          <w:lang w:val="lt-LT"/>
        </w:rPr>
        <w:t xml:space="preserve"> </w:t>
      </w:r>
    </w:p>
    <w:p w14:paraId="0CFC80A3" w14:textId="6D2B9B78" w:rsidR="00EF7BEC" w:rsidRDefault="00185BE9" w:rsidP="0022302D">
      <w:pPr>
        <w:pStyle w:val="Sraopastraipa"/>
        <w:numPr>
          <w:ilvl w:val="0"/>
          <w:numId w:val="1"/>
        </w:numPr>
        <w:ind w:left="357" w:hanging="357"/>
        <w:contextualSpacing w:val="0"/>
        <w:rPr>
          <w:rFonts w:eastAsia="Calibri"/>
          <w:lang w:val="lt-LT"/>
        </w:rPr>
      </w:pPr>
      <w:r w:rsidRPr="00185BE9">
        <w:rPr>
          <w:rFonts w:eastAsia="Calibri"/>
          <w:lang w:val="lt-LT"/>
        </w:rPr>
        <w:t>BPK 20 straipsnio 5 dal</w:t>
      </w:r>
      <w:r>
        <w:rPr>
          <w:rFonts w:eastAsia="Calibri"/>
          <w:lang w:val="lt-LT"/>
        </w:rPr>
        <w:t>yje nustatyta, kad t</w:t>
      </w:r>
      <w:r w:rsidRPr="00185BE9">
        <w:rPr>
          <w:rFonts w:eastAsia="Calibri"/>
          <w:lang w:val="lt-LT"/>
        </w:rPr>
        <w:t xml:space="preserve">eisėjai įrodymus įvertina pagal savo vidinį įsitikinimą, pagrįstą išsamiu ir nešališku visų bylos aplinkybių išnagrinėjimu, vadovaudamiesi įstatymu. </w:t>
      </w:r>
      <w:r w:rsidR="00EF7BEC" w:rsidRPr="00EF7BEC">
        <w:rPr>
          <w:rFonts w:eastAsia="Calibri"/>
          <w:lang w:val="lt-LT"/>
        </w:rPr>
        <w:t xml:space="preserve">Esminiu šių nuostatų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nepagrįstai įrodymais nepripažinti duomenys, atitinkantys nustatytus reikalavimus; neišdėstyti teisiniai argumentai dėl ištirtų įrodymų vertinimo ir pan. (kasacinės nutartys baudžiamosiose bylose Nr. 2K-7-176-303/2015, 2K-251-507/2016, 2K-74-976/2017, 2K-145-495/2021, 2K-113-697/2022, 2K-93-387/2023, 2K-217-719/2023 ir kt.). </w:t>
      </w:r>
    </w:p>
    <w:p w14:paraId="3F562D27" w14:textId="15FF77CE" w:rsidR="00D5612B" w:rsidRPr="007F5BAA" w:rsidRDefault="00E74FF2" w:rsidP="0022302D">
      <w:pPr>
        <w:pStyle w:val="Sraopastraipa"/>
        <w:numPr>
          <w:ilvl w:val="0"/>
          <w:numId w:val="1"/>
        </w:numPr>
        <w:ind w:left="357" w:hanging="357"/>
        <w:contextualSpacing w:val="0"/>
        <w:rPr>
          <w:rFonts w:eastAsia="Calibri"/>
          <w:lang w:val="lt-LT"/>
        </w:rPr>
      </w:pPr>
      <w:r w:rsidRPr="007F5BAA">
        <w:rPr>
          <w:rFonts w:eastAsia="Calibri"/>
          <w:lang w:val="lt-LT"/>
        </w:rPr>
        <w:t xml:space="preserve">Kaip matyti iš </w:t>
      </w:r>
      <w:r w:rsidR="00DE588A">
        <w:rPr>
          <w:rFonts w:eastAsia="Calibri"/>
          <w:lang w:val="lt-LT"/>
        </w:rPr>
        <w:t xml:space="preserve">bylos medžiagos, </w:t>
      </w:r>
      <w:r w:rsidRPr="007F5BAA">
        <w:rPr>
          <w:rFonts w:eastAsia="Calibri"/>
          <w:lang w:val="lt-LT"/>
        </w:rPr>
        <w:t>apeliacinės instancijos teism</w:t>
      </w:r>
      <w:r w:rsidR="00DE588A">
        <w:rPr>
          <w:rFonts w:eastAsia="Calibri"/>
          <w:lang w:val="lt-LT"/>
        </w:rPr>
        <w:t>as</w:t>
      </w:r>
      <w:r w:rsidR="00413F63">
        <w:rPr>
          <w:rFonts w:eastAsia="Calibri"/>
          <w:lang w:val="lt-LT"/>
        </w:rPr>
        <w:t xml:space="preserve"> savo išvadas pagrindė </w:t>
      </w:r>
      <w:r w:rsidR="00185BE9">
        <w:rPr>
          <w:rFonts w:eastAsia="Calibri"/>
          <w:lang w:val="lt-LT"/>
        </w:rPr>
        <w:t>bylo</w:t>
      </w:r>
      <w:r w:rsidR="000B5B1D">
        <w:rPr>
          <w:rFonts w:eastAsia="Calibri"/>
          <w:lang w:val="lt-LT"/>
        </w:rPr>
        <w:t>je</w:t>
      </w:r>
      <w:r w:rsidR="00185BE9">
        <w:rPr>
          <w:rFonts w:eastAsia="Calibri"/>
          <w:lang w:val="lt-LT"/>
        </w:rPr>
        <w:t xml:space="preserve"> </w:t>
      </w:r>
      <w:r w:rsidR="000B5B1D">
        <w:rPr>
          <w:rFonts w:eastAsia="Calibri"/>
          <w:lang w:val="lt-LT"/>
        </w:rPr>
        <w:t xml:space="preserve">esančių </w:t>
      </w:r>
      <w:r w:rsidR="00185BE9">
        <w:rPr>
          <w:rFonts w:eastAsia="Calibri"/>
          <w:lang w:val="lt-LT"/>
        </w:rPr>
        <w:t>įrodym</w:t>
      </w:r>
      <w:r w:rsidR="000B5B1D">
        <w:rPr>
          <w:rFonts w:eastAsia="Calibri"/>
          <w:lang w:val="lt-LT"/>
        </w:rPr>
        <w:t>ų visuma</w:t>
      </w:r>
      <w:r w:rsidR="00185BE9">
        <w:rPr>
          <w:rFonts w:eastAsia="Calibri"/>
          <w:lang w:val="lt-LT"/>
        </w:rPr>
        <w:t xml:space="preserve">: </w:t>
      </w:r>
      <w:r w:rsidR="00185BE9" w:rsidRPr="007F5BAA">
        <w:rPr>
          <w:rFonts w:eastAsia="Calibri"/>
          <w:lang w:val="lt-LT"/>
        </w:rPr>
        <w:t>nukentėjusiojo</w:t>
      </w:r>
      <w:r w:rsidR="00185BE9">
        <w:rPr>
          <w:rFonts w:eastAsia="Calibri"/>
          <w:lang w:val="lt-LT"/>
        </w:rPr>
        <w:t>,</w:t>
      </w:r>
      <w:r w:rsidR="00185BE9" w:rsidRPr="007F5BAA">
        <w:rPr>
          <w:rFonts w:eastAsia="Calibri"/>
          <w:lang w:val="lt-LT"/>
        </w:rPr>
        <w:t xml:space="preserve"> nuteistojo </w:t>
      </w:r>
      <w:r w:rsidR="00185BE9">
        <w:rPr>
          <w:rFonts w:eastAsia="Calibri"/>
          <w:lang w:val="lt-LT"/>
        </w:rPr>
        <w:t xml:space="preserve">ir </w:t>
      </w:r>
      <w:r w:rsidR="00185BE9" w:rsidRPr="007F5BAA">
        <w:rPr>
          <w:rFonts w:eastAsia="Calibri"/>
          <w:lang w:val="lt-LT"/>
        </w:rPr>
        <w:t>liudytojų parodym</w:t>
      </w:r>
      <w:r w:rsidR="000B5B1D">
        <w:rPr>
          <w:rFonts w:eastAsia="Calibri"/>
          <w:lang w:val="lt-LT"/>
        </w:rPr>
        <w:t>ais</w:t>
      </w:r>
      <w:r w:rsidR="00185BE9">
        <w:rPr>
          <w:rFonts w:eastAsia="Calibri"/>
          <w:lang w:val="lt-LT"/>
        </w:rPr>
        <w:t>,</w:t>
      </w:r>
      <w:r w:rsidR="00185BE9" w:rsidRPr="007F5BAA">
        <w:rPr>
          <w:rFonts w:eastAsia="Calibri"/>
          <w:lang w:val="lt-LT"/>
        </w:rPr>
        <w:t xml:space="preserve"> </w:t>
      </w:r>
      <w:r w:rsidR="00DE588A" w:rsidRPr="007F5BAA">
        <w:rPr>
          <w:rFonts w:eastAsia="Calibri"/>
          <w:lang w:val="lt-LT"/>
        </w:rPr>
        <w:t>Lietuvos teismo ekspertizės centro specialistų E. </w:t>
      </w:r>
      <w:proofErr w:type="spellStart"/>
      <w:r w:rsidR="00DE588A" w:rsidRPr="007F5BAA">
        <w:rPr>
          <w:rFonts w:eastAsia="Calibri"/>
          <w:lang w:val="lt-LT"/>
        </w:rPr>
        <w:t>Grigelio</w:t>
      </w:r>
      <w:proofErr w:type="spellEnd"/>
      <w:r w:rsidR="00DE588A" w:rsidRPr="007F5BAA">
        <w:rPr>
          <w:rFonts w:eastAsia="Calibri"/>
          <w:lang w:val="lt-LT"/>
        </w:rPr>
        <w:t xml:space="preserve"> ir E. </w:t>
      </w:r>
      <w:proofErr w:type="spellStart"/>
      <w:r w:rsidR="00DE588A" w:rsidRPr="007F5BAA">
        <w:rPr>
          <w:rFonts w:eastAsia="Calibri"/>
          <w:lang w:val="lt-LT"/>
        </w:rPr>
        <w:t>Giedraitytės</w:t>
      </w:r>
      <w:proofErr w:type="spellEnd"/>
      <w:r w:rsidR="00DE588A" w:rsidRPr="007F5BAA">
        <w:rPr>
          <w:rFonts w:eastAsia="Calibri"/>
          <w:lang w:val="lt-LT"/>
        </w:rPr>
        <w:t>-Grybienės 2019 m. rugsėjo 23 d. specialisto išvad</w:t>
      </w:r>
      <w:r w:rsidR="000B5B1D">
        <w:rPr>
          <w:rFonts w:eastAsia="Calibri"/>
          <w:lang w:val="lt-LT"/>
        </w:rPr>
        <w:t>a</w:t>
      </w:r>
      <w:r w:rsidR="00DE588A" w:rsidRPr="007F5BAA">
        <w:rPr>
          <w:rFonts w:eastAsia="Calibri"/>
          <w:lang w:val="lt-LT"/>
        </w:rPr>
        <w:t xml:space="preserve"> Nr. 11Š-88(19), Lietuvos teismo ekspertizės centro eksperto V. </w:t>
      </w:r>
      <w:proofErr w:type="spellStart"/>
      <w:r w:rsidR="00DE588A" w:rsidRPr="007F5BAA">
        <w:rPr>
          <w:rFonts w:eastAsia="Calibri"/>
          <w:lang w:val="lt-LT"/>
        </w:rPr>
        <w:t>Pačebuto</w:t>
      </w:r>
      <w:proofErr w:type="spellEnd"/>
      <w:r w:rsidR="00DE588A" w:rsidRPr="007F5BAA">
        <w:rPr>
          <w:rFonts w:eastAsia="Calibri"/>
          <w:lang w:val="lt-LT"/>
        </w:rPr>
        <w:t xml:space="preserve"> 2020</w:t>
      </w:r>
      <w:r w:rsidR="00D71DC0">
        <w:rPr>
          <w:rFonts w:eastAsia="Calibri"/>
          <w:lang w:val="lt-LT"/>
        </w:rPr>
        <w:t> </w:t>
      </w:r>
      <w:r w:rsidR="00DE588A" w:rsidRPr="007F5BAA">
        <w:rPr>
          <w:rFonts w:eastAsia="Calibri"/>
          <w:lang w:val="lt-LT"/>
        </w:rPr>
        <w:t>m. rugsėjo 14 d. ekspertizės akt</w:t>
      </w:r>
      <w:r w:rsidR="000B5B1D">
        <w:rPr>
          <w:rFonts w:eastAsia="Calibri"/>
          <w:lang w:val="lt-LT"/>
        </w:rPr>
        <w:t>u</w:t>
      </w:r>
      <w:r w:rsidR="00DE588A" w:rsidRPr="007F5BAA">
        <w:rPr>
          <w:rFonts w:eastAsia="Calibri"/>
          <w:lang w:val="lt-LT"/>
        </w:rPr>
        <w:t xml:space="preserve"> Nr. 11K-180(20), ekspertų E. </w:t>
      </w:r>
      <w:proofErr w:type="spellStart"/>
      <w:r w:rsidR="00DE588A" w:rsidRPr="007F5BAA">
        <w:rPr>
          <w:rFonts w:eastAsia="Calibri"/>
          <w:lang w:val="lt-LT"/>
        </w:rPr>
        <w:t>Grigelio</w:t>
      </w:r>
      <w:proofErr w:type="spellEnd"/>
      <w:r w:rsidR="00DE588A" w:rsidRPr="007F5BAA">
        <w:rPr>
          <w:rFonts w:eastAsia="Calibri"/>
          <w:lang w:val="lt-LT"/>
        </w:rPr>
        <w:t xml:space="preserve"> ir V. </w:t>
      </w:r>
      <w:proofErr w:type="spellStart"/>
      <w:r w:rsidR="00DE588A" w:rsidRPr="007F5BAA">
        <w:rPr>
          <w:rFonts w:eastAsia="Calibri"/>
          <w:lang w:val="lt-LT"/>
        </w:rPr>
        <w:t>Pačebuto</w:t>
      </w:r>
      <w:proofErr w:type="spellEnd"/>
      <w:r w:rsidR="00DE588A" w:rsidRPr="007F5BAA">
        <w:rPr>
          <w:rFonts w:eastAsia="Calibri"/>
          <w:lang w:val="lt-LT"/>
        </w:rPr>
        <w:t xml:space="preserve"> paaiškinim</w:t>
      </w:r>
      <w:r w:rsidR="000B5B1D">
        <w:rPr>
          <w:rFonts w:eastAsia="Calibri"/>
          <w:lang w:val="lt-LT"/>
        </w:rPr>
        <w:t>ais</w:t>
      </w:r>
      <w:r w:rsidR="00DE588A" w:rsidRPr="007F5BAA">
        <w:rPr>
          <w:rFonts w:eastAsia="Calibri"/>
          <w:lang w:val="lt-LT"/>
        </w:rPr>
        <w:t xml:space="preserve"> </w:t>
      </w:r>
      <w:r w:rsidR="00185BE9" w:rsidRPr="007F5BAA">
        <w:rPr>
          <w:rFonts w:eastAsia="Calibri"/>
          <w:lang w:val="lt-LT"/>
        </w:rPr>
        <w:t>bei kit</w:t>
      </w:r>
      <w:r w:rsidR="000B5B1D">
        <w:rPr>
          <w:rFonts w:eastAsia="Calibri"/>
          <w:lang w:val="lt-LT"/>
        </w:rPr>
        <w:t xml:space="preserve">a </w:t>
      </w:r>
      <w:r w:rsidR="00185BE9" w:rsidRPr="007F5BAA">
        <w:rPr>
          <w:rFonts w:eastAsia="Calibri"/>
          <w:lang w:val="lt-LT"/>
        </w:rPr>
        <w:t>byl</w:t>
      </w:r>
      <w:r w:rsidR="000B5B1D">
        <w:rPr>
          <w:rFonts w:eastAsia="Calibri"/>
          <w:lang w:val="lt-LT"/>
        </w:rPr>
        <w:t>os medžiaga</w:t>
      </w:r>
      <w:r w:rsidR="00185BE9" w:rsidRPr="007F5BAA">
        <w:rPr>
          <w:rFonts w:eastAsia="Calibri"/>
          <w:lang w:val="lt-LT"/>
        </w:rPr>
        <w:t xml:space="preserve">. </w:t>
      </w:r>
      <w:r w:rsidR="00AE0452">
        <w:rPr>
          <w:rFonts w:eastAsia="Calibri"/>
          <w:lang w:val="lt-LT"/>
        </w:rPr>
        <w:t xml:space="preserve">Tai, kad apeliacinės instancijos teismas, remdamasis tais pačiais įrodymais, padarė kitokias išvadas dėl </w:t>
      </w:r>
      <w:r w:rsidR="004B2AB0">
        <w:rPr>
          <w:rFonts w:eastAsia="Calibri"/>
          <w:lang w:val="lt-LT"/>
        </w:rPr>
        <w:t>eismo įvykį sukėlusių priežasčių</w:t>
      </w:r>
      <w:r w:rsidR="00AE0452">
        <w:rPr>
          <w:rFonts w:eastAsia="Calibri"/>
          <w:lang w:val="lt-LT"/>
        </w:rPr>
        <w:t xml:space="preserve"> nei pirmosios instancijos teismas, </w:t>
      </w:r>
      <w:r w:rsidR="004B2AB0">
        <w:rPr>
          <w:rFonts w:eastAsia="Calibri"/>
          <w:lang w:val="lt-LT"/>
        </w:rPr>
        <w:t>n</w:t>
      </w:r>
      <w:r w:rsidR="00AE0452">
        <w:rPr>
          <w:rFonts w:eastAsia="Calibri"/>
          <w:lang w:val="lt-LT"/>
        </w:rPr>
        <w:t>ereiškia</w:t>
      </w:r>
      <w:r w:rsidR="00903284">
        <w:rPr>
          <w:rFonts w:eastAsia="Calibri"/>
          <w:lang w:val="lt-LT"/>
        </w:rPr>
        <w:t>, kad buvo nesilaikoma</w:t>
      </w:r>
      <w:r w:rsidR="00AE0452">
        <w:rPr>
          <w:rFonts w:eastAsia="Calibri"/>
          <w:lang w:val="lt-LT"/>
        </w:rPr>
        <w:t xml:space="preserve"> įrodinėjimui keliamų reikalavimų. </w:t>
      </w:r>
      <w:r w:rsidR="007F64DB">
        <w:rPr>
          <w:rFonts w:eastAsia="Calibri"/>
          <w:lang w:val="lt-LT"/>
        </w:rPr>
        <w:t>R</w:t>
      </w:r>
      <w:r w:rsidR="00C16EFF" w:rsidRPr="007F5BAA">
        <w:rPr>
          <w:rFonts w:eastAsia="Calibri"/>
          <w:lang w:val="lt-LT"/>
        </w:rPr>
        <w:t>ėm</w:t>
      </w:r>
      <w:r w:rsidR="007F64DB">
        <w:rPr>
          <w:rFonts w:eastAsia="Calibri"/>
          <w:lang w:val="lt-LT"/>
        </w:rPr>
        <w:t xml:space="preserve">imasis </w:t>
      </w:r>
      <w:r w:rsidR="00C16EFF" w:rsidRPr="007F5BAA">
        <w:rPr>
          <w:rFonts w:eastAsia="Calibri"/>
          <w:lang w:val="lt-LT"/>
        </w:rPr>
        <w:t xml:space="preserve">sąlyginėmis specialisto ir ekspertizės akto išvadomis dėl kai kurių eismo įvykio aplinkybių </w:t>
      </w:r>
      <w:r w:rsidR="00AE0452">
        <w:rPr>
          <w:rFonts w:eastAsia="Calibri"/>
          <w:lang w:val="lt-LT"/>
        </w:rPr>
        <w:t xml:space="preserve">taip pat </w:t>
      </w:r>
      <w:r w:rsidR="007F64DB">
        <w:rPr>
          <w:rFonts w:eastAsia="Calibri"/>
          <w:lang w:val="lt-LT"/>
        </w:rPr>
        <w:t xml:space="preserve">savaime nelaikytinas esminiu baudžiamojo proceso pažeidimu. </w:t>
      </w:r>
      <w:r w:rsidR="00AE0452">
        <w:rPr>
          <w:rFonts w:eastAsia="Calibri"/>
          <w:lang w:val="lt-LT"/>
        </w:rPr>
        <w:t xml:space="preserve">Teismas gali remtis tokiomis išvadomis, </w:t>
      </w:r>
      <w:r w:rsidR="00C16EFF" w:rsidRPr="007F5BAA">
        <w:rPr>
          <w:rFonts w:eastAsia="Calibri"/>
          <w:lang w:val="lt-LT"/>
        </w:rPr>
        <w:t xml:space="preserve">jei </w:t>
      </w:r>
      <w:r w:rsidR="00AE0452">
        <w:rPr>
          <w:rFonts w:eastAsia="Calibri"/>
          <w:lang w:val="lt-LT"/>
        </w:rPr>
        <w:t>jas</w:t>
      </w:r>
      <w:r w:rsidR="00C16EFF" w:rsidRPr="007F5BAA">
        <w:rPr>
          <w:rFonts w:eastAsia="Calibri"/>
          <w:lang w:val="lt-LT"/>
        </w:rPr>
        <w:t xml:space="preserve"> patvirtina ir kiti byloje esantys įrodymai (kasacinės nutartys baudžiamosiose bylose Nr.</w:t>
      </w:r>
      <w:r w:rsidR="00903284">
        <w:rPr>
          <w:rFonts w:eastAsia="Calibri"/>
          <w:lang w:val="lt-LT"/>
        </w:rPr>
        <w:t> </w:t>
      </w:r>
      <w:r w:rsidR="00C16EFF" w:rsidRPr="007F5BAA">
        <w:rPr>
          <w:rFonts w:eastAsia="Calibri"/>
          <w:lang w:val="lt-LT"/>
        </w:rPr>
        <w:t xml:space="preserve">2K-20-507/2015, 2K-7-17-489/2024). </w:t>
      </w:r>
      <w:r w:rsidR="007F64DB">
        <w:rPr>
          <w:rFonts w:eastAsia="Calibri"/>
          <w:lang w:val="lt-LT"/>
        </w:rPr>
        <w:t>Taigi apeliacinės instancijos teismo nuosprendžio turinys nepatvirtina kasacinio skundo argumentų</w:t>
      </w:r>
      <w:r w:rsidR="000648FA">
        <w:rPr>
          <w:rFonts w:eastAsia="Calibri"/>
          <w:lang w:val="lt-LT"/>
        </w:rPr>
        <w:t xml:space="preserve"> dėl ekspertizės ir specialisto išvadų įrodomosios reikšmės nebuvimo, </w:t>
      </w:r>
      <w:r w:rsidR="007F64DB" w:rsidRPr="00E1763B">
        <w:rPr>
          <w:rFonts w:eastAsia="Calibri"/>
          <w:lang w:val="lt-LT"/>
        </w:rPr>
        <w:t>įrodinėjim</w:t>
      </w:r>
      <w:r w:rsidR="007F64DB">
        <w:rPr>
          <w:rFonts w:eastAsia="Calibri"/>
          <w:lang w:val="lt-LT"/>
        </w:rPr>
        <w:t>o</w:t>
      </w:r>
      <w:r w:rsidR="007F64DB" w:rsidRPr="00E1763B">
        <w:rPr>
          <w:rFonts w:eastAsia="Calibri"/>
          <w:lang w:val="lt-LT"/>
        </w:rPr>
        <w:t xml:space="preserve"> </w:t>
      </w:r>
      <w:r w:rsidR="00B632B6">
        <w:rPr>
          <w:rFonts w:eastAsia="Calibri"/>
          <w:lang w:val="lt-LT"/>
        </w:rPr>
        <w:t>našt</w:t>
      </w:r>
      <w:r w:rsidR="000648FA">
        <w:rPr>
          <w:rFonts w:eastAsia="Calibri"/>
          <w:lang w:val="lt-LT"/>
        </w:rPr>
        <w:t>os</w:t>
      </w:r>
      <w:r w:rsidR="00B632B6">
        <w:rPr>
          <w:rFonts w:eastAsia="Calibri"/>
          <w:lang w:val="lt-LT"/>
        </w:rPr>
        <w:t xml:space="preserve"> </w:t>
      </w:r>
      <w:r w:rsidR="00B632B6" w:rsidRPr="00E1763B">
        <w:rPr>
          <w:rFonts w:eastAsia="Calibri"/>
          <w:lang w:val="lt-LT"/>
        </w:rPr>
        <w:t>perk</w:t>
      </w:r>
      <w:r w:rsidR="000648FA">
        <w:rPr>
          <w:rFonts w:eastAsia="Calibri"/>
          <w:lang w:val="lt-LT"/>
        </w:rPr>
        <w:t>ė</w:t>
      </w:r>
      <w:r w:rsidR="00B632B6">
        <w:rPr>
          <w:rFonts w:eastAsia="Calibri"/>
          <w:lang w:val="lt-LT"/>
        </w:rPr>
        <w:t>l</w:t>
      </w:r>
      <w:r w:rsidR="000648FA">
        <w:rPr>
          <w:rFonts w:eastAsia="Calibri"/>
          <w:lang w:val="lt-LT"/>
        </w:rPr>
        <w:t>imo</w:t>
      </w:r>
      <w:r w:rsidR="00B632B6" w:rsidRPr="00E1763B">
        <w:rPr>
          <w:rFonts w:eastAsia="Calibri"/>
          <w:lang w:val="lt-LT"/>
        </w:rPr>
        <w:t xml:space="preserve"> </w:t>
      </w:r>
      <w:r w:rsidR="007F64DB" w:rsidRPr="00E1763B">
        <w:rPr>
          <w:rFonts w:eastAsia="Calibri"/>
          <w:lang w:val="lt-LT"/>
        </w:rPr>
        <w:t>kaltinamajam</w:t>
      </w:r>
      <w:r w:rsidR="007F64DB">
        <w:rPr>
          <w:rFonts w:eastAsia="Calibri"/>
          <w:lang w:val="lt-LT"/>
        </w:rPr>
        <w:t xml:space="preserve"> ir jo nekaltumo prezumpcij</w:t>
      </w:r>
      <w:r w:rsidR="000648FA">
        <w:rPr>
          <w:rFonts w:eastAsia="Calibri"/>
          <w:lang w:val="lt-LT"/>
        </w:rPr>
        <w:t xml:space="preserve">os pažeidimo. </w:t>
      </w:r>
      <w:r w:rsidR="00EF7BEC">
        <w:rPr>
          <w:rFonts w:eastAsia="Calibri"/>
          <w:lang w:val="lt-LT"/>
        </w:rPr>
        <w:t xml:space="preserve">Tačiau </w:t>
      </w:r>
      <w:r w:rsidR="00B632B6">
        <w:rPr>
          <w:rFonts w:eastAsia="Calibri"/>
          <w:lang w:val="lt-LT"/>
        </w:rPr>
        <w:t xml:space="preserve">pagrįstais pripažintini </w:t>
      </w:r>
      <w:r w:rsidR="00EF7BEC">
        <w:rPr>
          <w:rFonts w:eastAsia="Calibri"/>
          <w:lang w:val="lt-LT"/>
        </w:rPr>
        <w:t xml:space="preserve">kasacinio skundo argumentai, kad </w:t>
      </w:r>
      <w:r w:rsidR="00413F63">
        <w:rPr>
          <w:rFonts w:eastAsia="Calibri"/>
          <w:lang w:val="lt-LT"/>
        </w:rPr>
        <w:t xml:space="preserve">apeliacinės instancijos teismas neskyrė pakankamo dėmesio </w:t>
      </w:r>
      <w:r w:rsidR="000B5B1D">
        <w:rPr>
          <w:rFonts w:eastAsia="Calibri"/>
          <w:lang w:val="lt-LT"/>
        </w:rPr>
        <w:t>ab</w:t>
      </w:r>
      <w:r w:rsidR="007F64DB">
        <w:rPr>
          <w:rFonts w:eastAsia="Calibri"/>
          <w:lang w:val="lt-LT"/>
        </w:rPr>
        <w:t>i</w:t>
      </w:r>
      <w:r w:rsidR="000B5B1D">
        <w:rPr>
          <w:rFonts w:eastAsia="Calibri"/>
          <w:lang w:val="lt-LT"/>
        </w:rPr>
        <w:t xml:space="preserve">ejų eismo įvykio dalyvių padarytų </w:t>
      </w:r>
      <w:r w:rsidR="000B5B1D" w:rsidRPr="000B5B1D">
        <w:rPr>
          <w:rFonts w:eastAsia="Calibri"/>
          <w:lang w:val="lt-LT"/>
        </w:rPr>
        <w:t xml:space="preserve">KET pažeidimų </w:t>
      </w:r>
      <w:r w:rsidR="007F64DB">
        <w:rPr>
          <w:rFonts w:eastAsia="Calibri"/>
          <w:lang w:val="lt-LT"/>
        </w:rPr>
        <w:t xml:space="preserve">ir jų įtakos </w:t>
      </w:r>
      <w:r w:rsidR="00B632B6">
        <w:rPr>
          <w:rFonts w:eastAsia="Calibri"/>
          <w:lang w:val="lt-LT"/>
        </w:rPr>
        <w:t xml:space="preserve">bei </w:t>
      </w:r>
      <w:r w:rsidR="007F64DB">
        <w:rPr>
          <w:rFonts w:eastAsia="Calibri"/>
          <w:lang w:val="lt-LT"/>
        </w:rPr>
        <w:t xml:space="preserve">reikšmės </w:t>
      </w:r>
      <w:r w:rsidR="007F64DB" w:rsidRPr="000B5B1D">
        <w:rPr>
          <w:rFonts w:eastAsia="Calibri"/>
          <w:lang w:val="lt-LT"/>
        </w:rPr>
        <w:t>eismo įvykiui</w:t>
      </w:r>
      <w:r w:rsidR="007F64DB">
        <w:rPr>
          <w:rFonts w:eastAsia="Calibri"/>
          <w:lang w:val="lt-LT"/>
        </w:rPr>
        <w:t xml:space="preserve"> analizei </w:t>
      </w:r>
      <w:r w:rsidR="00413F63">
        <w:rPr>
          <w:rFonts w:eastAsia="Calibri"/>
          <w:lang w:val="lt-LT"/>
        </w:rPr>
        <w:t>ir tai lėmė</w:t>
      </w:r>
      <w:r w:rsidR="00B632B6">
        <w:rPr>
          <w:rFonts w:eastAsia="Calibri"/>
          <w:lang w:val="lt-LT"/>
        </w:rPr>
        <w:t>, kad byloje buvo</w:t>
      </w:r>
      <w:r w:rsidR="00413F63">
        <w:rPr>
          <w:rFonts w:eastAsia="Calibri"/>
          <w:lang w:val="lt-LT"/>
        </w:rPr>
        <w:t xml:space="preserve"> </w:t>
      </w:r>
      <w:r w:rsidR="00B632B6">
        <w:rPr>
          <w:rFonts w:eastAsia="Calibri"/>
          <w:lang w:val="lt-LT"/>
        </w:rPr>
        <w:t>netinkamai nustatytas priežastinis ryšys</w:t>
      </w:r>
      <w:r w:rsidR="00C83770">
        <w:rPr>
          <w:rFonts w:eastAsia="Calibri"/>
          <w:lang w:val="lt-LT"/>
        </w:rPr>
        <w:t xml:space="preserve">. </w:t>
      </w:r>
    </w:p>
    <w:p w14:paraId="7FCC8251" w14:textId="05798511" w:rsidR="00E74FF2" w:rsidRPr="007F5BAA" w:rsidRDefault="00553317" w:rsidP="0022302D">
      <w:pPr>
        <w:pStyle w:val="Sraopastraipa"/>
        <w:numPr>
          <w:ilvl w:val="0"/>
          <w:numId w:val="1"/>
        </w:numPr>
        <w:ind w:left="357" w:hanging="357"/>
        <w:contextualSpacing w:val="0"/>
        <w:rPr>
          <w:rFonts w:eastAsia="Calibri"/>
          <w:lang w:val="lt-LT"/>
        </w:rPr>
      </w:pPr>
      <w:r w:rsidRPr="007F5BAA">
        <w:rPr>
          <w:rFonts w:eastAsia="Calibri"/>
          <w:lang w:val="lt-LT"/>
        </w:rPr>
        <w:t>Išplėstinė septynių teisėjų kolegija, patikrinusi skundžiamą apeliacinės instancijos teismo sprendimą teisės taikymo aspektu (BPK 376 straipsnio 1 dalis), konstatuoja, kad apeliacinės instancijos teismo išvados dėl priežastinio ryšio nėra tinkamai motyvuotos ir</w:t>
      </w:r>
      <w:r w:rsidR="004A5890">
        <w:rPr>
          <w:rFonts w:eastAsia="Calibri"/>
          <w:lang w:val="lt-LT"/>
        </w:rPr>
        <w:t xml:space="preserve"> logiškai</w:t>
      </w:r>
      <w:r w:rsidRPr="007F5BAA">
        <w:rPr>
          <w:rFonts w:eastAsia="Calibri"/>
          <w:lang w:val="lt-LT"/>
        </w:rPr>
        <w:t xml:space="preserve"> pagrįstos visų eismo dalyvių padarytų pažeidimų analize</w:t>
      </w:r>
      <w:r w:rsidR="0022302D" w:rsidRPr="007F5BAA">
        <w:rPr>
          <w:rFonts w:eastAsia="Calibri"/>
          <w:lang w:val="lt-LT"/>
        </w:rPr>
        <w:t>. Tai</w:t>
      </w:r>
      <w:r w:rsidR="00B632B6">
        <w:rPr>
          <w:rFonts w:eastAsia="Calibri"/>
          <w:lang w:val="lt-LT"/>
        </w:rPr>
        <w:t>gi</w:t>
      </w:r>
      <w:r w:rsidR="0059633C">
        <w:rPr>
          <w:rFonts w:eastAsia="Calibri"/>
          <w:lang w:val="lt-LT"/>
        </w:rPr>
        <w:t xml:space="preserve"> </w:t>
      </w:r>
      <w:r w:rsidR="000B5B1D">
        <w:rPr>
          <w:rFonts w:eastAsia="Calibri"/>
          <w:lang w:val="lt-LT"/>
        </w:rPr>
        <w:t>pripažintina</w:t>
      </w:r>
      <w:r w:rsidR="00B632B6">
        <w:rPr>
          <w:rFonts w:eastAsia="Calibri"/>
          <w:lang w:val="lt-LT"/>
        </w:rPr>
        <w:t>, kad nesilaikyta</w:t>
      </w:r>
      <w:r w:rsidR="000B5B1D">
        <w:rPr>
          <w:rFonts w:eastAsia="Calibri"/>
          <w:lang w:val="lt-LT"/>
        </w:rPr>
        <w:t xml:space="preserve"> </w:t>
      </w:r>
      <w:r w:rsidR="000B5B1D" w:rsidRPr="000B5B1D">
        <w:rPr>
          <w:rFonts w:eastAsia="Calibri"/>
          <w:lang w:val="lt-LT"/>
        </w:rPr>
        <w:t>išsam</w:t>
      </w:r>
      <w:r w:rsidR="000B5B1D">
        <w:rPr>
          <w:rFonts w:eastAsia="Calibri"/>
          <w:lang w:val="lt-LT"/>
        </w:rPr>
        <w:t xml:space="preserve">aus </w:t>
      </w:r>
      <w:r w:rsidR="000B5B1D" w:rsidRPr="000B5B1D">
        <w:rPr>
          <w:rFonts w:eastAsia="Calibri"/>
          <w:lang w:val="lt-LT"/>
        </w:rPr>
        <w:t>bylos aplinkybių išnagrinėjim</w:t>
      </w:r>
      <w:r w:rsidR="000B5B1D">
        <w:rPr>
          <w:rFonts w:eastAsia="Calibri"/>
          <w:lang w:val="lt-LT"/>
        </w:rPr>
        <w:t xml:space="preserve">o reikalavimo (BPK 20 straipsnio 5 dalis) </w:t>
      </w:r>
      <w:r w:rsidR="00B632B6">
        <w:rPr>
          <w:rFonts w:eastAsia="Calibri"/>
          <w:lang w:val="lt-LT"/>
        </w:rPr>
        <w:t xml:space="preserve">ir tai </w:t>
      </w:r>
      <w:r w:rsidR="000B5B1D">
        <w:rPr>
          <w:rFonts w:eastAsia="Calibri"/>
          <w:lang w:val="lt-LT"/>
        </w:rPr>
        <w:t xml:space="preserve">lėmė </w:t>
      </w:r>
      <w:r w:rsidR="00E74FF2" w:rsidRPr="007F5BAA">
        <w:rPr>
          <w:rFonts w:eastAsia="Calibri"/>
          <w:lang w:val="lt-LT"/>
        </w:rPr>
        <w:t>netinkam</w:t>
      </w:r>
      <w:r w:rsidR="0059633C">
        <w:rPr>
          <w:rFonts w:eastAsia="Calibri"/>
          <w:lang w:val="lt-LT"/>
        </w:rPr>
        <w:t xml:space="preserve">ą </w:t>
      </w:r>
      <w:r w:rsidR="00E74FF2" w:rsidRPr="007F5BAA">
        <w:rPr>
          <w:rFonts w:eastAsia="Calibri"/>
          <w:lang w:val="lt-LT"/>
        </w:rPr>
        <w:t>baudžiam</w:t>
      </w:r>
      <w:r w:rsidR="0059633C">
        <w:rPr>
          <w:rFonts w:eastAsia="Calibri"/>
          <w:lang w:val="lt-LT"/>
        </w:rPr>
        <w:t xml:space="preserve">ojo </w:t>
      </w:r>
      <w:r w:rsidR="00E74FF2" w:rsidRPr="007F5BAA">
        <w:rPr>
          <w:rFonts w:eastAsia="Calibri"/>
          <w:lang w:val="lt-LT"/>
        </w:rPr>
        <w:t>įstatym</w:t>
      </w:r>
      <w:r w:rsidR="0059633C">
        <w:rPr>
          <w:rFonts w:eastAsia="Calibri"/>
          <w:lang w:val="lt-LT"/>
        </w:rPr>
        <w:t>o</w:t>
      </w:r>
      <w:r w:rsidR="00E74FF2" w:rsidRPr="007F5BAA">
        <w:rPr>
          <w:rFonts w:eastAsia="Calibri"/>
          <w:lang w:val="lt-LT"/>
        </w:rPr>
        <w:t xml:space="preserve"> </w:t>
      </w:r>
      <w:r w:rsidR="0059633C">
        <w:rPr>
          <w:rFonts w:eastAsia="Calibri"/>
          <w:lang w:val="lt-LT"/>
        </w:rPr>
        <w:t xml:space="preserve">taikymą byloje </w:t>
      </w:r>
      <w:r w:rsidR="00E74FF2" w:rsidRPr="007F5BAA">
        <w:rPr>
          <w:rFonts w:eastAsia="Calibri"/>
          <w:lang w:val="lt-LT"/>
        </w:rPr>
        <w:t>(BPK 369 straipsnio 1 dalies 1 punktas).</w:t>
      </w:r>
    </w:p>
    <w:p w14:paraId="18B196E2" w14:textId="6BCB21CC" w:rsidR="0022302D" w:rsidRPr="007F5BAA" w:rsidRDefault="0022302D" w:rsidP="0022302D">
      <w:pPr>
        <w:pStyle w:val="Sraopastraipa"/>
        <w:numPr>
          <w:ilvl w:val="0"/>
          <w:numId w:val="1"/>
        </w:numPr>
        <w:ind w:left="357" w:hanging="357"/>
        <w:contextualSpacing w:val="0"/>
        <w:rPr>
          <w:rFonts w:eastAsia="Calibri"/>
          <w:lang w:val="lt-LT"/>
        </w:rPr>
      </w:pPr>
      <w:r w:rsidRPr="007F5BAA">
        <w:rPr>
          <w:rFonts w:eastAsia="Calibri"/>
          <w:lang w:val="lt-LT"/>
        </w:rPr>
        <w:t>Pagal BK 281 straipsnio 1 dalį atsako tas, kas</w:t>
      </w:r>
      <w:r w:rsidR="004C0529" w:rsidRPr="007F5BAA">
        <w:rPr>
          <w:rFonts w:eastAsia="Calibri"/>
          <w:lang w:val="lt-LT"/>
        </w:rPr>
        <w:t>,</w:t>
      </w:r>
      <w:r w:rsidRPr="007F5BAA">
        <w:rPr>
          <w:rFonts w:eastAsia="Calibri"/>
          <w:lang w:val="lt-LT"/>
        </w:rPr>
        <w:t xml:space="preserve"> vairuodamas kelių transporto priemonę</w:t>
      </w:r>
      <w:r w:rsidR="004C0529" w:rsidRPr="007F5BAA">
        <w:rPr>
          <w:rFonts w:eastAsia="Calibri"/>
          <w:lang w:val="lt-LT"/>
        </w:rPr>
        <w:t>,</w:t>
      </w:r>
      <w:r w:rsidRPr="007F5BAA">
        <w:rPr>
          <w:rFonts w:eastAsia="Calibri"/>
          <w:lang w:val="lt-LT"/>
        </w:rPr>
        <w:t xml:space="preserve"> dėl neatsargumo pažeidė kelių eismo saugumo ar transporto priemonės eksploatavimo taisykles, jeigu </w:t>
      </w:r>
      <w:r w:rsidRPr="007F5BAA">
        <w:rPr>
          <w:rFonts w:eastAsia="Calibri"/>
          <w:lang w:val="lt-LT"/>
        </w:rPr>
        <w:lastRenderedPageBreak/>
        <w:t xml:space="preserve">dėl to įvyko eismo įvykis, dėl kurio buvo nesunkiai sutrikdyta kito žmogaus sveikata. Inkriminuojant asmeniui šią nusikalstamą veiką, būtina nustatyti ne tik šio asmens padarytą atitinkamą KET pažeidimą ir jo padarinius, bet ir jų priežastinį ryšį. Priežastinio ryšio nustatymas tokiose baudžiamosiose bylose turi ypatingą svarbą, nes eismo įvykyje dažnai dalyvauja kelios transporto priemonės, pėstieji, dviratininkai, kiti eismo dalyviai. Todėl klausimas, kurio eismo dalyvio veika sukėlė eismo įvykį, yra vienas svarbiausių tokio pobūdžio bylose. </w:t>
      </w:r>
    </w:p>
    <w:p w14:paraId="6FF61558" w14:textId="78874FAD" w:rsidR="0022302D" w:rsidRPr="007F5BAA" w:rsidRDefault="0022302D" w:rsidP="004C0529">
      <w:pPr>
        <w:pStyle w:val="Sraopastraipa"/>
        <w:numPr>
          <w:ilvl w:val="0"/>
          <w:numId w:val="1"/>
        </w:numPr>
        <w:ind w:left="357" w:hanging="357"/>
        <w:contextualSpacing w:val="0"/>
        <w:rPr>
          <w:rFonts w:eastAsia="Calibri"/>
          <w:lang w:val="lt-LT"/>
        </w:rPr>
      </w:pPr>
      <w:r w:rsidRPr="007F5BAA">
        <w:rPr>
          <w:rFonts w:eastAsia="Calibri"/>
          <w:lang w:val="lt-LT"/>
        </w:rPr>
        <w:t xml:space="preserve">Teisiškai reikšmingas priežastinis ryšys tarp veikos ir padarinių gali būti konstatuotas, kai veika buvo būtina padarinių kilimo sąlyga (be jos ši nebūtų kilusi), taip pat kai ji lėmė padarinių atsiradimą (buvo esminė ir veikianti padarinių kilimo priežastis). Tais atvejais, kai padariniai nulemti ne vienos, o kelių priežasčių, būtina įvertinti, kokią įtaką padariniams atsirasti turėjo kaltinamo asmens veika, palyginti su kitais veiksniais, prisidėjusiais prie padarinių kilimo (kasacinės nutartys baudžiamosiose bylose Nr. 2K-597/2007, 2K-381/2011, 2K-386/2012, 2K-322-511/2016, 2K-78-511/2019, 2K-7-74-788/2019 ir kt.). Tokiais atvejais svarbus argumentas konstatuoti priežastinį ryšį yra tai, kad, atsižvelgiant į visumą nustatytų aplinkybių, vertinama veika išsiskiria iš kitų priežasčių, nes būtent ji esmingai padidino padarinių atsiradimo riziką, suaktyvino kitas priežastingumo grandinėje esančias aplinkybes ir taip žalingų padarinių atsiradimo tikimybę pavertė tikrove. Ši teorija yra ypač aktuali sprendžiant nerūpestingos veikos nulemtus padarinius ir (ar) tais atvejais, kai reikia vertinti ir išskirti iš kelių priežasčių tą pagrindinę, nulėmusią žalingus padarinius priežastį (kasacinės nutartys baudžiamosiose bylose Nr. 2K-390-1073/2017, 2K-7-74-788/2019, 2K-205-489/2024). Priežastinis ryšys nustatomas teismui vertinant įrodymus, jų pagrindu nustatytas aplinkybes ir darant logika pagrįstas išvadas, kokie įvykio dalyvių veiksmai ir jų padaryti specialių elgesio taisyklių pažeidimai lemia kylančius padarinius, ar jie objektyviai ir dėsningai išplaukia iš nustatytų visų įvykio dalyvių poelgių (kasacinė nutartis baudžiamojoje byloje Nr. 2K-107-489/2024). </w:t>
      </w:r>
    </w:p>
    <w:p w14:paraId="4E9DC87B" w14:textId="6F636D19" w:rsidR="0022302D" w:rsidRPr="007F5BAA" w:rsidRDefault="0022302D" w:rsidP="004C0529">
      <w:pPr>
        <w:pStyle w:val="Sraopastraipa"/>
        <w:numPr>
          <w:ilvl w:val="0"/>
          <w:numId w:val="1"/>
        </w:numPr>
        <w:ind w:left="357" w:hanging="357"/>
        <w:contextualSpacing w:val="0"/>
        <w:rPr>
          <w:rFonts w:eastAsia="Calibri"/>
          <w:lang w:val="lt-LT"/>
        </w:rPr>
      </w:pPr>
      <w:r w:rsidRPr="007F5BAA">
        <w:rPr>
          <w:rFonts w:eastAsia="Calibri"/>
          <w:lang w:val="lt-LT"/>
        </w:rPr>
        <w:t xml:space="preserve">Išvada dėl priežastinio ryšio tarp padarytų KET pažeidimų ir kilusių padarinių </w:t>
      </w:r>
      <w:r w:rsidR="00AF55DC" w:rsidRPr="007F5BAA">
        <w:rPr>
          <w:rFonts w:eastAsia="Calibri"/>
          <w:lang w:val="lt-LT"/>
        </w:rPr>
        <w:t xml:space="preserve">buvimo </w:t>
      </w:r>
      <w:r w:rsidRPr="007F5BAA">
        <w:rPr>
          <w:rFonts w:eastAsia="Calibri"/>
          <w:lang w:val="lt-LT"/>
        </w:rPr>
        <w:t>daroma nustačius, kuris eismo dalyvis pažeidė KET reikalavimus, o kai pažeidimus padaro keli eismo dalyviai</w:t>
      </w:r>
      <w:r w:rsidR="00AF55DC">
        <w:rPr>
          <w:rFonts w:eastAsia="Calibri"/>
          <w:lang w:val="lt-LT"/>
        </w:rPr>
        <w:t>,</w:t>
      </w:r>
      <w:r w:rsidRPr="007F5BAA">
        <w:rPr>
          <w:rFonts w:eastAsia="Calibri"/>
          <w:lang w:val="lt-LT"/>
        </w:rPr>
        <w:t xml:space="preserve"> – </w:t>
      </w:r>
      <w:r w:rsidR="00AF55DC" w:rsidRPr="007F5BAA">
        <w:rPr>
          <w:rFonts w:eastAsia="Calibri"/>
          <w:lang w:val="lt-LT"/>
        </w:rPr>
        <w:t>k</w:t>
      </w:r>
      <w:r w:rsidR="00AF55DC">
        <w:rPr>
          <w:rFonts w:eastAsia="Calibri"/>
          <w:lang w:val="lt-LT"/>
        </w:rPr>
        <w:t>urio</w:t>
      </w:r>
      <w:r w:rsidR="00AF55DC" w:rsidRPr="007F5BAA">
        <w:rPr>
          <w:rFonts w:eastAsia="Calibri"/>
          <w:lang w:val="lt-LT"/>
        </w:rPr>
        <w:t xml:space="preserve"> </w:t>
      </w:r>
      <w:r w:rsidRPr="007F5BAA">
        <w:rPr>
          <w:rFonts w:eastAsia="Calibri"/>
          <w:lang w:val="lt-LT"/>
        </w:rPr>
        <w:t xml:space="preserve">eismo dalyvio pažeidimas buvo būtina </w:t>
      </w:r>
      <w:r w:rsidR="00AF55DC">
        <w:rPr>
          <w:rFonts w:eastAsia="Calibri"/>
          <w:lang w:val="lt-LT"/>
        </w:rPr>
        <w:t xml:space="preserve">eismo įvykio kilimo </w:t>
      </w:r>
      <w:r w:rsidRPr="007F5BAA">
        <w:rPr>
          <w:rFonts w:eastAsia="Calibri"/>
          <w:lang w:val="lt-LT"/>
        </w:rPr>
        <w:t xml:space="preserve">sąlyga ir esminė </w:t>
      </w:r>
      <w:r w:rsidR="00AF55DC">
        <w:rPr>
          <w:rFonts w:eastAsia="Calibri"/>
          <w:lang w:val="lt-LT"/>
        </w:rPr>
        <w:t xml:space="preserve">šio įvykio kilimo </w:t>
      </w:r>
      <w:r w:rsidRPr="007F5BAA">
        <w:rPr>
          <w:rFonts w:eastAsia="Calibri"/>
          <w:lang w:val="lt-LT"/>
        </w:rPr>
        <w:t xml:space="preserve">priežastis. Lietuvos Aukščiausiojo Teismo praktikoje konstatuota, kad kai kelių transporto eismo saugumo ar transporto priemonių eksploatavimo taisykles pažeidžia keli eismo dalyviai, </w:t>
      </w:r>
      <w:r w:rsidR="00621950">
        <w:rPr>
          <w:rFonts w:eastAsia="Calibri"/>
          <w:lang w:val="lt-LT"/>
        </w:rPr>
        <w:t xml:space="preserve">konkretaus eismo dalyvio </w:t>
      </w:r>
      <w:r w:rsidRPr="007F5BAA">
        <w:rPr>
          <w:rFonts w:eastAsia="Calibri"/>
          <w:lang w:val="lt-LT"/>
        </w:rPr>
        <w:t>veika yra priežastiniu ryšiu susijusi su kilusiais padariniais, jeigu nustatoma, kad analogiškoje situacijoje, jam laikantis kelių transporto eismo saugumo ar transporto priemonių eksploatavimo taisyklių, eismo įvykis, dėl kurio kilo BK</w:t>
      </w:r>
      <w:r w:rsidR="00AF55DC">
        <w:rPr>
          <w:rFonts w:eastAsia="Calibri"/>
          <w:lang w:val="lt-LT"/>
        </w:rPr>
        <w:t> </w:t>
      </w:r>
      <w:r w:rsidRPr="007F5BAA">
        <w:rPr>
          <w:rFonts w:eastAsia="Calibri"/>
          <w:lang w:val="lt-LT"/>
        </w:rPr>
        <w:t>281</w:t>
      </w:r>
      <w:r w:rsidR="00AF55DC">
        <w:rPr>
          <w:rFonts w:eastAsia="Calibri"/>
          <w:lang w:val="lt-LT"/>
        </w:rPr>
        <w:t> </w:t>
      </w:r>
      <w:r w:rsidRPr="007F5BAA">
        <w:rPr>
          <w:rFonts w:eastAsia="Calibri"/>
          <w:lang w:val="lt-LT"/>
        </w:rPr>
        <w:t xml:space="preserve">straipsnyje nurodyti padariniai, nebūtų įvykęs (kasacinės nutartys baudžiamosiose bylose Nr. 2K-346-699/2015, 2K-171-648/2020, 2K-7-17-489/2024 ir kt.). </w:t>
      </w:r>
      <w:r w:rsidR="004F4C0A">
        <w:rPr>
          <w:rFonts w:eastAsia="Calibri"/>
          <w:lang w:val="lt-LT"/>
        </w:rPr>
        <w:t>Jei n</w:t>
      </w:r>
      <w:r w:rsidRPr="007F5BAA">
        <w:rPr>
          <w:rFonts w:eastAsia="Calibri"/>
          <w:lang w:val="lt-LT"/>
        </w:rPr>
        <w:t>usta</w:t>
      </w:r>
      <w:r w:rsidR="004F4C0A">
        <w:rPr>
          <w:rFonts w:eastAsia="Calibri"/>
          <w:lang w:val="lt-LT"/>
        </w:rPr>
        <w:t>toma</w:t>
      </w:r>
      <w:r w:rsidRPr="007F5BAA">
        <w:rPr>
          <w:rFonts w:eastAsia="Calibri"/>
          <w:lang w:val="lt-LT"/>
        </w:rPr>
        <w:t xml:space="preserve">, kad eismo įvykio būtina sąlyga ir </w:t>
      </w:r>
      <w:r w:rsidR="004F4C0A" w:rsidRPr="007F5BAA">
        <w:rPr>
          <w:rFonts w:eastAsia="Calibri"/>
          <w:lang w:val="lt-LT"/>
        </w:rPr>
        <w:t>esmin</w:t>
      </w:r>
      <w:r w:rsidR="004F4C0A">
        <w:rPr>
          <w:rFonts w:eastAsia="Calibri"/>
          <w:lang w:val="lt-LT"/>
        </w:rPr>
        <w:t>ė</w:t>
      </w:r>
      <w:r w:rsidR="004F4C0A" w:rsidRPr="007F5BAA">
        <w:rPr>
          <w:rFonts w:eastAsia="Calibri"/>
          <w:lang w:val="lt-LT"/>
        </w:rPr>
        <w:t xml:space="preserve"> priežasti</w:t>
      </w:r>
      <w:r w:rsidR="004F4C0A">
        <w:rPr>
          <w:rFonts w:eastAsia="Calibri"/>
          <w:lang w:val="lt-LT"/>
        </w:rPr>
        <w:t>s</w:t>
      </w:r>
      <w:r w:rsidR="004F4C0A" w:rsidRPr="007F5BAA">
        <w:rPr>
          <w:rFonts w:eastAsia="Calibri"/>
          <w:lang w:val="lt-LT"/>
        </w:rPr>
        <w:t xml:space="preserve"> </w:t>
      </w:r>
      <w:r w:rsidRPr="007F5BAA">
        <w:rPr>
          <w:rFonts w:eastAsia="Calibri"/>
          <w:lang w:val="lt-LT"/>
        </w:rPr>
        <w:t>buvo dviejų ar daugiau eismo įvykio dalyvių pažeidimai, esant ir kitiems nusikaltimo sudėties požymiams, jie visi atsako pagal BK</w:t>
      </w:r>
      <w:r w:rsidR="006F3A44">
        <w:rPr>
          <w:rFonts w:eastAsia="Calibri"/>
          <w:lang w:val="lt-LT"/>
        </w:rPr>
        <w:t> </w:t>
      </w:r>
      <w:r w:rsidRPr="007F5BAA">
        <w:rPr>
          <w:rFonts w:eastAsia="Calibri"/>
          <w:lang w:val="lt-LT"/>
        </w:rPr>
        <w:t>281</w:t>
      </w:r>
      <w:r w:rsidR="006F3A44">
        <w:rPr>
          <w:rFonts w:eastAsia="Calibri"/>
          <w:lang w:val="lt-LT"/>
        </w:rPr>
        <w:t> </w:t>
      </w:r>
      <w:r w:rsidRPr="007F5BAA">
        <w:rPr>
          <w:rFonts w:eastAsia="Calibri"/>
          <w:lang w:val="lt-LT"/>
        </w:rPr>
        <w:t xml:space="preserve">straipsnį (kasacinė nutartis baudžiamojoje byloje Nr. 2K-35-895/2017). </w:t>
      </w:r>
      <w:r w:rsidR="004F4C0A" w:rsidRPr="007F5BAA">
        <w:rPr>
          <w:rFonts w:eastAsia="Calibri"/>
          <w:lang w:val="lt-LT"/>
        </w:rPr>
        <w:t>Išimti</w:t>
      </w:r>
      <w:r w:rsidR="004F4C0A">
        <w:rPr>
          <w:rFonts w:eastAsia="Calibri"/>
          <w:lang w:val="lt-LT"/>
        </w:rPr>
        <w:t>s</w:t>
      </w:r>
      <w:r w:rsidR="004F4C0A" w:rsidRPr="007F5BAA">
        <w:rPr>
          <w:rFonts w:eastAsia="Calibri"/>
          <w:lang w:val="lt-LT"/>
        </w:rPr>
        <w:t xml:space="preserve"> </w:t>
      </w:r>
      <w:r w:rsidRPr="007F5BAA">
        <w:rPr>
          <w:rFonts w:eastAsia="Calibri"/>
          <w:lang w:val="lt-LT"/>
        </w:rPr>
        <w:t xml:space="preserve">iš šios nuostatos gali būti tik tokia situacija, kai eismo įvykis sukeltas dėl dviejų eismo dalyvių abipusės kaltės, tačiau nesunkų ar sunkų sveikatos sutrikdymą patiria tik vienas iš jų. Tokiu atveju nukentėjęs asmuo, nors ir yra eismo įvykio vienas iš kaltininkų, negali būti patrauktas baudžiamojon atsakomybėn. </w:t>
      </w:r>
    </w:p>
    <w:p w14:paraId="1620E5BC" w14:textId="36B6CC8F" w:rsidR="0022302D" w:rsidRPr="007F5BAA" w:rsidRDefault="0022302D" w:rsidP="004C0529">
      <w:pPr>
        <w:pStyle w:val="Sraopastraipa"/>
        <w:numPr>
          <w:ilvl w:val="0"/>
          <w:numId w:val="1"/>
        </w:numPr>
        <w:ind w:left="357" w:hanging="357"/>
        <w:contextualSpacing w:val="0"/>
        <w:rPr>
          <w:rFonts w:eastAsia="Calibri"/>
          <w:lang w:val="lt-LT"/>
        </w:rPr>
      </w:pPr>
      <w:r w:rsidRPr="007F5BAA">
        <w:rPr>
          <w:rFonts w:eastAsia="Calibri"/>
          <w:lang w:val="lt-LT"/>
        </w:rPr>
        <w:t xml:space="preserve">Esant </w:t>
      </w:r>
      <w:r w:rsidR="00621950">
        <w:rPr>
          <w:rFonts w:eastAsia="Calibri"/>
          <w:lang w:val="lt-LT"/>
        </w:rPr>
        <w:t xml:space="preserve">būtinumui, </w:t>
      </w:r>
      <w:r w:rsidRPr="007F5BAA">
        <w:rPr>
          <w:rFonts w:eastAsia="Calibri"/>
          <w:lang w:val="lt-LT"/>
        </w:rPr>
        <w:t>priežastiniam ryšiui nustatyti skiriama autotechninė ekspertizė arba atitinkamas specialisto tyrimas. Ekspertizės akte ir specialisto išvado</w:t>
      </w:r>
      <w:r w:rsidR="00087870">
        <w:rPr>
          <w:rFonts w:eastAsia="Calibri"/>
          <w:lang w:val="lt-LT"/>
        </w:rPr>
        <w:t>j</w:t>
      </w:r>
      <w:r w:rsidRPr="007F5BAA">
        <w:rPr>
          <w:rFonts w:eastAsia="Calibri"/>
          <w:lang w:val="lt-LT"/>
        </w:rPr>
        <w:t xml:space="preserve">e aprašomos eismo įvykio aplinkybės ir jį sukėlusios priežastys, aptariami kiekvieno eismo dalyvio veiksmų teisėtumo ir jų priežastinio ryšio su eismo įvykiu klausimai, atsakoma į klausimus, ar konkretaus eismo įvykio dalyvio padarytas KET pažeidimas techniniu požiūriu buvo būtina sąlyga eismo įvykiui kilti. Kita vertus, </w:t>
      </w:r>
      <w:r w:rsidR="00087870" w:rsidRPr="007F5BAA">
        <w:rPr>
          <w:rFonts w:eastAsia="Calibri"/>
          <w:lang w:val="lt-LT"/>
        </w:rPr>
        <w:t>ekspert</w:t>
      </w:r>
      <w:r w:rsidR="00087870">
        <w:rPr>
          <w:rFonts w:eastAsia="Calibri"/>
          <w:lang w:val="lt-LT"/>
        </w:rPr>
        <w:t>o</w:t>
      </w:r>
      <w:r w:rsidR="00087870" w:rsidRPr="007F5BAA">
        <w:rPr>
          <w:rFonts w:eastAsia="Calibri"/>
          <w:lang w:val="lt-LT"/>
        </w:rPr>
        <w:t xml:space="preserve"> </w:t>
      </w:r>
      <w:r w:rsidRPr="007F5BAA">
        <w:rPr>
          <w:rFonts w:eastAsia="Calibri"/>
          <w:lang w:val="lt-LT"/>
        </w:rPr>
        <w:t xml:space="preserve">ar specialisto išvada yra techninio pobūdžio ir teismo turi būti vertinama tik kaip vienas iš įrodymų. Priežastinis ryšys yra objektyvusis nusikalstamos veikos sudėties požymis, todėl jo konstatavimas yra teismo, o ne ekspertų ir specialistų kompetencija, ir rėmimasis vien tik eksperto ar specialisto išvada gali lemti netinkamą baudžiamojo įstatymo pritaikymą (kasacinės nutartys baudžiamosiose bylose Nr. 2K-49/2013, 2K-359-697/2017, 2K-204-895/2018). </w:t>
      </w:r>
    </w:p>
    <w:p w14:paraId="071A28FA" w14:textId="4EBDA809" w:rsidR="0022302D" w:rsidRPr="007F5BAA" w:rsidRDefault="0022302D" w:rsidP="00193342">
      <w:pPr>
        <w:pStyle w:val="Sraopastraipa"/>
        <w:numPr>
          <w:ilvl w:val="0"/>
          <w:numId w:val="1"/>
        </w:numPr>
        <w:ind w:left="357" w:hanging="357"/>
        <w:contextualSpacing w:val="0"/>
        <w:rPr>
          <w:rFonts w:eastAsia="Calibri"/>
          <w:lang w:val="lt-LT"/>
        </w:rPr>
      </w:pPr>
      <w:r w:rsidRPr="007F5BAA">
        <w:rPr>
          <w:rFonts w:eastAsia="Calibri"/>
          <w:lang w:val="lt-LT"/>
        </w:rPr>
        <w:lastRenderedPageBreak/>
        <w:t xml:space="preserve">Net ir nustačius KET pažeidimą ir jo priežastinį ryšį su eismo įvykiu bei padaryta žala kitam asmeniui, veikai kvalifikuoti pagal BK 281 straipsnį turi būti nustatyta ir eismo įvykį sukėlusio asmens neatsargi kaltė (pasitikėjimas arba nerūpestingumas). Nusikalstamam pasitikėjimui konstatuoti būtina nustatyti, kad transporto priemonę vairuojantis asmuo suvokė rizikingą savo veikos pobūdį, numatė, kad jo padarytas KET pažeidimas gali sukelti eismo įvykį ir žalą kito asmens sveikatai, tačiau lengvabūdiškai tikėjosi šių padarinių išvengti. Tai reiškia, kad toks asmuo netinkamai įvertino ar pervertino konkrečias objektyvias aplinkybes, kurios, jo manymu, turėjo užkirsti kelią padariniams. Nusikalstamam nerūpestingumui konstatuoti būtina nustatyti, kad transporto priemonę vairuojantis asmuo nesuprato daromos veikos rizikingumo ar pavojingumo, nenumatė, kad jo padarytas KET pažeidimas gali sukelti eismo įvykį ir žalą kito asmens sveikatai, tačiau pagal veikos aplinkybes bei savo asmenines savybes turėjo ir galėjo tai numatyti. Turėjimas numatyti padarinius išplaukia iš įstatymo nustatytos pareigos vairuotojams išmanyti </w:t>
      </w:r>
      <w:r w:rsidR="004F4C0A">
        <w:rPr>
          <w:rFonts w:eastAsia="Calibri"/>
          <w:lang w:val="lt-LT"/>
        </w:rPr>
        <w:t>Lietuvos Respublikos s</w:t>
      </w:r>
      <w:r w:rsidRPr="007F5BAA">
        <w:rPr>
          <w:rFonts w:eastAsia="Calibri"/>
          <w:lang w:val="lt-LT"/>
        </w:rPr>
        <w:t xml:space="preserve">augaus eismo automobilių keliais įstatymo nuostatas, mokėti eismo taisykles ir jų laikytis, imtis visų būtinų atsargumo priemonių, nekelti pavojaus kitų eismo dalyvių, kitų asmenų ar jų turto saugumui ir aplinkai. Galėjimas numatyti padarinius reiškia vairuotojo realią galimybę konkrečioje situacijoje suprasti daromos veikos rizikingumą ar pavojingumą </w:t>
      </w:r>
      <w:r w:rsidR="004F4C0A">
        <w:rPr>
          <w:rFonts w:eastAsia="Calibri"/>
          <w:lang w:val="lt-LT"/>
        </w:rPr>
        <w:t>ir</w:t>
      </w:r>
      <w:r w:rsidR="004F4C0A" w:rsidRPr="007F5BAA">
        <w:rPr>
          <w:rFonts w:eastAsia="Calibri"/>
          <w:lang w:val="lt-LT"/>
        </w:rPr>
        <w:t xml:space="preserve"> </w:t>
      </w:r>
      <w:r w:rsidRPr="007F5BAA">
        <w:rPr>
          <w:rFonts w:eastAsia="Calibri"/>
          <w:lang w:val="lt-LT"/>
        </w:rPr>
        <w:t>numatyti eismo įvykį, dėl kurio gali kilti nusikalstam</w:t>
      </w:r>
      <w:r w:rsidR="004F4C0A">
        <w:rPr>
          <w:rFonts w:eastAsia="Calibri"/>
          <w:lang w:val="lt-LT"/>
        </w:rPr>
        <w:t>ų</w:t>
      </w:r>
      <w:r w:rsidRPr="007F5BAA">
        <w:rPr>
          <w:rFonts w:eastAsia="Calibri"/>
          <w:lang w:val="lt-LT"/>
        </w:rPr>
        <w:t xml:space="preserve"> padarini</w:t>
      </w:r>
      <w:r w:rsidR="004F4C0A">
        <w:rPr>
          <w:rFonts w:eastAsia="Calibri"/>
          <w:lang w:val="lt-LT"/>
        </w:rPr>
        <w:t>ų</w:t>
      </w:r>
      <w:r w:rsidRPr="007F5BAA">
        <w:rPr>
          <w:rFonts w:eastAsia="Calibri"/>
          <w:lang w:val="lt-LT"/>
        </w:rPr>
        <w:t>. Apie tai teismas sprendžia konkrečiu atveju įvertinęs eismo sąlygas bei situaciją, kitų eismo dalyvių veiksmus, kaltininko asmenines savybes ir kitas bylos aplinkybes (kasacinės nutartys baudžiamosiose bylose Nr</w:t>
      </w:r>
      <w:r w:rsidR="004F4C0A">
        <w:rPr>
          <w:rFonts w:eastAsia="Calibri"/>
          <w:lang w:val="lt-LT"/>
        </w:rPr>
        <w:t>.</w:t>
      </w:r>
      <w:r w:rsidRPr="007F5BAA">
        <w:rPr>
          <w:rFonts w:eastAsia="Calibri"/>
          <w:lang w:val="lt-LT"/>
        </w:rPr>
        <w:t xml:space="preserve"> 2K-474/2011, 2K-375/2014, 2K-204-895/2018).</w:t>
      </w:r>
    </w:p>
    <w:p w14:paraId="11A2C3D5" w14:textId="4BA93748" w:rsidR="0022302D" w:rsidRPr="007F5BAA" w:rsidRDefault="0022302D" w:rsidP="00193342">
      <w:pPr>
        <w:pStyle w:val="Sraopastraipa"/>
        <w:numPr>
          <w:ilvl w:val="0"/>
          <w:numId w:val="1"/>
        </w:numPr>
        <w:ind w:left="357" w:hanging="357"/>
        <w:contextualSpacing w:val="0"/>
        <w:rPr>
          <w:rFonts w:eastAsia="Calibri"/>
          <w:lang w:val="lt-LT"/>
        </w:rPr>
      </w:pPr>
      <w:r w:rsidRPr="007F5BAA">
        <w:rPr>
          <w:rFonts w:eastAsia="Calibri"/>
          <w:lang w:val="lt-LT"/>
        </w:rPr>
        <w:t>Nagrinėjamoje byloje teismų nustatytos tokios esmin</w:t>
      </w:r>
      <w:r w:rsidR="004F4C0A">
        <w:rPr>
          <w:rFonts w:eastAsia="Calibri"/>
          <w:lang w:val="lt-LT"/>
        </w:rPr>
        <w:t>ė</w:t>
      </w:r>
      <w:r w:rsidRPr="007F5BAA">
        <w:rPr>
          <w:rFonts w:eastAsia="Calibri"/>
          <w:lang w:val="lt-LT"/>
        </w:rPr>
        <w:t xml:space="preserve">s eismo įvykio aplinkybės: L. </w:t>
      </w:r>
      <w:bookmarkStart w:id="37" w:name="Buk_32"/>
      <w:r w:rsidR="00680441" w:rsidRPr="00680441">
        <w:rPr>
          <w:rFonts w:eastAsia="Calibri"/>
          <w:lang w:val="lt-LT"/>
        </w:rPr>
        <w:t>J. L.</w:t>
      </w:r>
      <w:bookmarkEnd w:id="37"/>
      <w:r w:rsidRPr="007F5BAA">
        <w:rPr>
          <w:rFonts w:eastAsia="Calibri"/>
          <w:lang w:val="lt-LT"/>
        </w:rPr>
        <w:t>, lengvuoju automobiliu važiuodamas vienpusiu dv</w:t>
      </w:r>
      <w:r w:rsidR="00193342" w:rsidRPr="007F5BAA">
        <w:rPr>
          <w:rFonts w:eastAsia="Calibri"/>
          <w:lang w:val="lt-LT"/>
        </w:rPr>
        <w:t>i</w:t>
      </w:r>
      <w:r w:rsidRPr="007F5BAA">
        <w:rPr>
          <w:rFonts w:eastAsia="Calibri"/>
          <w:lang w:val="lt-LT"/>
        </w:rPr>
        <w:t>ejų nepažymėtų juostų keliu, pirmąja dešine eismo juosta, darė posūkio į dešinę manevrą</w:t>
      </w:r>
      <w:r w:rsidR="00E127DF" w:rsidRPr="007F5BAA">
        <w:rPr>
          <w:rFonts w:eastAsia="Calibri"/>
          <w:lang w:val="lt-LT"/>
        </w:rPr>
        <w:t>,</w:t>
      </w:r>
      <w:r w:rsidRPr="007F5BAA">
        <w:rPr>
          <w:rFonts w:eastAsia="Calibri"/>
          <w:lang w:val="lt-LT"/>
        </w:rPr>
        <w:t xml:space="preserve"> ketindamas </w:t>
      </w:r>
      <w:r w:rsidR="004F4C0A">
        <w:rPr>
          <w:rFonts w:eastAsia="Calibri"/>
          <w:lang w:val="lt-LT"/>
        </w:rPr>
        <w:t>pastatyti automobilį</w:t>
      </w:r>
      <w:r w:rsidR="004F4C0A" w:rsidRPr="007F5BAA">
        <w:rPr>
          <w:rFonts w:eastAsia="Calibri"/>
          <w:lang w:val="lt-LT"/>
        </w:rPr>
        <w:t xml:space="preserve"> </w:t>
      </w:r>
      <w:r w:rsidRPr="007F5BAA">
        <w:rPr>
          <w:rFonts w:eastAsia="Calibri"/>
          <w:lang w:val="lt-LT"/>
        </w:rPr>
        <w:t>prie prekybos centro esančioje automobilių aikštelėje. Tačiau</w:t>
      </w:r>
      <w:r w:rsidR="004F4C0A">
        <w:rPr>
          <w:rFonts w:eastAsia="Calibri"/>
          <w:lang w:val="lt-LT"/>
        </w:rPr>
        <w:t>,</w:t>
      </w:r>
      <w:r w:rsidRPr="007F5BAA">
        <w:rPr>
          <w:rFonts w:eastAsia="Calibri"/>
          <w:lang w:val="lt-LT"/>
        </w:rPr>
        <w:t xml:space="preserve"> nepabaigus posūkio, į jo automobilio galinę dešinės pusės šoninę dalį atsitrenkė motociklas, kurį vairavo </w:t>
      </w:r>
      <w:bookmarkStart w:id="38" w:name="Buk_11"/>
      <w:r w:rsidR="00680441" w:rsidRPr="00680441">
        <w:rPr>
          <w:rFonts w:eastAsia="Calibri"/>
          <w:lang w:val="lt-LT"/>
        </w:rPr>
        <w:t>D. B.</w:t>
      </w:r>
      <w:bookmarkEnd w:id="38"/>
      <w:r w:rsidR="00B34686">
        <w:rPr>
          <w:rFonts w:eastAsia="Calibri"/>
          <w:lang w:val="lt-LT"/>
        </w:rPr>
        <w:t>,</w:t>
      </w:r>
      <w:r w:rsidRPr="007F5BAA">
        <w:rPr>
          <w:rFonts w:eastAsia="Calibri"/>
          <w:lang w:val="lt-LT"/>
        </w:rPr>
        <w:t xml:space="preserve"> ir </w:t>
      </w:r>
      <w:r w:rsidR="00B0378C" w:rsidRPr="007F5BAA">
        <w:rPr>
          <w:rFonts w:eastAsia="Calibri"/>
          <w:lang w:val="lt-LT"/>
        </w:rPr>
        <w:t>motociklo vairuotoj</w:t>
      </w:r>
      <w:r w:rsidR="00B0378C">
        <w:rPr>
          <w:rFonts w:eastAsia="Calibri"/>
          <w:lang w:val="lt-LT"/>
        </w:rPr>
        <w:t>as</w:t>
      </w:r>
      <w:r w:rsidR="00B0378C" w:rsidRPr="00B0378C">
        <w:rPr>
          <w:rFonts w:eastAsia="Calibri"/>
          <w:lang w:val="lt-LT"/>
        </w:rPr>
        <w:t xml:space="preserve"> </w:t>
      </w:r>
      <w:bookmarkStart w:id="39" w:name="Buk_12"/>
      <w:r w:rsidR="00680441" w:rsidRPr="00680441">
        <w:rPr>
          <w:rFonts w:eastAsia="Calibri"/>
          <w:lang w:val="lt-LT"/>
        </w:rPr>
        <w:t xml:space="preserve">D. B. </w:t>
      </w:r>
      <w:bookmarkEnd w:id="39"/>
      <w:r w:rsidRPr="007F5BAA">
        <w:rPr>
          <w:rFonts w:eastAsia="Calibri"/>
          <w:lang w:val="lt-LT"/>
        </w:rPr>
        <w:t xml:space="preserve">patyrė nesunkų sveikatos sutrikdymą. </w:t>
      </w:r>
      <w:r w:rsidR="007E5A7E">
        <w:rPr>
          <w:rFonts w:eastAsia="Calibri"/>
          <w:lang w:val="lt-LT"/>
        </w:rPr>
        <w:t xml:space="preserve">Esminis KET pažeidimas, kuriuo buvo kaltinamas </w:t>
      </w:r>
      <w:r w:rsidRPr="007F5BAA">
        <w:rPr>
          <w:rFonts w:eastAsia="Calibri"/>
          <w:lang w:val="lt-LT"/>
        </w:rPr>
        <w:t>L.</w:t>
      </w:r>
      <w:r w:rsidR="00B34686">
        <w:rPr>
          <w:rFonts w:eastAsia="Calibri"/>
          <w:lang w:val="lt-LT"/>
        </w:rPr>
        <w:t> </w:t>
      </w:r>
      <w:bookmarkStart w:id="40" w:name="Buk_33"/>
      <w:r w:rsidR="00680441" w:rsidRPr="00680441">
        <w:rPr>
          <w:rFonts w:eastAsia="Calibri"/>
          <w:lang w:val="lt-LT"/>
        </w:rPr>
        <w:t>J. L.</w:t>
      </w:r>
      <w:bookmarkEnd w:id="40"/>
      <w:r w:rsidRPr="007F5BAA">
        <w:rPr>
          <w:rFonts w:eastAsia="Calibri"/>
          <w:lang w:val="lt-LT"/>
        </w:rPr>
        <w:t xml:space="preserve">, </w:t>
      </w:r>
      <w:r w:rsidR="007E5A7E">
        <w:rPr>
          <w:rFonts w:eastAsia="Calibri"/>
          <w:lang w:val="lt-LT"/>
        </w:rPr>
        <w:t xml:space="preserve">yra tai, kad jis, </w:t>
      </w:r>
      <w:r w:rsidR="00E127DF" w:rsidRPr="007F5BAA">
        <w:rPr>
          <w:rFonts w:eastAsia="Calibri"/>
          <w:lang w:val="lt-LT"/>
        </w:rPr>
        <w:t>sukdamas</w:t>
      </w:r>
      <w:r w:rsidRPr="007F5BAA">
        <w:rPr>
          <w:rFonts w:eastAsia="Calibri"/>
          <w:lang w:val="lt-LT"/>
        </w:rPr>
        <w:t xml:space="preserve"> į dešinę, nepasitraukė prie pat dešinio </w:t>
      </w:r>
      <w:r w:rsidR="00D44D2B" w:rsidRPr="007F5BAA">
        <w:rPr>
          <w:rFonts w:eastAsia="Calibri"/>
          <w:lang w:val="lt-LT"/>
        </w:rPr>
        <w:t xml:space="preserve">menamos </w:t>
      </w:r>
      <w:r w:rsidRPr="007F5BAA">
        <w:rPr>
          <w:rFonts w:eastAsia="Calibri"/>
          <w:lang w:val="lt-LT"/>
        </w:rPr>
        <w:t xml:space="preserve">pirmosios eismo juostos krašto </w:t>
      </w:r>
      <w:r w:rsidR="007E5A7E">
        <w:rPr>
          <w:rFonts w:eastAsia="Calibri"/>
          <w:lang w:val="lt-LT"/>
        </w:rPr>
        <w:t>(</w:t>
      </w:r>
      <w:r w:rsidR="007E5A7E" w:rsidRPr="007F5BAA">
        <w:rPr>
          <w:rFonts w:eastAsia="Calibri"/>
          <w:lang w:val="lt-LT"/>
        </w:rPr>
        <w:t>KET 106 punkt</w:t>
      </w:r>
      <w:r w:rsidR="007E5A7E">
        <w:rPr>
          <w:rFonts w:eastAsia="Calibri"/>
          <w:lang w:val="lt-LT"/>
        </w:rPr>
        <w:t>as)</w:t>
      </w:r>
      <w:r w:rsidR="007E5A7E" w:rsidRPr="007F5BAA">
        <w:rPr>
          <w:rFonts w:eastAsia="Calibri"/>
          <w:lang w:val="lt-LT"/>
        </w:rPr>
        <w:t xml:space="preserve"> </w:t>
      </w:r>
      <w:r w:rsidRPr="007F5BAA">
        <w:rPr>
          <w:rFonts w:eastAsia="Calibri"/>
          <w:lang w:val="lt-LT"/>
        </w:rPr>
        <w:t xml:space="preserve">ir </w:t>
      </w:r>
      <w:bookmarkStart w:id="41" w:name="_Hlk178934303"/>
      <w:r w:rsidRPr="007F5BAA">
        <w:rPr>
          <w:rFonts w:eastAsia="Calibri"/>
          <w:lang w:val="lt-LT"/>
        </w:rPr>
        <w:t>manevrą pradėjo daryti kairiais ratais užvažiuodamas į kair</w:t>
      </w:r>
      <w:r w:rsidR="00B34686">
        <w:rPr>
          <w:rFonts w:eastAsia="Calibri"/>
          <w:lang w:val="lt-LT"/>
        </w:rPr>
        <w:t>ę</w:t>
      </w:r>
      <w:r w:rsidRPr="007F5BAA">
        <w:rPr>
          <w:rFonts w:eastAsia="Calibri"/>
          <w:lang w:val="lt-LT"/>
        </w:rPr>
        <w:t xml:space="preserve"> važiuojamosios kelio dalies pusę.</w:t>
      </w:r>
      <w:bookmarkEnd w:id="41"/>
      <w:r w:rsidRPr="007F5BAA">
        <w:rPr>
          <w:rFonts w:eastAsia="Calibri"/>
          <w:lang w:val="lt-LT"/>
        </w:rPr>
        <w:t xml:space="preserve"> </w:t>
      </w:r>
      <w:r w:rsidR="007E5A7E">
        <w:rPr>
          <w:rFonts w:eastAsia="Calibri"/>
          <w:lang w:val="lt-LT"/>
        </w:rPr>
        <w:t xml:space="preserve">Byloje taip pat </w:t>
      </w:r>
      <w:r w:rsidR="00D44D2B" w:rsidRPr="007F5BAA">
        <w:rPr>
          <w:rFonts w:eastAsia="Calibri"/>
          <w:lang w:val="lt-LT"/>
        </w:rPr>
        <w:t>n</w:t>
      </w:r>
      <w:r w:rsidRPr="007F5BAA">
        <w:rPr>
          <w:rFonts w:eastAsia="Calibri"/>
          <w:lang w:val="lt-LT"/>
        </w:rPr>
        <w:t>ustatyta, kad nukentėjęs motociklo vairuotojas</w:t>
      </w:r>
      <w:r w:rsidR="00D44D2B" w:rsidRPr="007F5BAA">
        <w:rPr>
          <w:rFonts w:eastAsia="Calibri"/>
          <w:lang w:val="lt-LT"/>
        </w:rPr>
        <w:t xml:space="preserve"> </w:t>
      </w:r>
      <w:bookmarkStart w:id="42" w:name="Buk_13"/>
      <w:r w:rsidR="00680441" w:rsidRPr="00680441">
        <w:rPr>
          <w:rFonts w:eastAsia="Calibri"/>
          <w:lang w:val="lt-LT"/>
        </w:rPr>
        <w:t xml:space="preserve">D. B. </w:t>
      </w:r>
      <w:bookmarkEnd w:id="42"/>
      <w:r w:rsidRPr="007F5BAA">
        <w:rPr>
          <w:rFonts w:eastAsia="Calibri"/>
          <w:lang w:val="lt-LT"/>
        </w:rPr>
        <w:t xml:space="preserve">tiesiog nepastebėjo priekyje </w:t>
      </w:r>
      <w:r w:rsidR="00B34686">
        <w:rPr>
          <w:rFonts w:eastAsia="Calibri"/>
          <w:lang w:val="lt-LT"/>
        </w:rPr>
        <w:t>esančio</w:t>
      </w:r>
      <w:r w:rsidR="00B34686" w:rsidRPr="007F5BAA">
        <w:rPr>
          <w:rFonts w:eastAsia="Calibri"/>
          <w:lang w:val="lt-LT"/>
        </w:rPr>
        <w:t xml:space="preserve"> </w:t>
      </w:r>
      <w:r w:rsidRPr="007F5BAA">
        <w:rPr>
          <w:rFonts w:eastAsia="Calibri"/>
          <w:lang w:val="lt-LT"/>
        </w:rPr>
        <w:t>automobilio ir į jį atsitrenkė. Antai tiek 2019 m. rugsėjo 23 d. specialisto išvadoje Nr. 11Š-88(19), tiek Lietuvos teismo ekspertizės centro 2020</w:t>
      </w:r>
      <w:r w:rsidR="002445EA">
        <w:rPr>
          <w:rFonts w:eastAsia="Calibri"/>
          <w:lang w:val="lt-LT"/>
        </w:rPr>
        <w:t> </w:t>
      </w:r>
      <w:r w:rsidRPr="007F5BAA">
        <w:rPr>
          <w:rFonts w:eastAsia="Calibri"/>
          <w:lang w:val="lt-LT"/>
        </w:rPr>
        <w:t xml:space="preserve">m. rugsėjo 14 d. ekspertizės akte Nr. 11K-180(20) nurodyta, kad techniniu požiūriu šio eismo įvykio kilimą </w:t>
      </w:r>
      <w:r w:rsidR="00186810" w:rsidRPr="007F5BAA">
        <w:rPr>
          <w:rFonts w:eastAsia="Calibri"/>
          <w:lang w:val="lt-LT"/>
        </w:rPr>
        <w:t>galėjo nulemti</w:t>
      </w:r>
      <w:r w:rsidRPr="007F5BAA">
        <w:rPr>
          <w:rFonts w:eastAsia="Calibri"/>
          <w:lang w:val="lt-LT"/>
        </w:rPr>
        <w:t xml:space="preserve"> ne tik automobilio vairuotojo</w:t>
      </w:r>
      <w:r w:rsidR="00D44D2B" w:rsidRPr="007F5BAA">
        <w:rPr>
          <w:rFonts w:eastAsia="Calibri"/>
          <w:lang w:val="lt-LT"/>
        </w:rPr>
        <w:t xml:space="preserve"> L.</w:t>
      </w:r>
      <w:r w:rsidR="00186810" w:rsidRPr="007F5BAA">
        <w:rPr>
          <w:rFonts w:eastAsia="Calibri"/>
          <w:lang w:val="lt-LT"/>
        </w:rPr>
        <w:t> </w:t>
      </w:r>
      <w:bookmarkStart w:id="43" w:name="Buk_34"/>
      <w:r w:rsidR="00680441" w:rsidRPr="00680441">
        <w:rPr>
          <w:rFonts w:eastAsia="Calibri"/>
          <w:lang w:val="lt-LT"/>
        </w:rPr>
        <w:t xml:space="preserve">J. L. </w:t>
      </w:r>
      <w:bookmarkEnd w:id="43"/>
      <w:r w:rsidRPr="007F5BAA">
        <w:rPr>
          <w:rFonts w:eastAsia="Calibri"/>
          <w:lang w:val="lt-LT"/>
        </w:rPr>
        <w:t xml:space="preserve">darytas posūkio manevras nepasitraukus prie dešinio kelio krašto, bet ir motociklo vairuotojo </w:t>
      </w:r>
      <w:bookmarkStart w:id="44" w:name="Buk_8"/>
      <w:r w:rsidR="00680441" w:rsidRPr="00680441">
        <w:rPr>
          <w:rFonts w:eastAsia="Calibri"/>
          <w:lang w:val="lt-LT"/>
        </w:rPr>
        <w:t xml:space="preserve">D. B. </w:t>
      </w:r>
      <w:bookmarkEnd w:id="44"/>
      <w:r w:rsidRPr="007F5BAA">
        <w:rPr>
          <w:rFonts w:eastAsia="Calibri"/>
          <w:lang w:val="lt-LT"/>
        </w:rPr>
        <w:t xml:space="preserve">veiksmai </w:t>
      </w:r>
      <w:r w:rsidR="00B0378C">
        <w:rPr>
          <w:rFonts w:eastAsia="Calibri"/>
          <w:lang w:val="lt-LT"/>
        </w:rPr>
        <w:t xml:space="preserve">– šis </w:t>
      </w:r>
      <w:r w:rsidR="00B0378C" w:rsidRPr="007F5BAA">
        <w:rPr>
          <w:rFonts w:eastAsia="Calibri"/>
          <w:lang w:val="lt-LT"/>
        </w:rPr>
        <w:t>nestebėj</w:t>
      </w:r>
      <w:r w:rsidR="00B0378C">
        <w:rPr>
          <w:rFonts w:eastAsia="Calibri"/>
          <w:lang w:val="lt-LT"/>
        </w:rPr>
        <w:t>o</w:t>
      </w:r>
      <w:r w:rsidR="00B0378C" w:rsidRPr="007F5BAA">
        <w:rPr>
          <w:rFonts w:eastAsia="Calibri"/>
          <w:lang w:val="lt-LT"/>
        </w:rPr>
        <w:t xml:space="preserve"> </w:t>
      </w:r>
      <w:r w:rsidRPr="007F5BAA">
        <w:rPr>
          <w:rFonts w:eastAsia="Calibri"/>
          <w:lang w:val="lt-LT"/>
        </w:rPr>
        <w:t xml:space="preserve">kelio situacijos ir laiku </w:t>
      </w:r>
      <w:r w:rsidR="00B0378C" w:rsidRPr="007F5BAA">
        <w:rPr>
          <w:rFonts w:eastAsia="Calibri"/>
          <w:lang w:val="lt-LT"/>
        </w:rPr>
        <w:t>nesustabd</w:t>
      </w:r>
      <w:r w:rsidR="00B0378C">
        <w:rPr>
          <w:rFonts w:eastAsia="Calibri"/>
          <w:lang w:val="lt-LT"/>
        </w:rPr>
        <w:t>ė</w:t>
      </w:r>
      <w:r w:rsidR="00B0378C" w:rsidRPr="007F5BAA">
        <w:rPr>
          <w:rFonts w:eastAsia="Calibri"/>
          <w:lang w:val="lt-LT"/>
        </w:rPr>
        <w:t xml:space="preserve"> </w:t>
      </w:r>
      <w:r w:rsidRPr="007F5BAA">
        <w:rPr>
          <w:rFonts w:eastAsia="Calibri"/>
          <w:lang w:val="lt-LT"/>
        </w:rPr>
        <w:t>motociklo. To neneigė ir pats nukentėjusysis</w:t>
      </w:r>
      <w:r w:rsidR="00B52B82" w:rsidRPr="007F5BAA">
        <w:rPr>
          <w:rFonts w:eastAsia="Calibri"/>
          <w:lang w:val="lt-LT"/>
        </w:rPr>
        <w:t>,</w:t>
      </w:r>
      <w:r w:rsidRPr="007F5BAA">
        <w:rPr>
          <w:rFonts w:eastAsia="Calibri"/>
          <w:lang w:val="lt-LT"/>
        </w:rPr>
        <w:t xml:space="preserve"> tiek ikiteisminio tyrimo metu, tiek bylą nagrinėjant teisme nurodęs, kad iš pradžių jis važiavo antrąja juosta, paskui nutarė persirikiuoti į pirmąją eismo juostą, persirikiuodamas parodė posūkį ir pasisuko pažiūrėti, ar už jo nėra mašinų. Kai </w:t>
      </w:r>
      <w:r w:rsidR="002445EA" w:rsidRPr="007F5BAA">
        <w:rPr>
          <w:rFonts w:eastAsia="Calibri"/>
          <w:lang w:val="lt-LT"/>
        </w:rPr>
        <w:t>nukentėjusysis</w:t>
      </w:r>
      <w:r w:rsidRPr="007F5BAA">
        <w:rPr>
          <w:rFonts w:eastAsia="Calibri"/>
          <w:lang w:val="lt-LT"/>
        </w:rPr>
        <w:t xml:space="preserve"> pasuko galvą į priekį (judėjimo kryptimi), jis atsitrenkė į galines šonines automobilio dureles. Prieš smūgį nukentėjusysis nežiūrėjo į priekį ir nematė pagrindiniame kelyje priekyje jo važiuojančio ir posūkio manevrą darančio automobilio. Automobilį jis pastebėjo po to, kai atsitrenkė į jį. </w:t>
      </w:r>
    </w:p>
    <w:p w14:paraId="2C3F8105" w14:textId="5144C766" w:rsidR="0022302D" w:rsidRPr="007F5BAA" w:rsidRDefault="0022302D" w:rsidP="00B52B82">
      <w:pPr>
        <w:pStyle w:val="Sraopastraipa"/>
        <w:numPr>
          <w:ilvl w:val="0"/>
          <w:numId w:val="1"/>
        </w:numPr>
        <w:ind w:left="357" w:hanging="357"/>
        <w:contextualSpacing w:val="0"/>
        <w:rPr>
          <w:rFonts w:eastAsia="Calibri"/>
          <w:lang w:val="lt-LT"/>
        </w:rPr>
      </w:pPr>
      <w:r w:rsidRPr="007F5BAA">
        <w:rPr>
          <w:rFonts w:eastAsia="Calibri"/>
          <w:lang w:val="lt-LT"/>
        </w:rPr>
        <w:t xml:space="preserve">Pirmosios instancijos teismas, </w:t>
      </w:r>
      <w:r w:rsidR="00B34686" w:rsidRPr="007F5BAA">
        <w:rPr>
          <w:rFonts w:eastAsia="Calibri"/>
          <w:lang w:val="lt-LT"/>
        </w:rPr>
        <w:t>atsižvelg</w:t>
      </w:r>
      <w:r w:rsidR="00B34686">
        <w:rPr>
          <w:rFonts w:eastAsia="Calibri"/>
          <w:lang w:val="lt-LT"/>
        </w:rPr>
        <w:t>damas</w:t>
      </w:r>
      <w:r w:rsidR="00B34686" w:rsidRPr="007F5BAA">
        <w:rPr>
          <w:rFonts w:eastAsia="Calibri"/>
          <w:lang w:val="lt-LT"/>
        </w:rPr>
        <w:t xml:space="preserve"> </w:t>
      </w:r>
      <w:r w:rsidRPr="007F5BAA">
        <w:rPr>
          <w:rFonts w:eastAsia="Calibri"/>
          <w:lang w:val="lt-LT"/>
        </w:rPr>
        <w:t>į byloje nustatytų aplinkybių visumą, konstatavo, kad tarp automobilio</w:t>
      </w:r>
      <w:r w:rsidR="00B52B82" w:rsidRPr="007F5BAA">
        <w:rPr>
          <w:rFonts w:eastAsia="Calibri"/>
          <w:lang w:val="lt-LT"/>
        </w:rPr>
        <w:t xml:space="preserve"> </w:t>
      </w:r>
      <w:r w:rsidRPr="007F5BAA">
        <w:rPr>
          <w:rFonts w:eastAsia="Calibri"/>
          <w:lang w:val="lt-LT"/>
        </w:rPr>
        <w:t xml:space="preserve">vairuotojo L. </w:t>
      </w:r>
      <w:bookmarkStart w:id="45" w:name="Buk_35"/>
      <w:r w:rsidR="00680441" w:rsidRPr="00680441">
        <w:rPr>
          <w:rFonts w:eastAsia="Calibri"/>
          <w:lang w:val="lt-LT"/>
        </w:rPr>
        <w:t xml:space="preserve">J. L. </w:t>
      </w:r>
      <w:bookmarkEnd w:id="45"/>
      <w:r w:rsidRPr="007F5BAA">
        <w:rPr>
          <w:rFonts w:eastAsia="Calibri"/>
          <w:lang w:val="lt-LT"/>
        </w:rPr>
        <w:t xml:space="preserve">padaryto KET pažeidimo ir </w:t>
      </w:r>
      <w:r w:rsidR="00B52B82" w:rsidRPr="007F5BAA">
        <w:rPr>
          <w:rFonts w:eastAsia="Calibri"/>
          <w:lang w:val="lt-LT"/>
        </w:rPr>
        <w:t xml:space="preserve">kilusio </w:t>
      </w:r>
      <w:r w:rsidRPr="007F5BAA">
        <w:rPr>
          <w:rFonts w:eastAsia="Calibri"/>
          <w:lang w:val="lt-LT"/>
        </w:rPr>
        <w:t>eismo įvykio nėra priežastinio ryšio, tai lėmė išteisinamojo nuosprendžio jam priėmimą. Pirmosios instancijos teismas savo išvadą motyvavo tuo, kad kaltinamasis neprivalėjo duoti keli</w:t>
      </w:r>
      <w:r w:rsidR="00B34686">
        <w:rPr>
          <w:rFonts w:eastAsia="Calibri"/>
          <w:lang w:val="lt-LT"/>
        </w:rPr>
        <w:t>o</w:t>
      </w:r>
      <w:r w:rsidRPr="007F5BAA">
        <w:rPr>
          <w:rFonts w:eastAsia="Calibri"/>
          <w:lang w:val="lt-LT"/>
        </w:rPr>
        <w:t xml:space="preserve"> į pirmąją eismo juostą persirikiavusiam motociklui, be to, net jei kaltinamasis, prieš pradėdamas sukti, būtų pasitraukęs prie pat kelio važiuojamosios dalies dešiniojo krašto, nagrinėjamas eismo įvykis vis tiek būtų įvykęs, nes nukentėjusysis nestebėjo kelio ir nematė kliūties (nežiūrėjo į priekį, buvo pasukęs galvą į kairę, žiūrėjo, ar už jo nėra automobilių, nes neturėjo galinio vaizdo matymo veidrodėlio, prieš susidūrimą nestabdė motociklo ir įvykio vietoje neliko motociklo stabdymo žymių). </w:t>
      </w:r>
    </w:p>
    <w:p w14:paraId="31BC6B2C" w14:textId="1AB7B73B" w:rsidR="00AD78D3" w:rsidRPr="007F5BAA" w:rsidRDefault="0022302D" w:rsidP="00AD78D3">
      <w:pPr>
        <w:pStyle w:val="Sraopastraipa"/>
        <w:numPr>
          <w:ilvl w:val="0"/>
          <w:numId w:val="1"/>
        </w:numPr>
        <w:ind w:left="357" w:hanging="357"/>
        <w:contextualSpacing w:val="0"/>
        <w:rPr>
          <w:rFonts w:eastAsia="Calibri"/>
          <w:lang w:val="lt-LT"/>
        </w:rPr>
      </w:pPr>
      <w:r w:rsidRPr="007F5BAA">
        <w:rPr>
          <w:rFonts w:eastAsia="Calibri"/>
          <w:lang w:val="lt-LT"/>
        </w:rPr>
        <w:lastRenderedPageBreak/>
        <w:t xml:space="preserve">Apeliacinės instancijos teismas, nepaneigdamas pirmosios instancijos teismo išvados dėl motociklininko neatidaus vairavimo, vis dėlto padarė priešingą išvadą dėl priežastinio ryšio </w:t>
      </w:r>
      <w:r w:rsidR="00B34686" w:rsidRPr="007F5BAA">
        <w:rPr>
          <w:rFonts w:eastAsia="Calibri"/>
          <w:lang w:val="lt-LT"/>
        </w:rPr>
        <w:t>nurod</w:t>
      </w:r>
      <w:r w:rsidR="00B34686">
        <w:rPr>
          <w:rFonts w:eastAsia="Calibri"/>
          <w:lang w:val="lt-LT"/>
        </w:rPr>
        <w:t>ydamas</w:t>
      </w:r>
      <w:r w:rsidRPr="007F5BAA">
        <w:rPr>
          <w:rFonts w:eastAsia="Calibri"/>
          <w:lang w:val="lt-LT"/>
        </w:rPr>
        <w:t xml:space="preserve">: „Tai, kad </w:t>
      </w:r>
      <w:bookmarkStart w:id="46" w:name="Buk_9"/>
      <w:r w:rsidR="00680441" w:rsidRPr="00680441">
        <w:rPr>
          <w:rFonts w:eastAsia="Calibri"/>
          <w:lang w:val="lt-LT"/>
        </w:rPr>
        <w:t xml:space="preserve">D. B. </w:t>
      </w:r>
      <w:bookmarkEnd w:id="46"/>
      <w:r w:rsidRPr="007F5BAA">
        <w:rPr>
          <w:rFonts w:eastAsia="Calibri"/>
          <w:lang w:val="lt-LT"/>
        </w:rPr>
        <w:t xml:space="preserve">vairuotas motociklas neturėjo galinio matymo veidrodėlio, taip pat tai, kad nukentėjusysis, persirikiuodamas į kitą eismo juostą, pasižiūrėjo atgal, esant byloje nustatytoms aplinkybėms, nepaneigia, kad būtent automobilio vairuotojo L. </w:t>
      </w:r>
      <w:bookmarkStart w:id="47" w:name="Buk_36"/>
      <w:r w:rsidR="00680441" w:rsidRPr="00680441">
        <w:rPr>
          <w:rFonts w:eastAsia="Calibri"/>
          <w:lang w:val="lt-LT"/>
        </w:rPr>
        <w:t xml:space="preserve">J. L. </w:t>
      </w:r>
      <w:bookmarkEnd w:id="47"/>
      <w:r w:rsidRPr="007F5BAA">
        <w:rPr>
          <w:rFonts w:eastAsia="Calibri"/>
          <w:lang w:val="lt-LT"/>
        </w:rPr>
        <w:t>veiksmai techniniu požiūriu buvo nepriimtini ir buvo pagrindin</w:t>
      </w:r>
      <w:r w:rsidR="00B34686">
        <w:rPr>
          <w:rFonts w:eastAsia="Calibri"/>
          <w:lang w:val="lt-LT"/>
        </w:rPr>
        <w:t>ė</w:t>
      </w:r>
      <w:r w:rsidRPr="007F5BAA">
        <w:rPr>
          <w:rFonts w:eastAsia="Calibri"/>
          <w:lang w:val="lt-LT"/>
        </w:rPr>
        <w:t xml:space="preserve"> sąlyga eismo įvykiui kilti – jeigu automobilio vairuotojas L. </w:t>
      </w:r>
      <w:bookmarkStart w:id="48" w:name="Buk_37"/>
      <w:r w:rsidR="00680441" w:rsidRPr="00680441">
        <w:rPr>
          <w:rFonts w:eastAsia="Calibri"/>
          <w:lang w:val="lt-LT"/>
        </w:rPr>
        <w:t xml:space="preserve">J. L. </w:t>
      </w:r>
      <w:bookmarkEnd w:id="48"/>
      <w:r w:rsidRPr="007F5BAA">
        <w:rPr>
          <w:rFonts w:eastAsia="Calibri"/>
          <w:lang w:val="lt-LT"/>
        </w:rPr>
        <w:t>nebūtų savo vairuotu automobiliu užtvėręs kelio motociklo vairuotojui, susidūrimas nebūtų įvykęs“ (</w:t>
      </w:r>
      <w:r w:rsidR="00F07B06" w:rsidRPr="007F5BAA">
        <w:rPr>
          <w:rFonts w:eastAsia="Calibri"/>
          <w:lang w:val="lt-LT"/>
        </w:rPr>
        <w:t xml:space="preserve">apeliacinės instancijos teismo </w:t>
      </w:r>
      <w:r w:rsidRPr="007F5BAA">
        <w:rPr>
          <w:rFonts w:eastAsia="Calibri"/>
          <w:lang w:val="lt-LT"/>
        </w:rPr>
        <w:t>nuosprendžio 23</w:t>
      </w:r>
      <w:r w:rsidR="00F07B06" w:rsidRPr="007F5BAA">
        <w:rPr>
          <w:rFonts w:eastAsia="Calibri"/>
          <w:lang w:val="lt-LT"/>
        </w:rPr>
        <w:t> </w:t>
      </w:r>
      <w:r w:rsidRPr="007F5BAA">
        <w:rPr>
          <w:rFonts w:eastAsia="Calibri"/>
          <w:lang w:val="lt-LT"/>
        </w:rPr>
        <w:t>punktas).</w:t>
      </w:r>
    </w:p>
    <w:p w14:paraId="394B72B5" w14:textId="4DEEDE3E" w:rsidR="00F07B06" w:rsidRPr="007F5BAA" w:rsidRDefault="0022302D" w:rsidP="00F07B06">
      <w:pPr>
        <w:pStyle w:val="Sraopastraipa"/>
        <w:numPr>
          <w:ilvl w:val="0"/>
          <w:numId w:val="1"/>
        </w:numPr>
        <w:ind w:left="357" w:hanging="357"/>
        <w:contextualSpacing w:val="0"/>
        <w:rPr>
          <w:rFonts w:eastAsia="Calibri"/>
          <w:lang w:val="lt-LT"/>
        </w:rPr>
      </w:pPr>
      <w:r w:rsidRPr="007F5BAA">
        <w:rPr>
          <w:rFonts w:eastAsia="Calibri"/>
          <w:lang w:val="lt-LT"/>
        </w:rPr>
        <w:t xml:space="preserve">Išplėstinė septynių teisėjų kolegija, išnagrinėjusi bylą, pritaria pirmosios instancijos teismo išvadai, kad </w:t>
      </w:r>
      <w:r w:rsidR="004D125D" w:rsidRPr="004D125D">
        <w:rPr>
          <w:rFonts w:eastAsia="Calibri"/>
          <w:lang w:val="lt-LT"/>
        </w:rPr>
        <w:t xml:space="preserve">tarp kaltinamojo L. </w:t>
      </w:r>
      <w:bookmarkStart w:id="49" w:name="Buk_38"/>
      <w:r w:rsidR="00680441" w:rsidRPr="00680441">
        <w:rPr>
          <w:rFonts w:eastAsia="Calibri"/>
          <w:lang w:val="lt-LT"/>
        </w:rPr>
        <w:t xml:space="preserve">J. L. </w:t>
      </w:r>
      <w:bookmarkEnd w:id="49"/>
      <w:r w:rsidR="004D125D" w:rsidRPr="004D125D">
        <w:rPr>
          <w:rFonts w:eastAsia="Calibri"/>
          <w:lang w:val="lt-LT"/>
        </w:rPr>
        <w:t xml:space="preserve">važiavimo toliau nuo dešiniojo važiuojamosios dalies krašto ir </w:t>
      </w:r>
      <w:r w:rsidR="004D125D">
        <w:rPr>
          <w:rFonts w:eastAsia="Calibri"/>
          <w:lang w:val="lt-LT"/>
        </w:rPr>
        <w:t xml:space="preserve">eismo įvykio </w:t>
      </w:r>
      <w:r w:rsidR="004D125D" w:rsidRPr="004D125D">
        <w:rPr>
          <w:rFonts w:eastAsia="Calibri"/>
          <w:lang w:val="lt-LT"/>
        </w:rPr>
        <w:t xml:space="preserve">nėra </w:t>
      </w:r>
      <w:r w:rsidR="004D125D">
        <w:rPr>
          <w:rFonts w:eastAsia="Calibri"/>
          <w:lang w:val="lt-LT"/>
        </w:rPr>
        <w:t xml:space="preserve">teisiškai reikšmingo </w:t>
      </w:r>
      <w:r w:rsidR="004D125D" w:rsidRPr="004D125D">
        <w:rPr>
          <w:rFonts w:eastAsia="Calibri"/>
          <w:lang w:val="lt-LT"/>
        </w:rPr>
        <w:t>priežastinio ryšio</w:t>
      </w:r>
      <w:r w:rsidR="004D125D">
        <w:rPr>
          <w:rFonts w:eastAsia="Calibri"/>
          <w:lang w:val="lt-LT"/>
        </w:rPr>
        <w:t>,</w:t>
      </w:r>
      <w:r w:rsidR="004D125D" w:rsidRPr="004D125D">
        <w:rPr>
          <w:rFonts w:eastAsia="Calibri"/>
          <w:lang w:val="lt-LT"/>
        </w:rPr>
        <w:t xml:space="preserve"> </w:t>
      </w:r>
      <w:r w:rsidRPr="007F5BAA">
        <w:rPr>
          <w:rFonts w:eastAsia="Calibri"/>
          <w:lang w:val="lt-LT"/>
        </w:rPr>
        <w:t xml:space="preserve">todėl pirmosios instancijos teismas pagrįstai priėmė </w:t>
      </w:r>
      <w:r w:rsidR="004D125D">
        <w:rPr>
          <w:rFonts w:eastAsia="Calibri"/>
          <w:lang w:val="lt-LT"/>
        </w:rPr>
        <w:t xml:space="preserve">jam </w:t>
      </w:r>
      <w:r w:rsidRPr="007F5BAA">
        <w:rPr>
          <w:rFonts w:eastAsia="Calibri"/>
          <w:lang w:val="lt-LT"/>
        </w:rPr>
        <w:t>išteisinamąjį nuosprendį. Tokią išvadą išplėstinė teisėjų kolegija grindžia šiais argumentais:</w:t>
      </w:r>
    </w:p>
    <w:p w14:paraId="3659BAE9" w14:textId="7C2B0882" w:rsidR="00F07B06" w:rsidRPr="007F5BAA" w:rsidRDefault="00F07B06" w:rsidP="00AD78D3">
      <w:pPr>
        <w:pStyle w:val="Sraopastraipa"/>
        <w:numPr>
          <w:ilvl w:val="1"/>
          <w:numId w:val="1"/>
        </w:numPr>
        <w:ind w:left="845" w:hanging="488"/>
        <w:contextualSpacing w:val="0"/>
        <w:rPr>
          <w:rFonts w:eastAsia="Calibri"/>
          <w:lang w:val="lt-LT"/>
        </w:rPr>
      </w:pPr>
      <w:r w:rsidRPr="007F5BAA">
        <w:rPr>
          <w:rFonts w:eastAsia="Calibri"/>
          <w:lang w:val="lt-LT"/>
        </w:rPr>
        <w:t xml:space="preserve">Pirma, byloje nustatyta, kad </w:t>
      </w:r>
      <w:r w:rsidR="005E2EDD" w:rsidRPr="007F5BAA">
        <w:rPr>
          <w:rFonts w:eastAsia="Calibri"/>
          <w:lang w:val="lt-LT"/>
        </w:rPr>
        <w:t>v</w:t>
      </w:r>
      <w:r w:rsidR="005E2EDD" w:rsidRPr="007F5BAA">
        <w:rPr>
          <w:lang w:val="lt-LT"/>
        </w:rPr>
        <w:t>ažiuojamojoje dalyje yra dvi eismo juost</w:t>
      </w:r>
      <w:r w:rsidR="00C16EFF" w:rsidRPr="007F5BAA">
        <w:rPr>
          <w:lang w:val="lt-LT"/>
        </w:rPr>
        <w:t>o</w:t>
      </w:r>
      <w:r w:rsidR="005E2EDD" w:rsidRPr="007F5BAA">
        <w:rPr>
          <w:lang w:val="lt-LT"/>
        </w:rPr>
        <w:t>s</w:t>
      </w:r>
      <w:r w:rsidR="00D5612B" w:rsidRPr="007F5BAA">
        <w:rPr>
          <w:lang w:val="lt-LT"/>
        </w:rPr>
        <w:t>.</w:t>
      </w:r>
      <w:r w:rsidR="005E2EDD" w:rsidRPr="007F5BAA">
        <w:rPr>
          <w:lang w:val="lt-LT"/>
        </w:rPr>
        <w:t xml:space="preserve"> Ir nors </w:t>
      </w:r>
      <w:r w:rsidR="00C16EFF" w:rsidRPr="007F5BAA">
        <w:rPr>
          <w:lang w:val="lt-LT"/>
        </w:rPr>
        <w:t>eismo</w:t>
      </w:r>
      <w:r w:rsidR="005E2EDD" w:rsidRPr="007F5BAA">
        <w:rPr>
          <w:lang w:val="lt-LT"/>
        </w:rPr>
        <w:t xml:space="preserve"> įvyk</w:t>
      </w:r>
      <w:r w:rsidR="00C16EFF" w:rsidRPr="007F5BAA">
        <w:rPr>
          <w:lang w:val="lt-LT"/>
        </w:rPr>
        <w:t>io metu</w:t>
      </w:r>
      <w:r w:rsidR="005E2EDD" w:rsidRPr="007F5BAA">
        <w:rPr>
          <w:lang w:val="lt-LT"/>
        </w:rPr>
        <w:t xml:space="preserve"> eismo juost</w:t>
      </w:r>
      <w:r w:rsidR="00271015">
        <w:rPr>
          <w:lang w:val="lt-LT"/>
        </w:rPr>
        <w:t xml:space="preserve">os </w:t>
      </w:r>
      <w:r w:rsidR="005E2EDD" w:rsidRPr="007F5BAA">
        <w:rPr>
          <w:lang w:val="lt-LT"/>
        </w:rPr>
        <w:t>nebuvo nubraižyt</w:t>
      </w:r>
      <w:r w:rsidR="00271015">
        <w:rPr>
          <w:lang w:val="lt-LT"/>
        </w:rPr>
        <w:t>os</w:t>
      </w:r>
      <w:r w:rsidR="005E2EDD" w:rsidRPr="007F5BAA">
        <w:rPr>
          <w:lang w:val="lt-LT"/>
        </w:rPr>
        <w:t xml:space="preserve"> (j</w:t>
      </w:r>
      <w:r w:rsidR="00271015">
        <w:rPr>
          <w:lang w:val="lt-LT"/>
        </w:rPr>
        <w:t>os</w:t>
      </w:r>
      <w:r w:rsidR="005E2EDD" w:rsidRPr="007F5BAA">
        <w:rPr>
          <w:lang w:val="lt-LT"/>
        </w:rPr>
        <w:t xml:space="preserve"> yra menam</w:t>
      </w:r>
      <w:r w:rsidR="00271015">
        <w:rPr>
          <w:lang w:val="lt-LT"/>
        </w:rPr>
        <w:t>os</w:t>
      </w:r>
      <w:r w:rsidR="005E2EDD" w:rsidRPr="007F5BAA">
        <w:rPr>
          <w:lang w:val="lt-LT"/>
        </w:rPr>
        <w:t>, įsivaizduojam</w:t>
      </w:r>
      <w:r w:rsidR="00271015">
        <w:rPr>
          <w:lang w:val="lt-LT"/>
        </w:rPr>
        <w:t>os</w:t>
      </w:r>
      <w:r w:rsidR="005E2EDD" w:rsidRPr="007F5BAA">
        <w:rPr>
          <w:lang w:val="lt-LT"/>
        </w:rPr>
        <w:t xml:space="preserve">), </w:t>
      </w:r>
      <w:r w:rsidR="007F5BAA" w:rsidRPr="007F5BAA">
        <w:rPr>
          <w:lang w:val="lt-LT"/>
        </w:rPr>
        <w:t xml:space="preserve">tiek kaltinamajame akte, tiek </w:t>
      </w:r>
      <w:r w:rsidR="001A170C">
        <w:rPr>
          <w:lang w:val="lt-LT"/>
        </w:rPr>
        <w:t xml:space="preserve">apeliacinės instancijos teismo </w:t>
      </w:r>
      <w:r w:rsidR="007F5BAA" w:rsidRPr="007F5BAA">
        <w:rPr>
          <w:lang w:val="lt-LT"/>
        </w:rPr>
        <w:t>nuosprendži</w:t>
      </w:r>
      <w:r w:rsidR="001A170C">
        <w:rPr>
          <w:lang w:val="lt-LT"/>
        </w:rPr>
        <w:t xml:space="preserve">o </w:t>
      </w:r>
      <w:r w:rsidR="00087870">
        <w:rPr>
          <w:lang w:val="lt-LT"/>
        </w:rPr>
        <w:t xml:space="preserve">aprašomojoje </w:t>
      </w:r>
      <w:r w:rsidR="001A170C">
        <w:rPr>
          <w:lang w:val="lt-LT"/>
        </w:rPr>
        <w:t>dalyje nurodyta</w:t>
      </w:r>
      <w:r w:rsidR="007F5BAA" w:rsidRPr="007F5BAA">
        <w:rPr>
          <w:lang w:val="lt-LT"/>
        </w:rPr>
        <w:t xml:space="preserve">, kad </w:t>
      </w:r>
      <w:r w:rsidRPr="007F5BAA">
        <w:rPr>
          <w:rFonts w:eastAsia="Calibri"/>
          <w:lang w:val="lt-LT"/>
        </w:rPr>
        <w:t xml:space="preserve">L. </w:t>
      </w:r>
      <w:bookmarkStart w:id="50" w:name="Buk_39"/>
      <w:r w:rsidR="00680441" w:rsidRPr="00680441">
        <w:rPr>
          <w:rFonts w:eastAsia="Calibri"/>
          <w:lang w:val="lt-LT"/>
        </w:rPr>
        <w:t xml:space="preserve">J. L. </w:t>
      </w:r>
      <w:bookmarkEnd w:id="50"/>
      <w:r w:rsidRPr="007F5BAA">
        <w:rPr>
          <w:rFonts w:eastAsia="Calibri"/>
          <w:lang w:val="lt-LT"/>
        </w:rPr>
        <w:t xml:space="preserve">vairuojamas automobilis </w:t>
      </w:r>
      <w:r w:rsidR="004A5890">
        <w:rPr>
          <w:rFonts w:eastAsia="Calibri"/>
          <w:lang w:val="lt-LT"/>
        </w:rPr>
        <w:t xml:space="preserve">prieš posūkį į dešinę važiavo pirmąja eismo juosta. </w:t>
      </w:r>
      <w:r w:rsidR="00716830">
        <w:rPr>
          <w:rFonts w:eastAsia="Calibri"/>
          <w:lang w:val="lt-LT"/>
        </w:rPr>
        <w:t xml:space="preserve">Byloje nėra nustatyta ir nebuvo įrodinėjama, kad </w:t>
      </w:r>
      <w:r w:rsidR="00716830" w:rsidRPr="00E8177A">
        <w:rPr>
          <w:rFonts w:eastAsia="Calibri"/>
          <w:lang w:val="lt-LT"/>
        </w:rPr>
        <w:t xml:space="preserve">L. </w:t>
      </w:r>
      <w:bookmarkStart w:id="51" w:name="Buk_40"/>
      <w:r w:rsidR="00680441" w:rsidRPr="00680441">
        <w:rPr>
          <w:rFonts w:eastAsia="Calibri"/>
          <w:lang w:val="lt-LT"/>
        </w:rPr>
        <w:t xml:space="preserve">J. L. </w:t>
      </w:r>
      <w:bookmarkEnd w:id="51"/>
      <w:r w:rsidR="00716830">
        <w:rPr>
          <w:rFonts w:eastAsia="Calibri"/>
          <w:lang w:val="lt-LT"/>
        </w:rPr>
        <w:t>vairuojamas automobilis prieš posūkį būtų persirikiavęs iš pirmosios į antrąją eismo juost</w:t>
      </w:r>
      <w:r w:rsidR="00B34686">
        <w:rPr>
          <w:rFonts w:eastAsia="Calibri"/>
          <w:lang w:val="lt-LT"/>
        </w:rPr>
        <w:t>ą</w:t>
      </w:r>
      <w:r w:rsidR="00716830">
        <w:rPr>
          <w:rFonts w:eastAsia="Calibri"/>
          <w:lang w:val="lt-LT"/>
        </w:rPr>
        <w:t>, jis nebuvo kaltinamas</w:t>
      </w:r>
      <w:r w:rsidR="004E6F64" w:rsidRPr="004E6F64">
        <w:rPr>
          <w:rFonts w:eastAsia="Calibri"/>
          <w:lang w:val="lt-LT"/>
        </w:rPr>
        <w:t xml:space="preserve"> </w:t>
      </w:r>
      <w:r w:rsidR="004E6F64">
        <w:rPr>
          <w:rFonts w:eastAsia="Calibri"/>
          <w:lang w:val="lt-LT"/>
        </w:rPr>
        <w:t>dėl tokios aplinkybės</w:t>
      </w:r>
      <w:r w:rsidR="00716830">
        <w:rPr>
          <w:rFonts w:eastAsia="Calibri"/>
          <w:lang w:val="lt-LT"/>
        </w:rPr>
        <w:t xml:space="preserve">. Todėl apeliacinės instancijos </w:t>
      </w:r>
      <w:r w:rsidR="00B34686">
        <w:rPr>
          <w:rFonts w:eastAsia="Calibri"/>
          <w:lang w:val="lt-LT"/>
        </w:rPr>
        <w:t xml:space="preserve">teismo </w:t>
      </w:r>
      <w:r w:rsidR="00662FF4">
        <w:rPr>
          <w:rFonts w:eastAsia="Calibri"/>
          <w:lang w:val="lt-LT"/>
        </w:rPr>
        <w:t xml:space="preserve">alternatyvi </w:t>
      </w:r>
      <w:r w:rsidR="00716830">
        <w:rPr>
          <w:rFonts w:eastAsia="Calibri"/>
          <w:lang w:val="lt-LT"/>
        </w:rPr>
        <w:t xml:space="preserve">išvada, kad </w:t>
      </w:r>
      <w:r w:rsidR="00716830" w:rsidRPr="001A170C">
        <w:rPr>
          <w:rFonts w:eastAsia="Calibri"/>
          <w:lang w:val="lt-LT"/>
        </w:rPr>
        <w:t xml:space="preserve">L. </w:t>
      </w:r>
      <w:bookmarkStart w:id="52" w:name="Buk_41"/>
      <w:r w:rsidR="00680441" w:rsidRPr="00680441">
        <w:rPr>
          <w:rFonts w:eastAsia="Calibri"/>
          <w:lang w:val="lt-LT"/>
        </w:rPr>
        <w:t xml:space="preserve">J. L. </w:t>
      </w:r>
      <w:bookmarkEnd w:id="52"/>
      <w:r w:rsidR="00716830" w:rsidRPr="001A170C">
        <w:rPr>
          <w:rFonts w:eastAsia="Calibri"/>
          <w:lang w:val="lt-LT"/>
        </w:rPr>
        <w:t xml:space="preserve">suko </w:t>
      </w:r>
      <w:r w:rsidR="00662FF4">
        <w:rPr>
          <w:rFonts w:eastAsia="Calibri"/>
          <w:lang w:val="lt-LT"/>
        </w:rPr>
        <w:t>„</w:t>
      </w:r>
      <w:r w:rsidR="00716830" w:rsidRPr="001A170C">
        <w:rPr>
          <w:rFonts w:eastAsia="Calibri"/>
          <w:lang w:val="lt-LT"/>
        </w:rPr>
        <w:t>iš dalies arba visiškai būdamas kairėje kelio važiuojamosios dalies pusėje</w:t>
      </w:r>
      <w:r w:rsidR="00662FF4">
        <w:rPr>
          <w:rFonts w:eastAsia="Calibri"/>
          <w:lang w:val="lt-LT"/>
        </w:rPr>
        <w:t>“</w:t>
      </w:r>
      <w:r w:rsidR="00716830">
        <w:rPr>
          <w:rFonts w:eastAsia="Calibri"/>
          <w:lang w:val="lt-LT"/>
        </w:rPr>
        <w:t xml:space="preserve"> (nuosprendžio 22 punktas)</w:t>
      </w:r>
      <w:r w:rsidR="00B34686">
        <w:rPr>
          <w:rFonts w:eastAsia="Calibri"/>
          <w:lang w:val="lt-LT"/>
        </w:rPr>
        <w:t>,</w:t>
      </w:r>
      <w:r w:rsidR="00716830">
        <w:rPr>
          <w:rFonts w:eastAsia="Calibri"/>
          <w:lang w:val="lt-LT"/>
        </w:rPr>
        <w:t xml:space="preserve"> vertintina </w:t>
      </w:r>
      <w:r w:rsidR="00851FA0">
        <w:rPr>
          <w:rFonts w:eastAsia="Calibri"/>
          <w:lang w:val="lt-LT"/>
        </w:rPr>
        <w:t xml:space="preserve">kaip </w:t>
      </w:r>
      <w:r w:rsidR="00FE7B2B">
        <w:rPr>
          <w:rFonts w:eastAsia="Calibri"/>
          <w:lang w:val="lt-LT"/>
        </w:rPr>
        <w:t xml:space="preserve">prielaida, neatitinkanti </w:t>
      </w:r>
      <w:r w:rsidR="00716830">
        <w:rPr>
          <w:rFonts w:eastAsia="Calibri"/>
          <w:lang w:val="lt-LT"/>
        </w:rPr>
        <w:t>kaltinim</w:t>
      </w:r>
      <w:r w:rsidR="00F13C31">
        <w:rPr>
          <w:rFonts w:eastAsia="Calibri"/>
          <w:lang w:val="lt-LT"/>
        </w:rPr>
        <w:t>o turin</w:t>
      </w:r>
      <w:r w:rsidR="00FE7B2B">
        <w:rPr>
          <w:rFonts w:eastAsia="Calibri"/>
          <w:lang w:val="lt-LT"/>
        </w:rPr>
        <w:t>io</w:t>
      </w:r>
      <w:r w:rsidR="00716830">
        <w:rPr>
          <w:rFonts w:eastAsia="Calibri"/>
          <w:lang w:val="lt-LT"/>
        </w:rPr>
        <w:t>.</w:t>
      </w:r>
      <w:r w:rsidR="00E8177A">
        <w:rPr>
          <w:rFonts w:eastAsia="Calibri"/>
          <w:lang w:val="lt-LT"/>
        </w:rPr>
        <w:t xml:space="preserve"> </w:t>
      </w:r>
      <w:r w:rsidR="00662FF4">
        <w:rPr>
          <w:rFonts w:eastAsia="Calibri"/>
          <w:lang w:val="lt-LT"/>
        </w:rPr>
        <w:t>Visiško buvimo antroje eismo juostoje aplinkybė, jei būtų įrodyta, iš esmės keistų kaltinimo turinį</w:t>
      </w:r>
      <w:r w:rsidR="00F13C31">
        <w:rPr>
          <w:rFonts w:eastAsia="Calibri"/>
          <w:lang w:val="lt-LT"/>
        </w:rPr>
        <w:t xml:space="preserve">, todėl tokios aplinkybės, juo labiau kaip tik galimos alternatyvos, </w:t>
      </w:r>
      <w:r w:rsidR="00B0378C">
        <w:rPr>
          <w:rFonts w:eastAsia="Calibri"/>
          <w:lang w:val="lt-LT"/>
        </w:rPr>
        <w:t>paminėjimas tarp motyvų</w:t>
      </w:r>
      <w:r w:rsidR="00B0378C" w:rsidDel="00B34686">
        <w:rPr>
          <w:rFonts w:eastAsia="Calibri"/>
          <w:lang w:val="lt-LT"/>
        </w:rPr>
        <w:t xml:space="preserve"> </w:t>
      </w:r>
      <w:r w:rsidR="00B34686">
        <w:rPr>
          <w:rFonts w:eastAsia="Calibri"/>
          <w:lang w:val="lt-LT"/>
        </w:rPr>
        <w:t>nesuderinama</w:t>
      </w:r>
      <w:r w:rsidR="00D57D77">
        <w:rPr>
          <w:rFonts w:eastAsia="Calibri"/>
          <w:lang w:val="lt-LT"/>
        </w:rPr>
        <w:t>s</w:t>
      </w:r>
      <w:r w:rsidR="00B34686">
        <w:rPr>
          <w:rFonts w:eastAsia="Calibri"/>
          <w:lang w:val="lt-LT"/>
        </w:rPr>
        <w:t xml:space="preserve"> </w:t>
      </w:r>
      <w:r w:rsidR="00F13C31">
        <w:rPr>
          <w:rFonts w:eastAsia="Calibri"/>
          <w:lang w:val="lt-LT"/>
        </w:rPr>
        <w:t xml:space="preserve">su kaltinamojo teise žinoti kaltinimo turinį ir nuo jo gintis. </w:t>
      </w:r>
      <w:r w:rsidR="00716830">
        <w:rPr>
          <w:rFonts w:eastAsia="Calibri"/>
          <w:lang w:val="lt-LT"/>
        </w:rPr>
        <w:t>Šiame kontekste pažymėtina, kad p</w:t>
      </w:r>
      <w:r w:rsidR="00E8177A">
        <w:rPr>
          <w:rFonts w:eastAsia="Calibri"/>
          <w:lang w:val="lt-LT"/>
        </w:rPr>
        <w:t xml:space="preserve">irmąja eismo juosta važiuojanti ir </w:t>
      </w:r>
      <w:r w:rsidR="00E8177A" w:rsidRPr="007F5BAA">
        <w:rPr>
          <w:rFonts w:eastAsia="Calibri"/>
          <w:lang w:val="lt-LT"/>
        </w:rPr>
        <w:t xml:space="preserve">posūkį į dešinę daranti </w:t>
      </w:r>
      <w:r w:rsidR="00E8177A">
        <w:rPr>
          <w:rFonts w:eastAsia="Calibri"/>
          <w:lang w:val="lt-LT"/>
        </w:rPr>
        <w:t xml:space="preserve">transporto priemonė </w:t>
      </w:r>
      <w:r w:rsidRPr="007F5BAA">
        <w:rPr>
          <w:rFonts w:eastAsia="Calibri"/>
          <w:lang w:val="lt-LT"/>
        </w:rPr>
        <w:t xml:space="preserve">neprivalo praleisti (duoti kelią) iš paskos ta pačia eismo juosta važiuojančios transporto priemonės (tokio reikalavimo būtų neįmanoma laikytis). Todėl pritartina pirmosios instancijos teismo išvadai, kad </w:t>
      </w:r>
      <w:r w:rsidR="00B34686">
        <w:rPr>
          <w:rFonts w:eastAsia="Calibri"/>
          <w:lang w:val="lt-LT"/>
        </w:rPr>
        <w:t xml:space="preserve">automobilio vairuotojui </w:t>
      </w:r>
      <w:r w:rsidRPr="007F5BAA">
        <w:rPr>
          <w:rFonts w:eastAsia="Calibri"/>
          <w:lang w:val="lt-LT"/>
        </w:rPr>
        <w:t xml:space="preserve">L. </w:t>
      </w:r>
      <w:bookmarkStart w:id="53" w:name="Buk_42"/>
      <w:r w:rsidR="00680441" w:rsidRPr="00680441">
        <w:rPr>
          <w:rFonts w:eastAsia="Calibri"/>
          <w:lang w:val="lt-LT"/>
        </w:rPr>
        <w:t xml:space="preserve">J. L. </w:t>
      </w:r>
      <w:bookmarkEnd w:id="53"/>
      <w:r w:rsidRPr="007F5BAA">
        <w:rPr>
          <w:rFonts w:eastAsia="Calibri"/>
          <w:lang w:val="lt-LT"/>
        </w:rPr>
        <w:t>buvo nepagrįstai inkriminuojamas KET 101 punkt</w:t>
      </w:r>
      <w:r w:rsidR="009C723D" w:rsidRPr="007F5BAA">
        <w:rPr>
          <w:rFonts w:eastAsia="Calibri"/>
          <w:lang w:val="lt-LT"/>
        </w:rPr>
        <w:t>o</w:t>
      </w:r>
      <w:r w:rsidRPr="007F5BAA">
        <w:rPr>
          <w:rFonts w:eastAsia="Calibri"/>
          <w:lang w:val="lt-LT"/>
        </w:rPr>
        <w:t>, reikalaujan</w:t>
      </w:r>
      <w:r w:rsidR="009C723D" w:rsidRPr="007F5BAA">
        <w:rPr>
          <w:rFonts w:eastAsia="Calibri"/>
          <w:lang w:val="lt-LT"/>
        </w:rPr>
        <w:t>čio</w:t>
      </w:r>
      <w:r w:rsidRPr="007F5BAA">
        <w:rPr>
          <w:rFonts w:eastAsia="Calibri"/>
          <w:lang w:val="lt-LT"/>
        </w:rPr>
        <w:t xml:space="preserve"> duoti kelią kitiems eismo dalyviams</w:t>
      </w:r>
      <w:r w:rsidR="009C723D" w:rsidRPr="007F5BAA">
        <w:rPr>
          <w:rFonts w:eastAsia="Calibri"/>
          <w:lang w:val="lt-LT"/>
        </w:rPr>
        <w:t>, pažeidimas</w:t>
      </w:r>
      <w:r w:rsidRPr="007F5BAA">
        <w:rPr>
          <w:rFonts w:eastAsia="Calibri"/>
          <w:lang w:val="lt-LT"/>
        </w:rPr>
        <w:t xml:space="preserve">. Konstatuotina, kad ši kaltinimo </w:t>
      </w:r>
      <w:r w:rsidR="00B34686">
        <w:rPr>
          <w:rFonts w:eastAsia="Calibri"/>
          <w:lang w:val="lt-LT"/>
        </w:rPr>
        <w:t>automobilio vairuotojui</w:t>
      </w:r>
      <w:r w:rsidR="00B34686" w:rsidRPr="007F5BAA">
        <w:rPr>
          <w:rFonts w:eastAsia="Calibri"/>
          <w:lang w:val="lt-LT"/>
        </w:rPr>
        <w:t xml:space="preserve"> </w:t>
      </w:r>
      <w:r w:rsidRPr="007F5BAA">
        <w:rPr>
          <w:rFonts w:eastAsia="Calibri"/>
          <w:lang w:val="lt-LT"/>
        </w:rPr>
        <w:t xml:space="preserve">L. </w:t>
      </w:r>
      <w:bookmarkStart w:id="54" w:name="Buk_43"/>
      <w:r w:rsidR="00680441" w:rsidRPr="00680441">
        <w:rPr>
          <w:rFonts w:eastAsia="Calibri"/>
          <w:lang w:val="lt-LT"/>
        </w:rPr>
        <w:t xml:space="preserve">J. L. </w:t>
      </w:r>
      <w:bookmarkEnd w:id="54"/>
      <w:r w:rsidRPr="007F5BAA">
        <w:rPr>
          <w:rFonts w:eastAsia="Calibri"/>
          <w:lang w:val="lt-LT"/>
        </w:rPr>
        <w:t>dalis, kad jis, važiuodamas pirmąj</w:t>
      </w:r>
      <w:r w:rsidR="009C723D" w:rsidRPr="007F5BAA">
        <w:rPr>
          <w:rFonts w:eastAsia="Calibri"/>
          <w:lang w:val="lt-LT"/>
        </w:rPr>
        <w:t xml:space="preserve">a </w:t>
      </w:r>
      <w:r w:rsidRPr="007F5BAA">
        <w:rPr>
          <w:rFonts w:eastAsia="Calibri"/>
          <w:lang w:val="lt-LT"/>
        </w:rPr>
        <w:t xml:space="preserve">eismo juosta, nepraleido ta pačia kryptimi pirmąja eismo juosta iš paskos tiesiai </w:t>
      </w:r>
      <w:r w:rsidR="00B34686" w:rsidRPr="007F5BAA">
        <w:rPr>
          <w:rFonts w:eastAsia="Calibri"/>
          <w:lang w:val="lt-LT"/>
        </w:rPr>
        <w:t>važi</w:t>
      </w:r>
      <w:r w:rsidR="00B34686">
        <w:rPr>
          <w:rFonts w:eastAsia="Calibri"/>
          <w:lang w:val="lt-LT"/>
        </w:rPr>
        <w:t>uojančio</w:t>
      </w:r>
      <w:r w:rsidR="00B34686" w:rsidRPr="007F5BAA">
        <w:rPr>
          <w:rFonts w:eastAsia="Calibri"/>
          <w:lang w:val="lt-LT"/>
        </w:rPr>
        <w:t xml:space="preserve"> </w:t>
      </w:r>
      <w:r w:rsidRPr="007F5BAA">
        <w:rPr>
          <w:rFonts w:eastAsia="Calibri"/>
          <w:lang w:val="lt-LT"/>
        </w:rPr>
        <w:t xml:space="preserve">motociklo, yra nelogiška ir prieštaringa. </w:t>
      </w:r>
      <w:r w:rsidR="007E5A7E">
        <w:rPr>
          <w:rFonts w:eastAsia="Calibri"/>
          <w:lang w:val="lt-LT"/>
        </w:rPr>
        <w:t xml:space="preserve">Taip pat </w:t>
      </w:r>
      <w:r w:rsidRPr="007F5BAA">
        <w:rPr>
          <w:rFonts w:eastAsia="Calibri"/>
          <w:lang w:val="lt-LT"/>
        </w:rPr>
        <w:t xml:space="preserve">nelogiškas ir eismo tvarkai prieštaraujantis yra apeliacinės instancijos teismo argumentas, kad jeigu automobilio vairuotojas nebūtų savo </w:t>
      </w:r>
      <w:r w:rsidR="00B34686" w:rsidRPr="007F5BAA">
        <w:rPr>
          <w:rFonts w:eastAsia="Calibri"/>
          <w:lang w:val="lt-LT"/>
        </w:rPr>
        <w:t>vairuo</w:t>
      </w:r>
      <w:r w:rsidR="00B34686">
        <w:rPr>
          <w:rFonts w:eastAsia="Calibri"/>
          <w:lang w:val="lt-LT"/>
        </w:rPr>
        <w:t>jamu</w:t>
      </w:r>
      <w:r w:rsidR="00B34686" w:rsidRPr="007F5BAA">
        <w:rPr>
          <w:rFonts w:eastAsia="Calibri"/>
          <w:lang w:val="lt-LT"/>
        </w:rPr>
        <w:t xml:space="preserve"> </w:t>
      </w:r>
      <w:r w:rsidRPr="007F5BAA">
        <w:rPr>
          <w:rFonts w:eastAsia="Calibri"/>
          <w:lang w:val="lt-LT"/>
        </w:rPr>
        <w:t xml:space="preserve">automobiliu užtvėręs kelio motociklo vairuotojui, susidūrimas nebūtų įvykęs. </w:t>
      </w:r>
      <w:r w:rsidR="006A0D2E" w:rsidRPr="007F5BAA">
        <w:rPr>
          <w:rFonts w:eastAsia="Calibri"/>
          <w:lang w:val="lt-LT"/>
        </w:rPr>
        <w:t>A</w:t>
      </w:r>
      <w:r w:rsidRPr="007F5BAA">
        <w:rPr>
          <w:rFonts w:eastAsia="Calibri"/>
          <w:lang w:val="lt-LT"/>
        </w:rPr>
        <w:t xml:space="preserve">tkreiptinas dėmesys į tai, kad pagal eismo tvarką posūkis į dešinę iš pirmosios eismo juostos nelaikytinas kelio užtvėrimu ta pačia eismo juosta iš paskos važiuojančiai transporto priemonei. </w:t>
      </w:r>
    </w:p>
    <w:p w14:paraId="377AA9C6" w14:textId="48DF2EB0" w:rsidR="00E91E28" w:rsidRDefault="00F07B06" w:rsidP="00AB0AA9">
      <w:pPr>
        <w:pStyle w:val="Sraopastraipa"/>
        <w:numPr>
          <w:ilvl w:val="1"/>
          <w:numId w:val="1"/>
        </w:numPr>
        <w:ind w:left="845" w:hanging="488"/>
        <w:contextualSpacing w:val="0"/>
        <w:rPr>
          <w:rFonts w:eastAsia="Calibri"/>
          <w:lang w:val="lt-LT"/>
        </w:rPr>
      </w:pPr>
      <w:r w:rsidRPr="00E91E28">
        <w:rPr>
          <w:rFonts w:eastAsia="Calibri"/>
          <w:lang w:val="lt-LT"/>
        </w:rPr>
        <w:t xml:space="preserve">Antra, iš bylos medžiagos matyti, kad </w:t>
      </w:r>
      <w:r w:rsidR="005E2EDD" w:rsidRPr="00E91E28">
        <w:rPr>
          <w:rFonts w:eastAsia="Calibri"/>
          <w:lang w:val="lt-LT"/>
        </w:rPr>
        <w:t>iš</w:t>
      </w:r>
      <w:r w:rsidRPr="00E91E28">
        <w:rPr>
          <w:rFonts w:eastAsia="Calibri"/>
          <w:lang w:val="lt-LT"/>
        </w:rPr>
        <w:t xml:space="preserve"> dešinės kelio pusės </w:t>
      </w:r>
      <w:r w:rsidR="005E2EDD" w:rsidRPr="00E91E28">
        <w:rPr>
          <w:rFonts w:eastAsia="Calibri"/>
          <w:lang w:val="lt-LT"/>
        </w:rPr>
        <w:t xml:space="preserve">yra </w:t>
      </w:r>
      <w:r w:rsidRPr="00E91E28">
        <w:rPr>
          <w:rFonts w:eastAsia="Calibri"/>
          <w:lang w:val="lt-LT"/>
        </w:rPr>
        <w:t xml:space="preserve">įrengtos vietos automobiliams įstrižai </w:t>
      </w:r>
      <w:r w:rsidR="00B34686" w:rsidRPr="00E91E28">
        <w:rPr>
          <w:rFonts w:eastAsia="Calibri"/>
          <w:lang w:val="lt-LT"/>
        </w:rPr>
        <w:t>pastatyti</w:t>
      </w:r>
      <w:r w:rsidRPr="00E91E28">
        <w:rPr>
          <w:rFonts w:eastAsia="Calibri"/>
          <w:lang w:val="lt-LT"/>
        </w:rPr>
        <w:t>, be to, tarp stovėjimo vietų įrengtos salelės, kurios jungiasi su važiuojamąja kelio dalimi. Jeigu aikštelėje yra stovinčių automobilių, atlikti posūkį į dešinę nuo pat kelio dešiniojo krašto yra techniškai sudėtinga</w:t>
      </w:r>
      <w:r w:rsidR="003515F8" w:rsidRPr="00E91E28">
        <w:rPr>
          <w:rFonts w:eastAsia="Calibri"/>
          <w:lang w:val="lt-LT"/>
        </w:rPr>
        <w:t xml:space="preserve"> ar net neįmanoma</w:t>
      </w:r>
      <w:r w:rsidRPr="00E91E28">
        <w:rPr>
          <w:rFonts w:eastAsia="Calibri"/>
          <w:lang w:val="lt-LT"/>
        </w:rPr>
        <w:t xml:space="preserve">. Kai </w:t>
      </w:r>
      <w:r w:rsidR="00B34686" w:rsidRPr="00E91E28">
        <w:rPr>
          <w:rFonts w:eastAsia="Calibri"/>
          <w:lang w:val="lt-LT"/>
        </w:rPr>
        <w:t>sukama</w:t>
      </w:r>
      <w:r w:rsidRPr="00E91E28">
        <w:rPr>
          <w:rFonts w:eastAsia="Calibri"/>
          <w:lang w:val="lt-LT"/>
        </w:rPr>
        <w:t xml:space="preserve"> į automobili</w:t>
      </w:r>
      <w:r w:rsidR="00851FA0" w:rsidRPr="00E91E28">
        <w:rPr>
          <w:rFonts w:eastAsia="Calibri"/>
          <w:lang w:val="lt-LT"/>
        </w:rPr>
        <w:t>ų</w:t>
      </w:r>
      <w:r w:rsidRPr="00E91E28">
        <w:rPr>
          <w:rFonts w:eastAsia="Calibri"/>
          <w:lang w:val="lt-LT"/>
        </w:rPr>
        <w:t xml:space="preserve"> stovėjimo vietą, esančią prie pat tokios salelės, įsukti į šią vietą nuo pat dešiniojo krašto</w:t>
      </w:r>
      <w:r w:rsidR="00B34686" w:rsidRPr="00E91E28">
        <w:rPr>
          <w:rFonts w:eastAsia="Calibri"/>
          <w:lang w:val="lt-LT"/>
        </w:rPr>
        <w:t>,</w:t>
      </w:r>
      <w:r w:rsidRPr="00E91E28">
        <w:rPr>
          <w:rFonts w:eastAsia="Calibri"/>
          <w:lang w:val="lt-LT"/>
        </w:rPr>
        <w:t xml:space="preserve"> neužvažiavus ratais ant </w:t>
      </w:r>
      <w:r w:rsidR="00F31583" w:rsidRPr="00E91E28">
        <w:rPr>
          <w:rFonts w:eastAsia="Calibri"/>
          <w:lang w:val="lt-LT"/>
        </w:rPr>
        <w:t xml:space="preserve">įrengtos salelės </w:t>
      </w:r>
      <w:proofErr w:type="spellStart"/>
      <w:r w:rsidRPr="00E91E28">
        <w:rPr>
          <w:rFonts w:eastAsia="Calibri"/>
          <w:lang w:val="lt-LT"/>
        </w:rPr>
        <w:t>bortelio</w:t>
      </w:r>
      <w:proofErr w:type="spellEnd"/>
      <w:r w:rsidR="00D57D77" w:rsidRPr="00E91E28">
        <w:rPr>
          <w:rFonts w:eastAsia="Calibri"/>
          <w:lang w:val="lt-LT"/>
        </w:rPr>
        <w:t>,</w:t>
      </w:r>
      <w:r w:rsidRPr="00E91E28">
        <w:rPr>
          <w:rFonts w:eastAsia="Calibri"/>
          <w:lang w:val="lt-LT"/>
        </w:rPr>
        <w:t xml:space="preserve"> taip pat sudėtinga.</w:t>
      </w:r>
      <w:r w:rsidR="0088410C" w:rsidRPr="00E91E28">
        <w:rPr>
          <w:rFonts w:eastAsia="Calibri"/>
          <w:lang w:val="lt-LT"/>
        </w:rPr>
        <w:t xml:space="preserve"> </w:t>
      </w:r>
      <w:r w:rsidR="00E8320D" w:rsidRPr="00E91E28">
        <w:rPr>
          <w:rFonts w:eastAsia="Calibri"/>
          <w:lang w:val="lt-LT"/>
        </w:rPr>
        <w:t>Aptartos</w:t>
      </w:r>
      <w:r w:rsidR="0088410C" w:rsidRPr="00E91E28">
        <w:rPr>
          <w:rFonts w:eastAsia="Calibri"/>
          <w:lang w:val="lt-LT"/>
        </w:rPr>
        <w:t xml:space="preserve"> aplinkybės </w:t>
      </w:r>
      <w:r w:rsidR="004A5890" w:rsidRPr="00E91E28">
        <w:rPr>
          <w:rFonts w:eastAsia="Calibri"/>
          <w:lang w:val="lt-LT"/>
        </w:rPr>
        <w:t xml:space="preserve">iš esmės atitinka </w:t>
      </w:r>
      <w:r w:rsidR="0088410C" w:rsidRPr="00E91E28">
        <w:rPr>
          <w:rFonts w:eastAsia="Calibri"/>
          <w:lang w:val="lt-LT"/>
        </w:rPr>
        <w:t xml:space="preserve">KET 107 punkte </w:t>
      </w:r>
      <w:r w:rsidR="00DA1D59" w:rsidRPr="00E91E28">
        <w:rPr>
          <w:rFonts w:eastAsia="Calibri"/>
          <w:lang w:val="lt-LT"/>
        </w:rPr>
        <w:t>nustatyt</w:t>
      </w:r>
      <w:r w:rsidR="00E8320D" w:rsidRPr="00E91E28">
        <w:rPr>
          <w:rFonts w:eastAsia="Calibri"/>
          <w:lang w:val="lt-LT"/>
        </w:rPr>
        <w:t>ą</w:t>
      </w:r>
      <w:r w:rsidR="0088410C" w:rsidRPr="00E91E28">
        <w:rPr>
          <w:rFonts w:eastAsia="Calibri"/>
          <w:lang w:val="lt-LT"/>
        </w:rPr>
        <w:t xml:space="preserve"> išimtį, kai transporto priemone</w:t>
      </w:r>
      <w:r w:rsidR="003515F8" w:rsidRPr="00E91E28">
        <w:rPr>
          <w:rFonts w:eastAsia="Calibri"/>
          <w:lang w:val="lt-LT"/>
        </w:rPr>
        <w:t>i</w:t>
      </w:r>
      <w:r w:rsidR="0088410C" w:rsidRPr="00E91E28">
        <w:rPr>
          <w:rFonts w:eastAsia="Calibri"/>
          <w:lang w:val="lt-LT"/>
        </w:rPr>
        <w:t xml:space="preserve"> leidžiama sukti ir ne nuo važiuojamosios dalies, skirtos važiuoti ta kryptimi, atitinkamo krašto. </w:t>
      </w:r>
      <w:r w:rsidRPr="00E91E28">
        <w:rPr>
          <w:rFonts w:eastAsia="Calibri"/>
          <w:lang w:val="lt-LT"/>
        </w:rPr>
        <w:t>Tokioje situacijoje vairuotojas, darantis posūkį į stovėjimo aikštelę,</w:t>
      </w:r>
      <w:r w:rsidR="00C90175" w:rsidRPr="00E91E28">
        <w:rPr>
          <w:rFonts w:eastAsia="Calibri"/>
          <w:lang w:val="lt-LT"/>
        </w:rPr>
        <w:t xml:space="preserve"> </w:t>
      </w:r>
      <w:r w:rsidRPr="00E91E28">
        <w:rPr>
          <w:rFonts w:eastAsia="Calibri"/>
          <w:lang w:val="lt-LT"/>
        </w:rPr>
        <w:t xml:space="preserve">turi pats nuspręsti, koks atstumas nuo dešinio kelio krašto leis jam saugiai </w:t>
      </w:r>
      <w:r w:rsidR="001B6304" w:rsidRPr="00E91E28">
        <w:rPr>
          <w:rFonts w:eastAsia="Calibri"/>
          <w:lang w:val="lt-LT"/>
        </w:rPr>
        <w:t>pastatyti automobilį</w:t>
      </w:r>
      <w:r w:rsidRPr="00E91E28">
        <w:rPr>
          <w:rFonts w:eastAsia="Calibri"/>
          <w:lang w:val="lt-LT"/>
        </w:rPr>
        <w:t>, nekliudyti kito automobilio ir kartu nesutrukdyti antrąja eismo juosta važiuojan</w:t>
      </w:r>
      <w:r w:rsidR="00CD6E1E">
        <w:rPr>
          <w:rFonts w:eastAsia="Calibri"/>
          <w:lang w:val="lt-LT"/>
        </w:rPr>
        <w:t>čioms</w:t>
      </w:r>
      <w:r w:rsidRPr="00E91E28">
        <w:rPr>
          <w:rFonts w:eastAsia="Calibri"/>
          <w:lang w:val="lt-LT"/>
        </w:rPr>
        <w:t xml:space="preserve"> </w:t>
      </w:r>
      <w:r w:rsidR="00CD6E1E">
        <w:rPr>
          <w:rFonts w:eastAsia="Calibri"/>
          <w:lang w:val="lt-LT"/>
        </w:rPr>
        <w:t>transporto priemonėms</w:t>
      </w:r>
      <w:r w:rsidRPr="00E91E28">
        <w:rPr>
          <w:rFonts w:eastAsia="Calibri"/>
          <w:lang w:val="lt-LT"/>
        </w:rPr>
        <w:t>.</w:t>
      </w:r>
      <w:r w:rsidR="0088410C" w:rsidRPr="00E91E28">
        <w:rPr>
          <w:rFonts w:eastAsia="Calibri"/>
          <w:lang w:val="lt-LT"/>
        </w:rPr>
        <w:t xml:space="preserve"> </w:t>
      </w:r>
      <w:r w:rsidRPr="00E91E28">
        <w:rPr>
          <w:rFonts w:eastAsia="Calibri"/>
          <w:lang w:val="lt-LT"/>
        </w:rPr>
        <w:t>Be to, kiekvienas šia kelio atkarpa pirmąj</w:t>
      </w:r>
      <w:r w:rsidR="00C90175" w:rsidRPr="00E91E28">
        <w:rPr>
          <w:rFonts w:eastAsia="Calibri"/>
          <w:lang w:val="lt-LT"/>
        </w:rPr>
        <w:t>a</w:t>
      </w:r>
      <w:r w:rsidRPr="00E91E28">
        <w:rPr>
          <w:rFonts w:eastAsia="Calibri"/>
          <w:lang w:val="lt-LT"/>
        </w:rPr>
        <w:t xml:space="preserve"> juosta važiuojančios </w:t>
      </w:r>
      <w:r w:rsidRPr="00E91E28">
        <w:rPr>
          <w:rFonts w:eastAsia="Calibri"/>
          <w:lang w:val="lt-LT"/>
        </w:rPr>
        <w:lastRenderedPageBreak/>
        <w:t xml:space="preserve">transporto priemonės vairuotojas gali tikėtis, kad priekyje važiuojanti transporto priemonė gali lėtinti greitį ir sukti į dešinėje esančią </w:t>
      </w:r>
      <w:r w:rsidR="001B6304" w:rsidRPr="00E91E28">
        <w:rPr>
          <w:rFonts w:eastAsia="Calibri"/>
          <w:lang w:val="lt-LT"/>
        </w:rPr>
        <w:t>automobili</w:t>
      </w:r>
      <w:r w:rsidR="00851FA0" w:rsidRPr="00E91E28">
        <w:rPr>
          <w:rFonts w:eastAsia="Calibri"/>
          <w:lang w:val="lt-LT"/>
        </w:rPr>
        <w:t>ų</w:t>
      </w:r>
      <w:r w:rsidR="001B6304" w:rsidRPr="00E91E28">
        <w:rPr>
          <w:rFonts w:eastAsia="Calibri"/>
          <w:lang w:val="lt-LT"/>
        </w:rPr>
        <w:t xml:space="preserve"> </w:t>
      </w:r>
      <w:r w:rsidR="00851FA0" w:rsidRPr="00E91E28">
        <w:rPr>
          <w:rFonts w:eastAsia="Calibri"/>
          <w:lang w:val="lt-LT"/>
        </w:rPr>
        <w:t>stovėjimo</w:t>
      </w:r>
      <w:r w:rsidR="001B6304" w:rsidRPr="00E91E28">
        <w:rPr>
          <w:rFonts w:eastAsia="Calibri"/>
          <w:lang w:val="lt-LT"/>
        </w:rPr>
        <w:t xml:space="preserve"> </w:t>
      </w:r>
      <w:r w:rsidR="005E2EDD" w:rsidRPr="00E91E28">
        <w:rPr>
          <w:rFonts w:eastAsia="Calibri"/>
          <w:lang w:val="lt-LT"/>
        </w:rPr>
        <w:t>vietą</w:t>
      </w:r>
      <w:r w:rsidRPr="00E91E28">
        <w:rPr>
          <w:rFonts w:eastAsia="Calibri"/>
          <w:lang w:val="lt-LT"/>
        </w:rPr>
        <w:t>. Natūralu, kad pamatęs</w:t>
      </w:r>
      <w:r w:rsidR="004E6F64" w:rsidRPr="00E91E28">
        <w:rPr>
          <w:rFonts w:eastAsia="Calibri"/>
          <w:lang w:val="lt-LT"/>
        </w:rPr>
        <w:t>, jog</w:t>
      </w:r>
      <w:r w:rsidRPr="00E91E28">
        <w:rPr>
          <w:rFonts w:eastAsia="Calibri"/>
          <w:lang w:val="lt-LT"/>
        </w:rPr>
        <w:t xml:space="preserve"> priekyje </w:t>
      </w:r>
      <w:r w:rsidR="004E6F64" w:rsidRPr="00E91E28">
        <w:rPr>
          <w:rFonts w:eastAsia="Calibri"/>
          <w:lang w:val="lt-LT"/>
        </w:rPr>
        <w:t xml:space="preserve">esanti </w:t>
      </w:r>
      <w:r w:rsidRPr="00E91E28">
        <w:rPr>
          <w:rFonts w:eastAsia="Calibri"/>
          <w:lang w:val="lt-LT"/>
        </w:rPr>
        <w:t xml:space="preserve">transporto priemonė </w:t>
      </w:r>
      <w:r w:rsidR="004E6F64" w:rsidRPr="00E91E28">
        <w:rPr>
          <w:rFonts w:eastAsia="Calibri"/>
          <w:lang w:val="lt-LT"/>
        </w:rPr>
        <w:t xml:space="preserve">yra pasiruošusi </w:t>
      </w:r>
      <w:r w:rsidR="001B6304" w:rsidRPr="00E91E28">
        <w:rPr>
          <w:rFonts w:eastAsia="Calibri"/>
          <w:lang w:val="lt-LT"/>
        </w:rPr>
        <w:t xml:space="preserve">sukti </w:t>
      </w:r>
      <w:r w:rsidRPr="00E91E28">
        <w:rPr>
          <w:rFonts w:eastAsia="Calibri"/>
          <w:lang w:val="lt-LT"/>
        </w:rPr>
        <w:t>į dešinę</w:t>
      </w:r>
      <w:r w:rsidR="004E6F64" w:rsidRPr="00E91E28">
        <w:rPr>
          <w:rFonts w:eastAsia="Calibri"/>
          <w:lang w:val="lt-LT"/>
        </w:rPr>
        <w:t>, taip pat pamatęs</w:t>
      </w:r>
      <w:r w:rsidRPr="00E91E28">
        <w:rPr>
          <w:rFonts w:eastAsia="Calibri"/>
          <w:lang w:val="lt-LT"/>
        </w:rPr>
        <w:t xml:space="preserve"> manevro pradžią atidus vairuotojas turi lėtinti greitį, prireikus stabdyti arba persirikiuoti į laisvą </w:t>
      </w:r>
      <w:r w:rsidR="00C90175" w:rsidRPr="00E91E28">
        <w:rPr>
          <w:rFonts w:eastAsia="Calibri"/>
          <w:lang w:val="lt-LT"/>
        </w:rPr>
        <w:t>eismo</w:t>
      </w:r>
      <w:r w:rsidRPr="00E91E28">
        <w:rPr>
          <w:rFonts w:eastAsia="Calibri"/>
          <w:lang w:val="lt-LT"/>
        </w:rPr>
        <w:t xml:space="preserve"> juostą, taip leisdamas priekyje esančiai transporto priemonei saugiai baigti manevrą. Tačiau posūkį darantis vairuotojas negali tikėtis ir numatyti, kad iš paskos važiuojantis motociklas važiuos tiesiai į jį nestabdydamas arba bandys prasmukti jam iš dešinės. </w:t>
      </w:r>
    </w:p>
    <w:p w14:paraId="42738EF0" w14:textId="438A43F8" w:rsidR="00F07B06" w:rsidRPr="00CD2893" w:rsidRDefault="00F07B06" w:rsidP="00AD78D3">
      <w:pPr>
        <w:pStyle w:val="Sraopastraipa"/>
        <w:numPr>
          <w:ilvl w:val="1"/>
          <w:numId w:val="1"/>
        </w:numPr>
        <w:ind w:left="845" w:hanging="488"/>
        <w:contextualSpacing w:val="0"/>
        <w:rPr>
          <w:rFonts w:eastAsia="Calibri"/>
          <w:lang w:val="lt-LT"/>
        </w:rPr>
      </w:pPr>
      <w:r w:rsidRPr="00CD2893">
        <w:rPr>
          <w:rFonts w:eastAsia="Calibri"/>
          <w:lang w:val="lt-LT"/>
        </w:rPr>
        <w:t>Trečia,</w:t>
      </w:r>
      <w:r w:rsidR="001266DC" w:rsidRPr="00CD2893">
        <w:rPr>
          <w:rFonts w:eastAsia="Calibri"/>
          <w:lang w:val="lt-LT"/>
        </w:rPr>
        <w:t xml:space="preserve"> </w:t>
      </w:r>
      <w:r w:rsidR="00E91E28" w:rsidRPr="00CD2893">
        <w:rPr>
          <w:rFonts w:eastAsia="Calibri"/>
          <w:lang w:val="lt-LT"/>
        </w:rPr>
        <w:t>apeliacinės instancijos teismo apkaltinamajame nuosprendyje nepateikta jokių argumentų, kad tai, jog prieš posūkį</w:t>
      </w:r>
      <w:r w:rsidR="00E91E28" w:rsidRPr="00CD2893">
        <w:rPr>
          <w:lang w:val="lt-LT"/>
        </w:rPr>
        <w:t xml:space="preserve"> </w:t>
      </w:r>
      <w:r w:rsidR="00E91E28" w:rsidRPr="00CD2893">
        <w:rPr>
          <w:rFonts w:eastAsia="Calibri"/>
          <w:lang w:val="lt-LT"/>
        </w:rPr>
        <w:t xml:space="preserve">L. </w:t>
      </w:r>
      <w:bookmarkStart w:id="55" w:name="Buk_44"/>
      <w:r w:rsidR="00680441" w:rsidRPr="00680441">
        <w:rPr>
          <w:rFonts w:eastAsia="Calibri"/>
          <w:lang w:val="lt-LT"/>
        </w:rPr>
        <w:t xml:space="preserve">J. L. </w:t>
      </w:r>
      <w:bookmarkEnd w:id="55"/>
      <w:r w:rsidR="00E91E28" w:rsidRPr="00CD2893">
        <w:rPr>
          <w:rFonts w:eastAsia="Calibri"/>
          <w:lang w:val="lt-LT"/>
        </w:rPr>
        <w:t>vairuojamas automobilis buvo kairiais ratais užvažiavęs į kairę važiuojamosios kelio dalies pusę</w:t>
      </w:r>
      <w:r w:rsidR="00CD2893">
        <w:rPr>
          <w:rFonts w:eastAsia="Calibri"/>
          <w:lang w:val="lt-LT"/>
        </w:rPr>
        <w:t xml:space="preserve"> (kirtęs menamą</w:t>
      </w:r>
      <w:r w:rsidR="00946987">
        <w:rPr>
          <w:rFonts w:eastAsia="Calibri"/>
          <w:lang w:val="lt-LT"/>
        </w:rPr>
        <w:t xml:space="preserve"> ašinę gatvės</w:t>
      </w:r>
      <w:r w:rsidR="00CD2893">
        <w:rPr>
          <w:rFonts w:eastAsia="Calibri"/>
          <w:lang w:val="lt-LT"/>
        </w:rPr>
        <w:t xml:space="preserve"> liniją)</w:t>
      </w:r>
      <w:r w:rsidR="00E91E28" w:rsidRPr="00CD2893">
        <w:rPr>
          <w:rFonts w:eastAsia="Calibri"/>
          <w:lang w:val="lt-LT"/>
        </w:rPr>
        <w:t xml:space="preserve">, suklaidintų nukentėjusįjį ir leistų jam manyti, kad </w:t>
      </w:r>
      <w:r w:rsidR="00946987">
        <w:rPr>
          <w:rFonts w:eastAsia="Calibri"/>
          <w:lang w:val="lt-LT"/>
        </w:rPr>
        <w:t>tęsti judėjimą yra saugu</w:t>
      </w:r>
      <w:r w:rsidR="00E91E28" w:rsidRPr="00CD2893">
        <w:rPr>
          <w:rFonts w:eastAsia="Calibri"/>
          <w:lang w:val="lt-LT"/>
        </w:rPr>
        <w:t xml:space="preserve">. </w:t>
      </w:r>
      <w:r w:rsidR="00CD2893" w:rsidRPr="00CD2893">
        <w:rPr>
          <w:rFonts w:eastAsia="Calibri"/>
          <w:lang w:val="lt-LT"/>
        </w:rPr>
        <w:t xml:space="preserve">Taip pat nėra nustatyta, kad priekyje važiuojantis L. </w:t>
      </w:r>
      <w:bookmarkStart w:id="56" w:name="Buk_45"/>
      <w:r w:rsidR="00680441" w:rsidRPr="00680441">
        <w:rPr>
          <w:rFonts w:eastAsia="Calibri"/>
          <w:lang w:val="lt-LT"/>
        </w:rPr>
        <w:t xml:space="preserve">J. L. </w:t>
      </w:r>
      <w:bookmarkEnd w:id="56"/>
      <w:r w:rsidR="00CD2893" w:rsidRPr="00CD2893">
        <w:rPr>
          <w:rFonts w:eastAsia="Calibri"/>
          <w:lang w:val="lt-LT"/>
        </w:rPr>
        <w:t xml:space="preserve">vairuojamas automobilis kaip nors būtų sutrukdęs motociklo vairuotojui laiku pastebėti posūkio manevrą ir atitinkamai į tai sureaguoti, pvz., kad būtų nerodęs posūkio signalo, staigiai stabdęs ir pan. </w:t>
      </w:r>
      <w:r w:rsidR="00E91E28" w:rsidRPr="00CD2893">
        <w:rPr>
          <w:rFonts w:eastAsia="Calibri"/>
          <w:lang w:val="lt-LT"/>
        </w:rPr>
        <w:t>M</w:t>
      </w:r>
      <w:r w:rsidRPr="00CD2893">
        <w:rPr>
          <w:rFonts w:eastAsia="Calibri"/>
          <w:lang w:val="lt-LT"/>
        </w:rPr>
        <w:t xml:space="preserve">inėta, kad byloje nustatyta, </w:t>
      </w:r>
      <w:r w:rsidR="001B6304" w:rsidRPr="00CD2893">
        <w:rPr>
          <w:rFonts w:eastAsia="Calibri"/>
          <w:lang w:val="lt-LT"/>
        </w:rPr>
        <w:t xml:space="preserve">jog </w:t>
      </w:r>
      <w:r w:rsidRPr="00CD2893">
        <w:rPr>
          <w:rFonts w:eastAsia="Calibri"/>
          <w:lang w:val="lt-LT"/>
        </w:rPr>
        <w:t xml:space="preserve">nukentėjusysis, vairuodamas motociklą, </w:t>
      </w:r>
      <w:r w:rsidR="001266DC" w:rsidRPr="00CD2893">
        <w:rPr>
          <w:rFonts w:eastAsia="Calibri"/>
          <w:lang w:val="lt-LT"/>
        </w:rPr>
        <w:t>persirikiuodamas</w:t>
      </w:r>
      <w:r w:rsidRPr="00CD2893">
        <w:rPr>
          <w:rFonts w:eastAsia="Calibri"/>
          <w:lang w:val="lt-LT"/>
        </w:rPr>
        <w:t xml:space="preserve"> iš antrosios į pirmąją </w:t>
      </w:r>
      <w:r w:rsidR="001266DC" w:rsidRPr="00CD2893">
        <w:rPr>
          <w:rFonts w:eastAsia="Calibri"/>
          <w:lang w:val="lt-LT"/>
        </w:rPr>
        <w:t>eismo</w:t>
      </w:r>
      <w:r w:rsidRPr="00CD2893">
        <w:rPr>
          <w:rFonts w:eastAsia="Calibri"/>
          <w:lang w:val="lt-LT"/>
        </w:rPr>
        <w:t xml:space="preserve"> juostą, nežiūrėjo į priekį, buvo pasukęs galvą į kairę, žiūrėjo, ar už jo nėra automobilių, prieš susidūrimą nestabdė motociklo, nes nematė priekyje esančio automobilio ir jo daromo manevro. Tai leidžia daryti išvadą, </w:t>
      </w:r>
      <w:r w:rsidR="001B6304" w:rsidRPr="00CD2893">
        <w:rPr>
          <w:rFonts w:eastAsia="Calibri"/>
          <w:lang w:val="lt-LT"/>
        </w:rPr>
        <w:t xml:space="preserve">jog </w:t>
      </w:r>
      <w:r w:rsidR="001266DC" w:rsidRPr="00CD2893">
        <w:rPr>
          <w:rFonts w:eastAsia="Calibri"/>
          <w:lang w:val="lt-LT"/>
        </w:rPr>
        <w:t>eismo įvykis kilo</w:t>
      </w:r>
      <w:r w:rsidRPr="00CD2893">
        <w:rPr>
          <w:rFonts w:eastAsia="Calibri"/>
          <w:lang w:val="lt-LT"/>
        </w:rPr>
        <w:t xml:space="preserve"> dėl</w:t>
      </w:r>
      <w:r w:rsidR="001B6304" w:rsidRPr="00CD2893">
        <w:rPr>
          <w:rFonts w:eastAsia="Calibri"/>
          <w:lang w:val="lt-LT"/>
        </w:rPr>
        <w:t xml:space="preserve"> to, kad</w:t>
      </w:r>
      <w:r w:rsidRPr="00CD2893">
        <w:rPr>
          <w:rFonts w:eastAsia="Calibri"/>
          <w:lang w:val="lt-LT"/>
        </w:rPr>
        <w:t xml:space="preserve"> </w:t>
      </w:r>
      <w:r w:rsidR="001B6304" w:rsidRPr="00CD2893">
        <w:rPr>
          <w:rFonts w:eastAsia="Calibri"/>
          <w:lang w:val="lt-LT"/>
        </w:rPr>
        <w:t xml:space="preserve">nukentėjusysis nesilaikė </w:t>
      </w:r>
      <w:r w:rsidRPr="00CD2893">
        <w:rPr>
          <w:rFonts w:eastAsia="Calibri"/>
          <w:lang w:val="lt-LT"/>
        </w:rPr>
        <w:t>kelių eismą reguliuojančių taisyklių, t. y. kad vairuotojas, atsižvelgdamas į greitį, privalo laikytis tokio atstumo, kad neatsitrenktų į priekyje važiuojančią transporto priemonę, jeigu ji būtų stabdoma</w:t>
      </w:r>
      <w:r w:rsidR="001E1858" w:rsidRPr="00CD2893">
        <w:rPr>
          <w:rFonts w:eastAsia="Calibri"/>
          <w:lang w:val="lt-LT"/>
        </w:rPr>
        <w:t>;</w:t>
      </w:r>
      <w:r w:rsidRPr="00CD2893">
        <w:rPr>
          <w:rFonts w:eastAsia="Calibri"/>
          <w:lang w:val="lt-LT"/>
        </w:rPr>
        <w:t xml:space="preserve"> pasirinkdamas važiavimo greitį, vairuotojas</w:t>
      </w:r>
      <w:r w:rsidR="001266DC" w:rsidRPr="00CD2893">
        <w:rPr>
          <w:rFonts w:eastAsia="Calibri"/>
          <w:lang w:val="lt-LT"/>
        </w:rPr>
        <w:t>,</w:t>
      </w:r>
      <w:r w:rsidRPr="00CD2893">
        <w:rPr>
          <w:rFonts w:eastAsia="Calibri"/>
          <w:lang w:val="lt-LT"/>
        </w:rPr>
        <w:t xml:space="preserve"> be kita ko</w:t>
      </w:r>
      <w:r w:rsidR="001266DC" w:rsidRPr="00CD2893">
        <w:rPr>
          <w:rFonts w:eastAsia="Calibri"/>
          <w:lang w:val="lt-LT"/>
        </w:rPr>
        <w:t>,</w:t>
      </w:r>
      <w:r w:rsidRPr="00CD2893">
        <w:rPr>
          <w:rFonts w:eastAsia="Calibri"/>
          <w:lang w:val="lt-LT"/>
        </w:rPr>
        <w:t xml:space="preserve"> turi atsižvelgti į važiavimo sąlygas ir eismo intensyvumą, kad galėtų sustabdyti transporto priemonę iki bet kurios iš anksto numatomos kliūties; vairuotojas turi sulėtinti greitį ir prireikus sustoti, jeigu to reikia dėl susidariusių aplinkybių, atsirado kliūtis ar iškilo grėsmė eismo saugumui; vairuotojas (jeigu jis gali tai pastebėti) privalo sulėtinti greitį, net visiškai sustabdyti transporto priemonę arba apvažiuoti kliūtį nesukeldamas pavojaus kitiems eismo dalyviams (KET 126</w:t>
      </w:r>
      <w:r w:rsidR="001B6304" w:rsidRPr="00CD2893">
        <w:rPr>
          <w:rFonts w:eastAsia="Calibri"/>
          <w:lang w:val="lt-LT"/>
        </w:rPr>
        <w:t>–</w:t>
      </w:r>
      <w:r w:rsidRPr="00CD2893">
        <w:rPr>
          <w:rFonts w:eastAsia="Calibri"/>
          <w:lang w:val="lt-LT"/>
        </w:rPr>
        <w:t xml:space="preserve">128 punktai). Atsižvelgiant į tai, pritartina pirmosios instancijos teismo logikos dėsniais pagrįstai išvadai, kad net jei L. </w:t>
      </w:r>
      <w:bookmarkStart w:id="57" w:name="Buk_46"/>
      <w:r w:rsidR="00680441" w:rsidRPr="00680441">
        <w:rPr>
          <w:rFonts w:eastAsia="Calibri"/>
          <w:lang w:val="lt-LT"/>
        </w:rPr>
        <w:t>J. L.</w:t>
      </w:r>
      <w:bookmarkEnd w:id="57"/>
      <w:r w:rsidRPr="00CD2893">
        <w:rPr>
          <w:rFonts w:eastAsia="Calibri"/>
          <w:lang w:val="lt-LT"/>
        </w:rPr>
        <w:t>, prieš pradėdamas sukti, būtų pasitraukęs prie pat kelio važiuojamosios dalies dešiniojo krašto, nagrinėjamas eismo įvykis vis tiek būtų įvykęs.</w:t>
      </w:r>
    </w:p>
    <w:p w14:paraId="50897631" w14:textId="0303DB48" w:rsidR="00F07B06" w:rsidRPr="007F5BAA" w:rsidRDefault="00F07B06" w:rsidP="00AD78D3">
      <w:pPr>
        <w:pStyle w:val="Sraopastraipa"/>
        <w:numPr>
          <w:ilvl w:val="1"/>
          <w:numId w:val="1"/>
        </w:numPr>
        <w:ind w:left="845" w:hanging="488"/>
        <w:contextualSpacing w:val="0"/>
        <w:rPr>
          <w:rFonts w:eastAsia="Calibri"/>
          <w:lang w:val="lt-LT"/>
        </w:rPr>
      </w:pPr>
      <w:r w:rsidRPr="007F5BAA">
        <w:rPr>
          <w:rFonts w:eastAsia="Calibri"/>
          <w:lang w:val="lt-LT"/>
        </w:rPr>
        <w:t xml:space="preserve">Visos paminėtos aplinkybės leidžia daryti išvadą, kad </w:t>
      </w:r>
      <w:r w:rsidR="00DA1D59" w:rsidRPr="007F5BAA">
        <w:rPr>
          <w:rFonts w:eastAsia="Calibri"/>
          <w:lang w:val="lt-LT"/>
        </w:rPr>
        <w:t xml:space="preserve">apeliacinės instancijos teismas nesilaikė </w:t>
      </w:r>
      <w:r w:rsidR="003515F8">
        <w:rPr>
          <w:rFonts w:eastAsia="Calibri"/>
          <w:lang w:val="lt-LT"/>
        </w:rPr>
        <w:t xml:space="preserve">reikalavimo </w:t>
      </w:r>
      <w:r w:rsidR="00DA1D59" w:rsidRPr="007F5BAA">
        <w:rPr>
          <w:rFonts w:eastAsia="Calibri"/>
          <w:lang w:val="lt-LT"/>
        </w:rPr>
        <w:t xml:space="preserve">nuosekliai vertinti abiejų eismo dalyvių KET pažeidimų </w:t>
      </w:r>
      <w:r w:rsidR="003515F8">
        <w:rPr>
          <w:rFonts w:eastAsia="Calibri"/>
          <w:lang w:val="lt-LT"/>
        </w:rPr>
        <w:t xml:space="preserve">įtaką ir reikšmę eismo </w:t>
      </w:r>
      <w:r w:rsidR="008744C1">
        <w:rPr>
          <w:rFonts w:eastAsia="Calibri"/>
          <w:lang w:val="lt-LT"/>
        </w:rPr>
        <w:t>įvykio kilimui</w:t>
      </w:r>
      <w:r w:rsidR="00DA1D59" w:rsidRPr="007F5BAA">
        <w:rPr>
          <w:rFonts w:eastAsia="Calibri"/>
          <w:lang w:val="lt-LT"/>
        </w:rPr>
        <w:t xml:space="preserve">, dėl </w:t>
      </w:r>
      <w:r w:rsidR="003515F8">
        <w:rPr>
          <w:rFonts w:eastAsia="Calibri"/>
          <w:lang w:val="lt-LT"/>
        </w:rPr>
        <w:t>t</w:t>
      </w:r>
      <w:r w:rsidR="00DA1D59" w:rsidRPr="007F5BAA">
        <w:rPr>
          <w:rFonts w:eastAsia="Calibri"/>
          <w:lang w:val="lt-LT"/>
        </w:rPr>
        <w:t>o buvo padaryta teisės taikymo klaida</w:t>
      </w:r>
      <w:r w:rsidR="003515F8">
        <w:rPr>
          <w:rFonts w:eastAsia="Calibri"/>
          <w:lang w:val="lt-LT"/>
        </w:rPr>
        <w:t xml:space="preserve">. Kartu iš bylos aplinkybių logiškai išplaukia išvada, kad </w:t>
      </w:r>
      <w:r w:rsidRPr="007F5BAA">
        <w:rPr>
          <w:rFonts w:eastAsia="Calibri"/>
          <w:lang w:val="lt-LT"/>
        </w:rPr>
        <w:t>nagrinėjamoje situacijoje teisiniu požiūriu eismo įvyk</w:t>
      </w:r>
      <w:r w:rsidR="003515F8">
        <w:rPr>
          <w:rFonts w:eastAsia="Calibri"/>
          <w:lang w:val="lt-LT"/>
        </w:rPr>
        <w:t xml:space="preserve">į sukėlė </w:t>
      </w:r>
      <w:r w:rsidRPr="007F5BAA">
        <w:rPr>
          <w:rFonts w:eastAsia="Calibri"/>
          <w:lang w:val="lt-LT"/>
        </w:rPr>
        <w:t xml:space="preserve">ne </w:t>
      </w:r>
      <w:r w:rsidR="001266DC" w:rsidRPr="007F5BAA">
        <w:rPr>
          <w:rFonts w:eastAsia="Calibri"/>
          <w:lang w:val="lt-LT"/>
        </w:rPr>
        <w:t xml:space="preserve">nuteistojo </w:t>
      </w:r>
      <w:r w:rsidRPr="007F5BAA">
        <w:rPr>
          <w:rFonts w:eastAsia="Calibri"/>
          <w:lang w:val="lt-LT"/>
        </w:rPr>
        <w:t xml:space="preserve">L. </w:t>
      </w:r>
      <w:bookmarkStart w:id="58" w:name="Buk_47"/>
      <w:r w:rsidR="00680441" w:rsidRPr="00680441">
        <w:rPr>
          <w:rFonts w:eastAsia="Calibri"/>
          <w:lang w:val="lt-LT"/>
        </w:rPr>
        <w:t xml:space="preserve">J. L. </w:t>
      </w:r>
      <w:bookmarkEnd w:id="58"/>
      <w:r w:rsidRPr="007F5BAA">
        <w:rPr>
          <w:rFonts w:eastAsia="Calibri"/>
          <w:lang w:val="lt-LT"/>
        </w:rPr>
        <w:t xml:space="preserve">daromas posūkio manevras, o būtent nukentėjusiojo neatidus ir </w:t>
      </w:r>
      <w:r w:rsidR="00D81F54" w:rsidRPr="007F5BAA">
        <w:rPr>
          <w:rFonts w:eastAsia="Calibri"/>
          <w:lang w:val="lt-LT"/>
        </w:rPr>
        <w:t xml:space="preserve">pavojų </w:t>
      </w:r>
      <w:r w:rsidRPr="007F5BAA">
        <w:rPr>
          <w:rFonts w:eastAsia="Calibri"/>
          <w:lang w:val="lt-LT"/>
        </w:rPr>
        <w:t>eismo saugumui keliantis vairavimas</w:t>
      </w:r>
      <w:r w:rsidR="00D81F54">
        <w:rPr>
          <w:rFonts w:eastAsia="Calibri"/>
          <w:lang w:val="lt-LT"/>
        </w:rPr>
        <w:t xml:space="preserve"> – jis</w:t>
      </w:r>
      <w:r w:rsidRPr="007F5BAA">
        <w:rPr>
          <w:rFonts w:eastAsia="Calibri"/>
          <w:lang w:val="lt-LT"/>
        </w:rPr>
        <w:t xml:space="preserve"> ir buvo būtina </w:t>
      </w:r>
      <w:r w:rsidR="001B6304">
        <w:rPr>
          <w:rFonts w:eastAsia="Calibri"/>
          <w:lang w:val="lt-LT"/>
        </w:rPr>
        <w:t xml:space="preserve">eismo įvykio kilimo </w:t>
      </w:r>
      <w:r w:rsidRPr="007F5BAA">
        <w:rPr>
          <w:rFonts w:eastAsia="Calibri"/>
          <w:lang w:val="lt-LT"/>
        </w:rPr>
        <w:t xml:space="preserve">sąlyga ir esminė </w:t>
      </w:r>
      <w:r w:rsidR="00D81F54">
        <w:rPr>
          <w:rFonts w:eastAsia="Calibri"/>
          <w:lang w:val="lt-LT"/>
        </w:rPr>
        <w:t>šio įvykio kilimo</w:t>
      </w:r>
      <w:r w:rsidR="004E6F64">
        <w:rPr>
          <w:rFonts w:eastAsia="Calibri"/>
          <w:lang w:val="lt-LT"/>
        </w:rPr>
        <w:t xml:space="preserve"> </w:t>
      </w:r>
      <w:r w:rsidRPr="007F5BAA">
        <w:rPr>
          <w:rFonts w:eastAsia="Calibri"/>
          <w:lang w:val="lt-LT"/>
        </w:rPr>
        <w:t>priežastis.</w:t>
      </w:r>
    </w:p>
    <w:p w14:paraId="412312EA" w14:textId="08471753" w:rsidR="0022302D" w:rsidRPr="007F5BAA" w:rsidRDefault="0022302D" w:rsidP="00F07B06">
      <w:pPr>
        <w:pStyle w:val="Sraopastraipa"/>
        <w:numPr>
          <w:ilvl w:val="0"/>
          <w:numId w:val="1"/>
        </w:numPr>
        <w:ind w:left="357" w:hanging="357"/>
        <w:contextualSpacing w:val="0"/>
        <w:rPr>
          <w:rFonts w:eastAsia="Calibri"/>
          <w:lang w:val="lt-LT"/>
        </w:rPr>
      </w:pPr>
      <w:r w:rsidRPr="007F5BAA">
        <w:rPr>
          <w:rFonts w:eastAsia="Calibri"/>
          <w:lang w:val="lt-LT"/>
        </w:rPr>
        <w:t xml:space="preserve">Pažymėtina ir tai, kad apkaltinamąjį nuosprendį priėmęs apeliacinės instancijos teismas visą dėmesį </w:t>
      </w:r>
      <w:r w:rsidR="001B6304">
        <w:rPr>
          <w:rFonts w:eastAsia="Calibri"/>
          <w:lang w:val="lt-LT"/>
        </w:rPr>
        <w:t>skyrė</w:t>
      </w:r>
      <w:r w:rsidR="001B6304" w:rsidRPr="007F5BAA">
        <w:rPr>
          <w:rFonts w:eastAsia="Calibri"/>
          <w:lang w:val="lt-LT"/>
        </w:rPr>
        <w:t xml:space="preserve"> </w:t>
      </w:r>
      <w:r w:rsidRPr="007F5BAA">
        <w:rPr>
          <w:rFonts w:eastAsia="Calibri"/>
          <w:lang w:val="lt-LT"/>
        </w:rPr>
        <w:t xml:space="preserve">tik </w:t>
      </w:r>
      <w:r w:rsidR="001B6304" w:rsidRPr="007F5BAA">
        <w:rPr>
          <w:rFonts w:eastAsia="Calibri"/>
          <w:lang w:val="lt-LT"/>
        </w:rPr>
        <w:t>objektyvi</w:t>
      </w:r>
      <w:r w:rsidR="001B6304">
        <w:rPr>
          <w:rFonts w:eastAsia="Calibri"/>
          <w:lang w:val="lt-LT"/>
        </w:rPr>
        <w:t>esiems</w:t>
      </w:r>
      <w:r w:rsidR="001B6304" w:rsidRPr="007F5BAA">
        <w:rPr>
          <w:rFonts w:eastAsia="Calibri"/>
          <w:lang w:val="lt-LT"/>
        </w:rPr>
        <w:t xml:space="preserve"> </w:t>
      </w:r>
      <w:r w:rsidRPr="007F5BAA">
        <w:rPr>
          <w:rFonts w:eastAsia="Calibri"/>
          <w:lang w:val="lt-LT"/>
        </w:rPr>
        <w:t xml:space="preserve">nusikalstamos veikos </w:t>
      </w:r>
      <w:r w:rsidR="001B6304" w:rsidRPr="007F5BAA">
        <w:rPr>
          <w:rFonts w:eastAsia="Calibri"/>
          <w:lang w:val="lt-LT"/>
        </w:rPr>
        <w:t>požymi</w:t>
      </w:r>
      <w:r w:rsidR="001B6304">
        <w:rPr>
          <w:rFonts w:eastAsia="Calibri"/>
          <w:lang w:val="lt-LT"/>
        </w:rPr>
        <w:t>ams</w:t>
      </w:r>
      <w:r w:rsidR="001B6304" w:rsidRPr="007F5BAA">
        <w:rPr>
          <w:rFonts w:eastAsia="Calibri"/>
          <w:lang w:val="lt-LT"/>
        </w:rPr>
        <w:t xml:space="preserve"> nustaty</w:t>
      </w:r>
      <w:r w:rsidR="001B6304">
        <w:rPr>
          <w:rFonts w:eastAsia="Calibri"/>
          <w:lang w:val="lt-LT"/>
        </w:rPr>
        <w:t>ti</w:t>
      </w:r>
      <w:r w:rsidRPr="007F5BAA">
        <w:rPr>
          <w:rFonts w:eastAsia="Calibri"/>
          <w:lang w:val="lt-LT"/>
        </w:rPr>
        <w:t xml:space="preserve">, tačiau </w:t>
      </w:r>
      <w:r w:rsidR="003515F8">
        <w:rPr>
          <w:rFonts w:eastAsia="Calibri"/>
          <w:lang w:val="lt-LT"/>
        </w:rPr>
        <w:t xml:space="preserve">tinkamai </w:t>
      </w:r>
      <w:r w:rsidRPr="007F5BAA">
        <w:rPr>
          <w:rFonts w:eastAsia="Calibri"/>
          <w:lang w:val="lt-LT"/>
        </w:rPr>
        <w:t xml:space="preserve">nemotyvavo būtino </w:t>
      </w:r>
      <w:r w:rsidR="001B6304" w:rsidRPr="007F5BAA">
        <w:rPr>
          <w:rFonts w:eastAsia="Calibri"/>
          <w:lang w:val="lt-LT"/>
        </w:rPr>
        <w:t>subjektyv</w:t>
      </w:r>
      <w:r w:rsidR="001B6304">
        <w:rPr>
          <w:rFonts w:eastAsia="Calibri"/>
          <w:lang w:val="lt-LT"/>
        </w:rPr>
        <w:t>iojo</w:t>
      </w:r>
      <w:r w:rsidR="001B6304" w:rsidRPr="007F5BAA">
        <w:rPr>
          <w:rFonts w:eastAsia="Calibri"/>
          <w:lang w:val="lt-LT"/>
        </w:rPr>
        <w:t xml:space="preserve"> </w:t>
      </w:r>
      <w:r w:rsidRPr="007F5BAA">
        <w:rPr>
          <w:rFonts w:eastAsia="Calibri"/>
          <w:lang w:val="lt-LT"/>
        </w:rPr>
        <w:t xml:space="preserve">požymio – </w:t>
      </w:r>
      <w:r w:rsidR="004D125D">
        <w:rPr>
          <w:rFonts w:eastAsia="Calibri"/>
          <w:lang w:val="lt-LT"/>
        </w:rPr>
        <w:t xml:space="preserve">neatsargios </w:t>
      </w:r>
      <w:r w:rsidRPr="007F5BAA">
        <w:rPr>
          <w:rFonts w:eastAsia="Calibri"/>
          <w:lang w:val="lt-LT"/>
        </w:rPr>
        <w:t>kaltės</w:t>
      </w:r>
      <w:r w:rsidR="004D125D">
        <w:rPr>
          <w:rFonts w:eastAsia="Calibri"/>
          <w:lang w:val="lt-LT"/>
        </w:rPr>
        <w:t xml:space="preserve"> dėl eismo įvykio ir jo padarinių. </w:t>
      </w:r>
      <w:r w:rsidRPr="007F5BAA">
        <w:rPr>
          <w:rFonts w:eastAsia="Calibri"/>
          <w:lang w:val="lt-LT"/>
        </w:rPr>
        <w:t>Tuo tarpu bylos aplinkybės leidžia daryti išvadą, kad L.</w:t>
      </w:r>
      <w:r w:rsidR="001E1858">
        <w:rPr>
          <w:rFonts w:eastAsia="Calibri"/>
          <w:lang w:val="lt-LT"/>
        </w:rPr>
        <w:t> </w:t>
      </w:r>
      <w:bookmarkStart w:id="59" w:name="Buk_48"/>
      <w:r w:rsidR="00680441" w:rsidRPr="00680441">
        <w:rPr>
          <w:rFonts w:eastAsia="Calibri"/>
          <w:lang w:val="lt-LT"/>
        </w:rPr>
        <w:t>J. L.</w:t>
      </w:r>
      <w:bookmarkEnd w:id="59"/>
      <w:r w:rsidRPr="007F5BAA">
        <w:rPr>
          <w:rFonts w:eastAsia="Calibri"/>
          <w:lang w:val="lt-LT"/>
        </w:rPr>
        <w:t>, darydamas posūkio į dešinę manevrą, nors ir ne nuo pat kelio važiuojamosios dalies dešiniojo krašto, nenumatė ir negalėjo numatyti, kad ta pačia pirmąja eismo juosta iš paskos važiuojančio motociklo vairuotojas nestebės kelio, nematys kliūties ir nestabdydamas atsitrenks į jo automobilį. Taigi, išplėstinės septynių teisėjų kolegijos vertinimu, byloje taip pat nenustatytas pagrindas L.</w:t>
      </w:r>
      <w:r w:rsidR="00914092" w:rsidRPr="007F5BAA">
        <w:rPr>
          <w:rFonts w:eastAsia="Calibri"/>
          <w:lang w:val="lt-LT"/>
        </w:rPr>
        <w:t> </w:t>
      </w:r>
      <w:bookmarkStart w:id="60" w:name="Buk_49"/>
      <w:r w:rsidR="00680441" w:rsidRPr="00680441">
        <w:rPr>
          <w:rFonts w:eastAsia="Calibri"/>
          <w:lang w:val="lt-LT"/>
        </w:rPr>
        <w:t xml:space="preserve">J. L. </w:t>
      </w:r>
      <w:bookmarkEnd w:id="60"/>
      <w:r w:rsidRPr="007F5BAA">
        <w:rPr>
          <w:rFonts w:eastAsia="Calibri"/>
          <w:lang w:val="lt-LT"/>
        </w:rPr>
        <w:t xml:space="preserve">veikoje konstatuoti neatsargią kaltę (pasitikėjimą ar nerūpestingumą) dėl eismo įvykio ir jo padarinių. </w:t>
      </w:r>
    </w:p>
    <w:p w14:paraId="073B9AA1" w14:textId="59C2A05B" w:rsidR="00ED34F3" w:rsidRPr="00271015" w:rsidRDefault="0022302D" w:rsidP="009C723D">
      <w:pPr>
        <w:pStyle w:val="Sraopastraipa"/>
        <w:numPr>
          <w:ilvl w:val="0"/>
          <w:numId w:val="1"/>
        </w:numPr>
        <w:ind w:left="357" w:hanging="357"/>
        <w:contextualSpacing w:val="0"/>
        <w:rPr>
          <w:rFonts w:eastAsia="Calibri"/>
          <w:lang w:val="lt-LT"/>
        </w:rPr>
      </w:pPr>
      <w:r w:rsidRPr="00271015">
        <w:rPr>
          <w:rFonts w:eastAsia="Calibri"/>
          <w:lang w:val="lt-LT"/>
        </w:rPr>
        <w:t xml:space="preserve">Atsižvelgiant į tai, konstatuotina, kad apeliacinės instancijos teismas, </w:t>
      </w:r>
      <w:r w:rsidR="00271015" w:rsidRPr="00271015">
        <w:rPr>
          <w:rFonts w:eastAsia="Calibri"/>
          <w:lang w:val="lt-LT"/>
        </w:rPr>
        <w:t xml:space="preserve">vertindamas įrodymus ir nustatydamas L. </w:t>
      </w:r>
      <w:bookmarkStart w:id="61" w:name="Buk_50"/>
      <w:r w:rsidR="00680441" w:rsidRPr="00680441">
        <w:rPr>
          <w:rFonts w:eastAsia="Calibri"/>
          <w:lang w:val="lt-LT"/>
        </w:rPr>
        <w:t xml:space="preserve">J. L. </w:t>
      </w:r>
      <w:bookmarkEnd w:id="61"/>
      <w:r w:rsidR="00271015" w:rsidRPr="00271015">
        <w:rPr>
          <w:rFonts w:eastAsia="Calibri"/>
          <w:lang w:val="lt-LT"/>
        </w:rPr>
        <w:t>veiksmuose nusikalstamos veikos, nustatytos BK 281 straipsnio 1</w:t>
      </w:r>
      <w:r w:rsidR="001B6304">
        <w:rPr>
          <w:rFonts w:eastAsia="Calibri"/>
          <w:lang w:val="lt-LT"/>
        </w:rPr>
        <w:t> </w:t>
      </w:r>
      <w:r w:rsidR="00271015" w:rsidRPr="00271015">
        <w:rPr>
          <w:rFonts w:eastAsia="Calibri"/>
          <w:lang w:val="lt-LT"/>
        </w:rPr>
        <w:t>dalyje, sudėtį, pažeidė išsamaus bylos aplinkybių išnagrinėjimo reikalavimus (BPK</w:t>
      </w:r>
      <w:r w:rsidR="001E1858">
        <w:rPr>
          <w:rFonts w:eastAsia="Calibri"/>
          <w:lang w:val="lt-LT"/>
        </w:rPr>
        <w:t> </w:t>
      </w:r>
      <w:r w:rsidR="00271015" w:rsidRPr="00271015">
        <w:rPr>
          <w:rFonts w:eastAsia="Calibri"/>
          <w:lang w:val="lt-LT"/>
        </w:rPr>
        <w:t>20</w:t>
      </w:r>
      <w:r w:rsidR="001B6304">
        <w:rPr>
          <w:rFonts w:eastAsia="Calibri"/>
          <w:lang w:val="lt-LT"/>
        </w:rPr>
        <w:t> </w:t>
      </w:r>
      <w:r w:rsidR="00271015" w:rsidRPr="00271015">
        <w:rPr>
          <w:rFonts w:eastAsia="Calibri"/>
          <w:lang w:val="lt-LT"/>
        </w:rPr>
        <w:t>straipsnio 5 dalis) ir netinkamai pritaikė baudžiamąjį įstatymą (BPK 369 straipsnio 1</w:t>
      </w:r>
      <w:r w:rsidR="001E1858">
        <w:rPr>
          <w:rFonts w:eastAsia="Calibri"/>
          <w:lang w:val="lt-LT"/>
        </w:rPr>
        <w:t> </w:t>
      </w:r>
      <w:r w:rsidR="00271015" w:rsidRPr="00271015">
        <w:rPr>
          <w:rFonts w:eastAsia="Calibri"/>
          <w:lang w:val="lt-LT"/>
        </w:rPr>
        <w:t>dalies 1</w:t>
      </w:r>
      <w:r w:rsidR="001B6304">
        <w:rPr>
          <w:rFonts w:eastAsia="Calibri"/>
          <w:lang w:val="lt-LT"/>
        </w:rPr>
        <w:t> </w:t>
      </w:r>
      <w:r w:rsidR="00271015" w:rsidRPr="00271015">
        <w:rPr>
          <w:rFonts w:eastAsia="Calibri"/>
          <w:lang w:val="lt-LT"/>
        </w:rPr>
        <w:t xml:space="preserve">punktas). </w:t>
      </w:r>
      <w:r w:rsidRPr="00271015">
        <w:rPr>
          <w:rFonts w:eastAsia="Calibri"/>
          <w:lang w:val="lt-LT"/>
        </w:rPr>
        <w:t xml:space="preserve">Todėl </w:t>
      </w:r>
      <w:r w:rsidRPr="00271015">
        <w:rPr>
          <w:rFonts w:eastAsia="Calibri"/>
          <w:lang w:val="lt-LT"/>
        </w:rPr>
        <w:lastRenderedPageBreak/>
        <w:t xml:space="preserve">apkaltinamasis apeliacinės instancijos teismo nuosprendis </w:t>
      </w:r>
      <w:r w:rsidR="00E04897">
        <w:rPr>
          <w:rFonts w:eastAsia="Calibri"/>
          <w:lang w:val="lt-LT"/>
        </w:rPr>
        <w:t xml:space="preserve">automobilio vairuotojui </w:t>
      </w:r>
      <w:r w:rsidR="00E04897" w:rsidRPr="00271015">
        <w:rPr>
          <w:rFonts w:eastAsia="Calibri"/>
          <w:lang w:val="lt-LT"/>
        </w:rPr>
        <w:t xml:space="preserve">L. </w:t>
      </w:r>
      <w:bookmarkStart w:id="62" w:name="Buk_51"/>
      <w:r w:rsidR="00680441" w:rsidRPr="00680441">
        <w:rPr>
          <w:rFonts w:eastAsia="Calibri"/>
          <w:lang w:val="lt-LT"/>
        </w:rPr>
        <w:t xml:space="preserve">J. L. </w:t>
      </w:r>
      <w:bookmarkEnd w:id="62"/>
      <w:r w:rsidR="00E04897" w:rsidRPr="00271015">
        <w:rPr>
          <w:rFonts w:eastAsia="Calibri"/>
          <w:lang w:val="lt-LT"/>
        </w:rPr>
        <w:t>naikin</w:t>
      </w:r>
      <w:r w:rsidR="00E04897">
        <w:rPr>
          <w:rFonts w:eastAsia="Calibri"/>
          <w:lang w:val="lt-LT"/>
        </w:rPr>
        <w:t>amas</w:t>
      </w:r>
      <w:r w:rsidR="00E04897" w:rsidRPr="00271015">
        <w:rPr>
          <w:rFonts w:eastAsia="Calibri"/>
          <w:lang w:val="lt-LT"/>
        </w:rPr>
        <w:t xml:space="preserve"> </w:t>
      </w:r>
      <w:r w:rsidR="001E1858">
        <w:rPr>
          <w:rFonts w:eastAsia="Calibri"/>
          <w:lang w:val="lt-LT"/>
        </w:rPr>
        <w:t xml:space="preserve">ir </w:t>
      </w:r>
      <w:r w:rsidR="00E04897">
        <w:rPr>
          <w:rFonts w:eastAsia="Calibri"/>
          <w:lang w:val="lt-LT"/>
        </w:rPr>
        <w:t xml:space="preserve">jam </w:t>
      </w:r>
      <w:r w:rsidR="001E1858" w:rsidRPr="00271015">
        <w:rPr>
          <w:rFonts w:eastAsia="Calibri"/>
          <w:lang w:val="lt-LT"/>
        </w:rPr>
        <w:t>pali</w:t>
      </w:r>
      <w:r w:rsidR="00E04897">
        <w:rPr>
          <w:rFonts w:eastAsia="Calibri"/>
          <w:lang w:val="lt-LT"/>
        </w:rPr>
        <w:t>ekamas</w:t>
      </w:r>
      <w:r w:rsidR="001E1858" w:rsidRPr="00271015">
        <w:rPr>
          <w:rFonts w:eastAsia="Calibri"/>
          <w:lang w:val="lt-LT"/>
        </w:rPr>
        <w:t xml:space="preserve"> </w:t>
      </w:r>
      <w:r w:rsidRPr="00271015">
        <w:rPr>
          <w:rFonts w:eastAsia="Calibri"/>
          <w:lang w:val="lt-LT"/>
        </w:rPr>
        <w:t xml:space="preserve">galioti pirmosios instancijos teismo </w:t>
      </w:r>
      <w:r w:rsidR="001E1858" w:rsidRPr="00271015">
        <w:rPr>
          <w:rFonts w:eastAsia="Calibri"/>
          <w:lang w:val="lt-LT"/>
        </w:rPr>
        <w:t>išteisinam</w:t>
      </w:r>
      <w:r w:rsidR="001E1858">
        <w:rPr>
          <w:rFonts w:eastAsia="Calibri"/>
          <w:lang w:val="lt-LT"/>
        </w:rPr>
        <w:t>asis</w:t>
      </w:r>
      <w:r w:rsidR="001E1858" w:rsidRPr="00271015">
        <w:rPr>
          <w:rFonts w:eastAsia="Calibri"/>
          <w:lang w:val="lt-LT"/>
        </w:rPr>
        <w:t xml:space="preserve"> nuosprend</w:t>
      </w:r>
      <w:r w:rsidR="001E1858">
        <w:rPr>
          <w:rFonts w:eastAsia="Calibri"/>
          <w:lang w:val="lt-LT"/>
        </w:rPr>
        <w:t>is</w:t>
      </w:r>
      <w:r w:rsidR="00271015" w:rsidRPr="00271015">
        <w:rPr>
          <w:rFonts w:eastAsia="Calibri"/>
          <w:lang w:val="lt-LT"/>
        </w:rPr>
        <w:t xml:space="preserve"> </w:t>
      </w:r>
      <w:r w:rsidRPr="00271015">
        <w:rPr>
          <w:rFonts w:eastAsia="Calibri"/>
          <w:lang w:val="lt-LT"/>
        </w:rPr>
        <w:t>be pakeitimų.</w:t>
      </w:r>
    </w:p>
    <w:p w14:paraId="7071437E" w14:textId="77777777" w:rsidR="00E655CD" w:rsidRPr="007F5BAA" w:rsidRDefault="00E655CD" w:rsidP="00DC2180">
      <w:pPr>
        <w:spacing w:before="120"/>
        <w:ind w:left="0" w:firstLine="0"/>
        <w:rPr>
          <w:lang w:val="lt-LT" w:eastAsia="lt-LT"/>
        </w:rPr>
      </w:pPr>
    </w:p>
    <w:p w14:paraId="3FFE3D57" w14:textId="3A77295B" w:rsidR="00DC2180" w:rsidRPr="007F5BAA" w:rsidRDefault="00C4029F" w:rsidP="00ED34F3">
      <w:pPr>
        <w:spacing w:before="120" w:after="0"/>
        <w:ind w:left="0" w:firstLine="709"/>
        <w:rPr>
          <w:lang w:val="lt-LT"/>
        </w:rPr>
      </w:pPr>
      <w:r w:rsidRPr="007F5BAA">
        <w:rPr>
          <w:lang w:val="lt-LT"/>
        </w:rPr>
        <w:t>Išplėstinė septynių teisėjų kolegija</w:t>
      </w:r>
      <w:r w:rsidR="00DC2180" w:rsidRPr="007F5BAA">
        <w:rPr>
          <w:lang w:val="lt-LT"/>
        </w:rPr>
        <w:t>, atsižvelgdama į išdėstytus argumentus ir vadovaudamasi Lietuvos Respublikos baudžiamojo proceso kodekso</w:t>
      </w:r>
      <w:r w:rsidR="00ED34F3" w:rsidRPr="007F5BAA">
        <w:rPr>
          <w:lang w:val="lt-LT"/>
        </w:rPr>
        <w:t xml:space="preserve"> 382 straipsnio 4 punktu,</w:t>
      </w:r>
    </w:p>
    <w:p w14:paraId="1784100B" w14:textId="77777777" w:rsidR="00DC2180" w:rsidRPr="007F5BAA" w:rsidRDefault="00DC2180" w:rsidP="00DC2180">
      <w:pPr>
        <w:spacing w:after="0"/>
        <w:ind w:left="0" w:firstLine="720"/>
        <w:rPr>
          <w:lang w:val="lt-LT"/>
        </w:rPr>
      </w:pPr>
    </w:p>
    <w:p w14:paraId="40683CE1" w14:textId="77777777" w:rsidR="00DC2180" w:rsidRPr="007F5BAA" w:rsidRDefault="00DC2180" w:rsidP="00DC2180">
      <w:pPr>
        <w:spacing w:after="0"/>
        <w:ind w:left="0" w:firstLine="0"/>
        <w:rPr>
          <w:lang w:val="lt-LT"/>
        </w:rPr>
      </w:pPr>
      <w:r w:rsidRPr="007F5BAA">
        <w:rPr>
          <w:lang w:val="lt-LT"/>
        </w:rPr>
        <w:t>n u t a r i a :</w:t>
      </w:r>
    </w:p>
    <w:p w14:paraId="79F45721" w14:textId="77777777" w:rsidR="00DC2180" w:rsidRPr="007F5BAA" w:rsidRDefault="00DC2180" w:rsidP="00DC2180">
      <w:pPr>
        <w:spacing w:after="0"/>
        <w:ind w:left="0" w:firstLine="720"/>
        <w:rPr>
          <w:lang w:val="lt-LT"/>
        </w:rPr>
      </w:pPr>
    </w:p>
    <w:p w14:paraId="2DBF9390" w14:textId="1746F141" w:rsidR="00DC2180" w:rsidRPr="007F5BAA" w:rsidRDefault="00ED34F3" w:rsidP="00DC2180">
      <w:pPr>
        <w:spacing w:after="160" w:line="259" w:lineRule="auto"/>
        <w:ind w:left="0" w:firstLine="720"/>
        <w:rPr>
          <w:rFonts w:eastAsia="Calibri"/>
          <w:lang w:val="lt-LT"/>
        </w:rPr>
      </w:pPr>
      <w:r w:rsidRPr="007F5BAA">
        <w:rPr>
          <w:rFonts w:eastAsia="Calibri"/>
          <w:lang w:val="lt-LT"/>
        </w:rPr>
        <w:t xml:space="preserve">Panaikinti Šiaulių apygardos teismo Baudžiamųjų bylų skyriaus teisėjų kolegijos 2023 m. lapkričio 15 d. nuosprendį ir palikti galioti Šiaulių apylinkės teismo 2023 m. liepos 13 d. nuosprendį be pakeitimų.  </w:t>
      </w:r>
    </w:p>
    <w:p w14:paraId="298CB77B" w14:textId="77777777" w:rsidR="00DC2180" w:rsidRPr="007F5BAA" w:rsidRDefault="00DC2180" w:rsidP="00DC2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lang w:val="lt-LT"/>
        </w:rPr>
      </w:pPr>
    </w:p>
    <w:p w14:paraId="0ECE3323" w14:textId="5120D954" w:rsidR="00ED34F3" w:rsidRPr="007F5BAA" w:rsidRDefault="00DC2180" w:rsidP="00ED34F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lang w:val="lt-LT"/>
        </w:rPr>
      </w:pPr>
      <w:r w:rsidRPr="007F5BAA">
        <w:rPr>
          <w:lang w:val="lt-LT"/>
        </w:rPr>
        <w:t xml:space="preserve">Teisėjai </w:t>
      </w:r>
      <w:r w:rsidRPr="007F5BAA">
        <w:rPr>
          <w:lang w:val="lt-LT"/>
        </w:rPr>
        <w:tab/>
      </w:r>
      <w:r w:rsidRPr="007F5BAA">
        <w:rPr>
          <w:lang w:val="lt-LT"/>
        </w:rPr>
        <w:tab/>
      </w:r>
      <w:r w:rsidRPr="007F5BAA">
        <w:rPr>
          <w:lang w:val="lt-LT"/>
        </w:rPr>
        <w:tab/>
      </w:r>
      <w:r w:rsidRPr="007F5BAA">
        <w:rPr>
          <w:lang w:val="lt-LT"/>
        </w:rPr>
        <w:tab/>
      </w:r>
      <w:r w:rsidRPr="007F5BAA">
        <w:rPr>
          <w:lang w:val="lt-LT"/>
        </w:rPr>
        <w:tab/>
      </w:r>
      <w:r w:rsidR="00ED34F3" w:rsidRPr="007F5BAA">
        <w:rPr>
          <w:lang w:val="lt-LT"/>
        </w:rPr>
        <w:tab/>
        <w:t xml:space="preserve"> Alvydas Pikelis </w:t>
      </w:r>
    </w:p>
    <w:p w14:paraId="178C8628" w14:textId="09F7BC1D"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r>
      <w:r w:rsidRPr="007F5BAA">
        <w:rPr>
          <w:lang w:val="lt-LT"/>
        </w:rPr>
        <w:tab/>
      </w:r>
      <w:r w:rsidRPr="007F5BAA">
        <w:rPr>
          <w:lang w:val="lt-LT"/>
        </w:rPr>
        <w:br/>
      </w:r>
      <w:r w:rsidRPr="007F5BAA">
        <w:rPr>
          <w:lang w:val="lt-LT"/>
        </w:rPr>
        <w:tab/>
      </w:r>
      <w:r w:rsidRPr="007F5BAA">
        <w:rPr>
          <w:lang w:val="lt-LT"/>
        </w:rPr>
        <w:tab/>
      </w:r>
      <w:r w:rsidRPr="007F5BAA">
        <w:rPr>
          <w:lang w:val="lt-LT"/>
        </w:rPr>
        <w:tab/>
      </w:r>
      <w:r w:rsidRPr="007F5BAA">
        <w:rPr>
          <w:lang w:val="lt-LT"/>
        </w:rPr>
        <w:tab/>
      </w:r>
      <w:r w:rsidRPr="007F5BAA">
        <w:rPr>
          <w:lang w:val="lt-LT"/>
        </w:rPr>
        <w:tab/>
        <w:t>Olegas Fedosiukas</w:t>
      </w:r>
    </w:p>
    <w:p w14:paraId="0F49A961" w14:textId="77777777" w:rsidR="00ED34F3" w:rsidRPr="007F5BAA" w:rsidRDefault="00ED34F3" w:rsidP="00ED34F3">
      <w:pPr>
        <w:spacing w:after="0"/>
        <w:ind w:left="0" w:firstLine="0"/>
        <w:rPr>
          <w:lang w:val="lt-LT"/>
        </w:rPr>
      </w:pPr>
    </w:p>
    <w:p w14:paraId="0503681A" w14:textId="3C832C5C"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t xml:space="preserve">Sigita </w:t>
      </w:r>
      <w:proofErr w:type="spellStart"/>
      <w:r w:rsidRPr="007F5BAA">
        <w:rPr>
          <w:lang w:val="lt-LT"/>
        </w:rPr>
        <w:t>Jokimaitė</w:t>
      </w:r>
      <w:proofErr w:type="spellEnd"/>
    </w:p>
    <w:p w14:paraId="0B34DC4A" w14:textId="77777777" w:rsidR="00ED34F3" w:rsidRPr="007F5BAA" w:rsidRDefault="00ED34F3" w:rsidP="00ED34F3">
      <w:pPr>
        <w:spacing w:after="0"/>
        <w:ind w:left="0" w:firstLine="0"/>
        <w:rPr>
          <w:lang w:val="lt-LT"/>
        </w:rPr>
      </w:pPr>
    </w:p>
    <w:p w14:paraId="6EBD706E" w14:textId="6F4ADF1C" w:rsidR="00ED34F3"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t>Gabrielė Juodkaitė-</w:t>
      </w:r>
      <w:proofErr w:type="spellStart"/>
      <w:r w:rsidRPr="007F5BAA">
        <w:rPr>
          <w:lang w:val="lt-LT"/>
        </w:rPr>
        <w:t>Granskienė</w:t>
      </w:r>
      <w:proofErr w:type="spellEnd"/>
    </w:p>
    <w:p w14:paraId="5D6BDC12" w14:textId="77777777" w:rsidR="007F5BAA" w:rsidRPr="007F5BAA" w:rsidRDefault="007F5BAA" w:rsidP="00ED34F3">
      <w:pPr>
        <w:spacing w:after="0"/>
        <w:ind w:left="0" w:firstLine="0"/>
        <w:rPr>
          <w:lang w:val="lt-LT"/>
        </w:rPr>
      </w:pPr>
    </w:p>
    <w:p w14:paraId="748F14A2" w14:textId="265E1E99"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t xml:space="preserve">Artūras </w:t>
      </w:r>
      <w:proofErr w:type="spellStart"/>
      <w:r w:rsidRPr="007F5BAA">
        <w:rPr>
          <w:lang w:val="lt-LT"/>
        </w:rPr>
        <w:t>Pažarskis</w:t>
      </w:r>
      <w:proofErr w:type="spellEnd"/>
    </w:p>
    <w:p w14:paraId="1FF2E64E" w14:textId="77777777"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r>
      <w:r w:rsidRPr="007F5BAA">
        <w:rPr>
          <w:lang w:val="lt-LT"/>
        </w:rPr>
        <w:tab/>
      </w:r>
    </w:p>
    <w:p w14:paraId="3017819D" w14:textId="03C89CF1"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t xml:space="preserve">Alenas </w:t>
      </w:r>
      <w:proofErr w:type="spellStart"/>
      <w:r w:rsidRPr="007F5BAA">
        <w:rPr>
          <w:lang w:val="lt-LT"/>
        </w:rPr>
        <w:t>Piesliakas</w:t>
      </w:r>
      <w:proofErr w:type="spellEnd"/>
    </w:p>
    <w:p w14:paraId="26DCFF31" w14:textId="77777777" w:rsidR="00ED34F3"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r>
      <w:r w:rsidRPr="007F5BAA">
        <w:rPr>
          <w:lang w:val="lt-LT"/>
        </w:rPr>
        <w:tab/>
      </w:r>
    </w:p>
    <w:p w14:paraId="795FF3A7" w14:textId="4239765C" w:rsidR="00662A30" w:rsidRPr="007F5BAA" w:rsidRDefault="00ED34F3" w:rsidP="00ED34F3">
      <w:pPr>
        <w:spacing w:after="0"/>
        <w:ind w:left="0" w:firstLine="0"/>
        <w:rPr>
          <w:lang w:val="lt-LT"/>
        </w:rPr>
      </w:pPr>
      <w:r w:rsidRPr="007F5BAA">
        <w:rPr>
          <w:lang w:val="lt-LT"/>
        </w:rPr>
        <w:tab/>
      </w:r>
      <w:r w:rsidRPr="007F5BAA">
        <w:rPr>
          <w:lang w:val="lt-LT"/>
        </w:rPr>
        <w:tab/>
      </w:r>
      <w:r w:rsidRPr="007F5BAA">
        <w:rPr>
          <w:lang w:val="lt-LT"/>
        </w:rPr>
        <w:tab/>
      </w:r>
      <w:r w:rsidRPr="007F5BAA">
        <w:rPr>
          <w:lang w:val="lt-LT"/>
        </w:rPr>
        <w:tab/>
      </w:r>
      <w:r w:rsidRPr="007F5BAA">
        <w:rPr>
          <w:lang w:val="lt-LT"/>
        </w:rPr>
        <w:tab/>
        <w:t xml:space="preserve">Eligijus </w:t>
      </w:r>
      <w:proofErr w:type="spellStart"/>
      <w:r w:rsidRPr="007F5BAA">
        <w:rPr>
          <w:lang w:val="lt-LT"/>
        </w:rPr>
        <w:t>Gladutis</w:t>
      </w:r>
      <w:proofErr w:type="spellEnd"/>
    </w:p>
    <w:sectPr w:rsidR="00662A30" w:rsidRPr="007F5BAA" w:rsidSect="0015603C">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7419A" w14:textId="77777777" w:rsidR="0040704A" w:rsidRDefault="0040704A">
      <w:pPr>
        <w:spacing w:after="0"/>
      </w:pPr>
      <w:r>
        <w:separator/>
      </w:r>
    </w:p>
  </w:endnote>
  <w:endnote w:type="continuationSeparator" w:id="0">
    <w:p w14:paraId="4251EE41" w14:textId="77777777" w:rsidR="0040704A" w:rsidRDefault="004070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7B1C8" w14:textId="77777777" w:rsidR="0040704A" w:rsidRDefault="0040704A">
      <w:pPr>
        <w:spacing w:after="0"/>
      </w:pPr>
      <w:r>
        <w:separator/>
      </w:r>
    </w:p>
  </w:footnote>
  <w:footnote w:type="continuationSeparator" w:id="0">
    <w:p w14:paraId="699A4F81" w14:textId="77777777" w:rsidR="0040704A" w:rsidRDefault="004070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E2480" w14:textId="77777777" w:rsidR="00CF4809" w:rsidRDefault="00CF48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FB02CB" w14:textId="77777777" w:rsidR="00CF4809" w:rsidRDefault="00CF48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7FB78" w14:textId="31406C66" w:rsidR="00CF4809" w:rsidRDefault="00CF480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504DF">
      <w:rPr>
        <w:rStyle w:val="Puslapionumeris"/>
        <w:noProof/>
      </w:rPr>
      <w:t>11</w:t>
    </w:r>
    <w:r>
      <w:rPr>
        <w:rStyle w:val="Puslapionumeris"/>
      </w:rPr>
      <w:fldChar w:fldCharType="end"/>
    </w:r>
  </w:p>
  <w:p w14:paraId="1146EC29" w14:textId="77777777" w:rsidR="00CF4809" w:rsidRDefault="00CF480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3A75"/>
    <w:multiLevelType w:val="hybridMultilevel"/>
    <w:tmpl w:val="AE4894D6"/>
    <w:lvl w:ilvl="0" w:tplc="89AAC3EA">
      <w:start w:val="1"/>
      <w:numFmt w:val="decimal"/>
      <w:lvlText w:val="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C308A7"/>
    <w:multiLevelType w:val="hybridMultilevel"/>
    <w:tmpl w:val="9ED02926"/>
    <w:lvl w:ilvl="0" w:tplc="E6DC076C">
      <w:start w:val="1"/>
      <w:numFmt w:val="decimal"/>
      <w:lvlText w:val="13.%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8E5689"/>
    <w:multiLevelType w:val="multilevel"/>
    <w:tmpl w:val="8134087C"/>
    <w:lvl w:ilvl="0">
      <w:start w:val="1"/>
      <w:numFmt w:val="decimal"/>
      <w:lvlText w:val="%1."/>
      <w:lvlJc w:val="left"/>
      <w:pPr>
        <w:ind w:left="360" w:hanging="360"/>
      </w:pPr>
      <w:rPr>
        <w:b w:val="0"/>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DB30C5"/>
    <w:multiLevelType w:val="hybridMultilevel"/>
    <w:tmpl w:val="CDBEB0A2"/>
    <w:lvl w:ilvl="0" w:tplc="E206A224">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 w15:restartNumberingAfterBreak="0">
    <w:nsid w:val="18507242"/>
    <w:multiLevelType w:val="hybridMultilevel"/>
    <w:tmpl w:val="C3563D40"/>
    <w:lvl w:ilvl="0" w:tplc="50007354">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97D0CBE"/>
    <w:multiLevelType w:val="hybridMultilevel"/>
    <w:tmpl w:val="E5F81B78"/>
    <w:lvl w:ilvl="0" w:tplc="E5BCFE52">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06E5A58"/>
    <w:multiLevelType w:val="hybridMultilevel"/>
    <w:tmpl w:val="CAAA6502"/>
    <w:lvl w:ilvl="0" w:tplc="58701DA2">
      <w:start w:val="1"/>
      <w:numFmt w:val="decimal"/>
      <w:suff w:val="space"/>
      <w:lvlText w:val="2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02639F"/>
    <w:multiLevelType w:val="hybridMultilevel"/>
    <w:tmpl w:val="398C0C8C"/>
    <w:lvl w:ilvl="0" w:tplc="71E6EA50">
      <w:start w:val="1"/>
      <w:numFmt w:val="decimal"/>
      <w:lvlText w:val="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A9F16B0"/>
    <w:multiLevelType w:val="hybridMultilevel"/>
    <w:tmpl w:val="5DCE0748"/>
    <w:lvl w:ilvl="0" w:tplc="14822FB4">
      <w:start w:val="1"/>
      <w:numFmt w:val="decimal"/>
      <w:suff w:val="space"/>
      <w:lvlText w:val="13.%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27A0A85"/>
    <w:multiLevelType w:val="hybridMultilevel"/>
    <w:tmpl w:val="91420F34"/>
    <w:lvl w:ilvl="0" w:tplc="D93C8504">
      <w:start w:val="1"/>
      <w:numFmt w:val="decimal"/>
      <w:lvlText w:val="8.%1."/>
      <w:lvlJc w:val="left"/>
      <w:pPr>
        <w:ind w:left="720" w:hanging="360"/>
      </w:pPr>
      <w:rPr>
        <w:rFonts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A394102"/>
    <w:multiLevelType w:val="hybridMultilevel"/>
    <w:tmpl w:val="3D66FF28"/>
    <w:lvl w:ilvl="0" w:tplc="1FE6003C">
      <w:start w:val="1"/>
      <w:numFmt w:val="decimal"/>
      <w:lvlText w:val="10.%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A8F0628"/>
    <w:multiLevelType w:val="hybridMultilevel"/>
    <w:tmpl w:val="1236E7FA"/>
    <w:lvl w:ilvl="0" w:tplc="80D03DF8">
      <w:start w:val="1"/>
      <w:numFmt w:val="decimal"/>
      <w:suff w:val="space"/>
      <w:lvlText w:val="1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1365793"/>
    <w:multiLevelType w:val="hybridMultilevel"/>
    <w:tmpl w:val="7AAEF87E"/>
    <w:lvl w:ilvl="0" w:tplc="2F82FB5A">
      <w:start w:val="1"/>
      <w:numFmt w:val="decimal"/>
      <w:lvlText w:val="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14B64F2"/>
    <w:multiLevelType w:val="hybridMultilevel"/>
    <w:tmpl w:val="12CA481A"/>
    <w:lvl w:ilvl="0" w:tplc="436C14E0">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562C0F0C"/>
    <w:multiLevelType w:val="multilevel"/>
    <w:tmpl w:val="0809001F"/>
    <w:lvl w:ilvl="0">
      <w:start w:val="1"/>
      <w:numFmt w:val="decimal"/>
      <w:lvlText w:val="%1."/>
      <w:lvlJc w:val="left"/>
      <w:pPr>
        <w:ind w:left="360" w:hanging="360"/>
      </w:pPr>
      <w:rPr>
        <w:rFonts w:hint="default"/>
        <w:b w:val="0"/>
        <w:b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6" w15:restartNumberingAfterBreak="0">
    <w:nsid w:val="71A06827"/>
    <w:multiLevelType w:val="hybridMultilevel"/>
    <w:tmpl w:val="B33A3880"/>
    <w:lvl w:ilvl="0" w:tplc="C7CC88C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7" w15:restartNumberingAfterBreak="0">
    <w:nsid w:val="7D201633"/>
    <w:multiLevelType w:val="hybridMultilevel"/>
    <w:tmpl w:val="B6463B78"/>
    <w:lvl w:ilvl="0" w:tplc="9DC06C7E">
      <w:start w:val="1"/>
      <w:numFmt w:val="decimal"/>
      <w:suff w:val="space"/>
      <w:lvlText w:val="15.%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77223392">
    <w:abstractNumId w:val="2"/>
  </w:num>
  <w:num w:numId="2" w16cid:durableId="986475438">
    <w:abstractNumId w:val="16"/>
  </w:num>
  <w:num w:numId="3" w16cid:durableId="478234750">
    <w:abstractNumId w:val="14"/>
  </w:num>
  <w:num w:numId="4" w16cid:durableId="358051839">
    <w:abstractNumId w:val="4"/>
  </w:num>
  <w:num w:numId="5" w16cid:durableId="1700931119">
    <w:abstractNumId w:val="15"/>
  </w:num>
  <w:num w:numId="6" w16cid:durableId="1571962085">
    <w:abstractNumId w:val="3"/>
  </w:num>
  <w:num w:numId="7" w16cid:durableId="984160071">
    <w:abstractNumId w:val="7"/>
  </w:num>
  <w:num w:numId="8" w16cid:durableId="1354722887">
    <w:abstractNumId w:val="0"/>
  </w:num>
  <w:num w:numId="9" w16cid:durableId="1833985977">
    <w:abstractNumId w:val="12"/>
  </w:num>
  <w:num w:numId="10" w16cid:durableId="1601990689">
    <w:abstractNumId w:val="5"/>
  </w:num>
  <w:num w:numId="11" w16cid:durableId="1196117298">
    <w:abstractNumId w:val="9"/>
  </w:num>
  <w:num w:numId="12" w16cid:durableId="1815758666">
    <w:abstractNumId w:val="11"/>
  </w:num>
  <w:num w:numId="13" w16cid:durableId="449587912">
    <w:abstractNumId w:val="10"/>
  </w:num>
  <w:num w:numId="14" w16cid:durableId="2051032067">
    <w:abstractNumId w:val="1"/>
  </w:num>
  <w:num w:numId="15" w16cid:durableId="1049381773">
    <w:abstractNumId w:val="17"/>
  </w:num>
  <w:num w:numId="16" w16cid:durableId="352607778">
    <w:abstractNumId w:val="13"/>
  </w:num>
  <w:num w:numId="17" w16cid:durableId="2095323248">
    <w:abstractNumId w:val="8"/>
  </w:num>
  <w:num w:numId="18" w16cid:durableId="10328485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39"/>
    <w:rsid w:val="000018A9"/>
    <w:rsid w:val="00002DC4"/>
    <w:rsid w:val="00012321"/>
    <w:rsid w:val="00012AE5"/>
    <w:rsid w:val="00013355"/>
    <w:rsid w:val="000136FC"/>
    <w:rsid w:val="00014DD4"/>
    <w:rsid w:val="00020217"/>
    <w:rsid w:val="0002160A"/>
    <w:rsid w:val="00021B2E"/>
    <w:rsid w:val="00025269"/>
    <w:rsid w:val="000252AC"/>
    <w:rsid w:val="00030594"/>
    <w:rsid w:val="00032F00"/>
    <w:rsid w:val="00034691"/>
    <w:rsid w:val="00036118"/>
    <w:rsid w:val="00036A2B"/>
    <w:rsid w:val="00036C7F"/>
    <w:rsid w:val="000404CF"/>
    <w:rsid w:val="00040AF3"/>
    <w:rsid w:val="000413F1"/>
    <w:rsid w:val="00043672"/>
    <w:rsid w:val="0004720C"/>
    <w:rsid w:val="0005024D"/>
    <w:rsid w:val="00050C4A"/>
    <w:rsid w:val="000520B8"/>
    <w:rsid w:val="0005305E"/>
    <w:rsid w:val="000534CA"/>
    <w:rsid w:val="00053911"/>
    <w:rsid w:val="0006382C"/>
    <w:rsid w:val="00064488"/>
    <w:rsid w:val="000648FA"/>
    <w:rsid w:val="00064CF2"/>
    <w:rsid w:val="0006576A"/>
    <w:rsid w:val="00066553"/>
    <w:rsid w:val="00067D2F"/>
    <w:rsid w:val="00070E71"/>
    <w:rsid w:val="00071766"/>
    <w:rsid w:val="000725F0"/>
    <w:rsid w:val="00076DC5"/>
    <w:rsid w:val="00080463"/>
    <w:rsid w:val="00080F3D"/>
    <w:rsid w:val="000811FA"/>
    <w:rsid w:val="0008141E"/>
    <w:rsid w:val="000825A4"/>
    <w:rsid w:val="00083F69"/>
    <w:rsid w:val="0008481F"/>
    <w:rsid w:val="00087870"/>
    <w:rsid w:val="000879AF"/>
    <w:rsid w:val="00091C15"/>
    <w:rsid w:val="00096E57"/>
    <w:rsid w:val="000A02D8"/>
    <w:rsid w:val="000A0FF0"/>
    <w:rsid w:val="000A1BEF"/>
    <w:rsid w:val="000A3222"/>
    <w:rsid w:val="000A3DE8"/>
    <w:rsid w:val="000A537C"/>
    <w:rsid w:val="000A583B"/>
    <w:rsid w:val="000A6E33"/>
    <w:rsid w:val="000B20C0"/>
    <w:rsid w:val="000B2416"/>
    <w:rsid w:val="000B2CD9"/>
    <w:rsid w:val="000B4D5C"/>
    <w:rsid w:val="000B5B1D"/>
    <w:rsid w:val="000B6C50"/>
    <w:rsid w:val="000C0A9B"/>
    <w:rsid w:val="000C156E"/>
    <w:rsid w:val="000C3FA1"/>
    <w:rsid w:val="000C7159"/>
    <w:rsid w:val="000C71D4"/>
    <w:rsid w:val="000C7A84"/>
    <w:rsid w:val="000D0AD0"/>
    <w:rsid w:val="000D20DE"/>
    <w:rsid w:val="000D2B08"/>
    <w:rsid w:val="000D3236"/>
    <w:rsid w:val="000D4141"/>
    <w:rsid w:val="000D555A"/>
    <w:rsid w:val="000D7EE4"/>
    <w:rsid w:val="000E1666"/>
    <w:rsid w:val="000E2623"/>
    <w:rsid w:val="000E6C11"/>
    <w:rsid w:val="000E712E"/>
    <w:rsid w:val="000E7F2C"/>
    <w:rsid w:val="000F3E60"/>
    <w:rsid w:val="000F70E4"/>
    <w:rsid w:val="000F7D09"/>
    <w:rsid w:val="00100798"/>
    <w:rsid w:val="00100FB3"/>
    <w:rsid w:val="00102910"/>
    <w:rsid w:val="00103C7A"/>
    <w:rsid w:val="00105075"/>
    <w:rsid w:val="00105939"/>
    <w:rsid w:val="00106119"/>
    <w:rsid w:val="00112179"/>
    <w:rsid w:val="001176AA"/>
    <w:rsid w:val="00123833"/>
    <w:rsid w:val="00124F8F"/>
    <w:rsid w:val="001266DC"/>
    <w:rsid w:val="00127663"/>
    <w:rsid w:val="00133AA3"/>
    <w:rsid w:val="00133AA9"/>
    <w:rsid w:val="00134BB6"/>
    <w:rsid w:val="00141D0D"/>
    <w:rsid w:val="00142CC2"/>
    <w:rsid w:val="001463FE"/>
    <w:rsid w:val="00147D2D"/>
    <w:rsid w:val="0015091C"/>
    <w:rsid w:val="00151149"/>
    <w:rsid w:val="0015283D"/>
    <w:rsid w:val="001545C4"/>
    <w:rsid w:val="0015603C"/>
    <w:rsid w:val="001561A1"/>
    <w:rsid w:val="00167868"/>
    <w:rsid w:val="0017270A"/>
    <w:rsid w:val="00174DC2"/>
    <w:rsid w:val="00175DE0"/>
    <w:rsid w:val="00177E04"/>
    <w:rsid w:val="0018011C"/>
    <w:rsid w:val="00183427"/>
    <w:rsid w:val="00184895"/>
    <w:rsid w:val="00185BE9"/>
    <w:rsid w:val="001865B9"/>
    <w:rsid w:val="00186810"/>
    <w:rsid w:val="001876AC"/>
    <w:rsid w:val="00187E62"/>
    <w:rsid w:val="0019044F"/>
    <w:rsid w:val="00193342"/>
    <w:rsid w:val="00193B38"/>
    <w:rsid w:val="00193C97"/>
    <w:rsid w:val="00195A7A"/>
    <w:rsid w:val="00195F28"/>
    <w:rsid w:val="001A170C"/>
    <w:rsid w:val="001A2AEB"/>
    <w:rsid w:val="001A64DC"/>
    <w:rsid w:val="001A7890"/>
    <w:rsid w:val="001B4448"/>
    <w:rsid w:val="001B610D"/>
    <w:rsid w:val="001B6304"/>
    <w:rsid w:val="001B7A1C"/>
    <w:rsid w:val="001C0D62"/>
    <w:rsid w:val="001C5D87"/>
    <w:rsid w:val="001C61D7"/>
    <w:rsid w:val="001C7869"/>
    <w:rsid w:val="001C78A0"/>
    <w:rsid w:val="001D0755"/>
    <w:rsid w:val="001D3C89"/>
    <w:rsid w:val="001D4FE3"/>
    <w:rsid w:val="001D520D"/>
    <w:rsid w:val="001D6E57"/>
    <w:rsid w:val="001E1858"/>
    <w:rsid w:val="001E2BFF"/>
    <w:rsid w:val="001E47A6"/>
    <w:rsid w:val="001F44EC"/>
    <w:rsid w:val="001F55E2"/>
    <w:rsid w:val="001F627B"/>
    <w:rsid w:val="001F76B4"/>
    <w:rsid w:val="00201F6D"/>
    <w:rsid w:val="002021C5"/>
    <w:rsid w:val="00203FBC"/>
    <w:rsid w:val="00207104"/>
    <w:rsid w:val="0020740F"/>
    <w:rsid w:val="00210534"/>
    <w:rsid w:val="0021133E"/>
    <w:rsid w:val="002137AA"/>
    <w:rsid w:val="00215C47"/>
    <w:rsid w:val="0021665E"/>
    <w:rsid w:val="0022294F"/>
    <w:rsid w:val="0022302D"/>
    <w:rsid w:val="00224107"/>
    <w:rsid w:val="0022422C"/>
    <w:rsid w:val="002263FA"/>
    <w:rsid w:val="00232333"/>
    <w:rsid w:val="002379A2"/>
    <w:rsid w:val="00240871"/>
    <w:rsid w:val="002415DC"/>
    <w:rsid w:val="002430A3"/>
    <w:rsid w:val="002445EA"/>
    <w:rsid w:val="00245CA3"/>
    <w:rsid w:val="00250DF8"/>
    <w:rsid w:val="00251BE2"/>
    <w:rsid w:val="00253E26"/>
    <w:rsid w:val="00253E34"/>
    <w:rsid w:val="00254361"/>
    <w:rsid w:val="0025643A"/>
    <w:rsid w:val="00261921"/>
    <w:rsid w:val="0026247D"/>
    <w:rsid w:val="00263093"/>
    <w:rsid w:val="00264498"/>
    <w:rsid w:val="00266C88"/>
    <w:rsid w:val="00266F89"/>
    <w:rsid w:val="00271015"/>
    <w:rsid w:val="002714B1"/>
    <w:rsid w:val="0027385A"/>
    <w:rsid w:val="00281B87"/>
    <w:rsid w:val="0028503E"/>
    <w:rsid w:val="002852D1"/>
    <w:rsid w:val="00290AE2"/>
    <w:rsid w:val="0029339E"/>
    <w:rsid w:val="00295933"/>
    <w:rsid w:val="002967F3"/>
    <w:rsid w:val="002A124F"/>
    <w:rsid w:val="002A1E52"/>
    <w:rsid w:val="002A1EEB"/>
    <w:rsid w:val="002A334C"/>
    <w:rsid w:val="002A3AC1"/>
    <w:rsid w:val="002B5395"/>
    <w:rsid w:val="002C1819"/>
    <w:rsid w:val="002C18C1"/>
    <w:rsid w:val="002C364A"/>
    <w:rsid w:val="002C474C"/>
    <w:rsid w:val="002C5E6D"/>
    <w:rsid w:val="002D2F01"/>
    <w:rsid w:val="002D638D"/>
    <w:rsid w:val="002E6320"/>
    <w:rsid w:val="002F172C"/>
    <w:rsid w:val="002F1B73"/>
    <w:rsid w:val="002F377B"/>
    <w:rsid w:val="002F5299"/>
    <w:rsid w:val="002F6044"/>
    <w:rsid w:val="002F7EE6"/>
    <w:rsid w:val="00301F50"/>
    <w:rsid w:val="00303073"/>
    <w:rsid w:val="00305720"/>
    <w:rsid w:val="003118CB"/>
    <w:rsid w:val="00313774"/>
    <w:rsid w:val="003145D2"/>
    <w:rsid w:val="0031512D"/>
    <w:rsid w:val="0031556F"/>
    <w:rsid w:val="00317F2A"/>
    <w:rsid w:val="0032266B"/>
    <w:rsid w:val="00322F08"/>
    <w:rsid w:val="0032422F"/>
    <w:rsid w:val="003269DC"/>
    <w:rsid w:val="003274BD"/>
    <w:rsid w:val="00330045"/>
    <w:rsid w:val="00335177"/>
    <w:rsid w:val="0033666B"/>
    <w:rsid w:val="00337401"/>
    <w:rsid w:val="00340D7E"/>
    <w:rsid w:val="00343B11"/>
    <w:rsid w:val="0034571E"/>
    <w:rsid w:val="00347655"/>
    <w:rsid w:val="0034797D"/>
    <w:rsid w:val="0035131E"/>
    <w:rsid w:val="0035157A"/>
    <w:rsid w:val="003515F8"/>
    <w:rsid w:val="003571D4"/>
    <w:rsid w:val="00360256"/>
    <w:rsid w:val="003612A1"/>
    <w:rsid w:val="003615AD"/>
    <w:rsid w:val="00375906"/>
    <w:rsid w:val="00380BC2"/>
    <w:rsid w:val="00380E51"/>
    <w:rsid w:val="003862A6"/>
    <w:rsid w:val="00391102"/>
    <w:rsid w:val="0039179A"/>
    <w:rsid w:val="003A25E0"/>
    <w:rsid w:val="003A4A92"/>
    <w:rsid w:val="003A6715"/>
    <w:rsid w:val="003A685A"/>
    <w:rsid w:val="003B0441"/>
    <w:rsid w:val="003C268B"/>
    <w:rsid w:val="003C4507"/>
    <w:rsid w:val="003C4A93"/>
    <w:rsid w:val="003C5E6B"/>
    <w:rsid w:val="003D0E54"/>
    <w:rsid w:val="003D32B9"/>
    <w:rsid w:val="003D612E"/>
    <w:rsid w:val="003D7D32"/>
    <w:rsid w:val="003E06E5"/>
    <w:rsid w:val="003E0CBD"/>
    <w:rsid w:val="003E1778"/>
    <w:rsid w:val="003E1DE2"/>
    <w:rsid w:val="003E2D86"/>
    <w:rsid w:val="003E2FEB"/>
    <w:rsid w:val="003E353D"/>
    <w:rsid w:val="003E51A8"/>
    <w:rsid w:val="003E64F0"/>
    <w:rsid w:val="003E75D9"/>
    <w:rsid w:val="003F2C23"/>
    <w:rsid w:val="003F2DB6"/>
    <w:rsid w:val="003F3CF0"/>
    <w:rsid w:val="003F60BE"/>
    <w:rsid w:val="003F6255"/>
    <w:rsid w:val="003F7B19"/>
    <w:rsid w:val="00402E42"/>
    <w:rsid w:val="004030B4"/>
    <w:rsid w:val="004046D5"/>
    <w:rsid w:val="004059D2"/>
    <w:rsid w:val="004059EC"/>
    <w:rsid w:val="00406018"/>
    <w:rsid w:val="0040704A"/>
    <w:rsid w:val="00411624"/>
    <w:rsid w:val="00411B50"/>
    <w:rsid w:val="00412384"/>
    <w:rsid w:val="00413F63"/>
    <w:rsid w:val="00414070"/>
    <w:rsid w:val="00414C45"/>
    <w:rsid w:val="004251C4"/>
    <w:rsid w:val="004253AE"/>
    <w:rsid w:val="0042690B"/>
    <w:rsid w:val="00430D1B"/>
    <w:rsid w:val="00432B78"/>
    <w:rsid w:val="00447153"/>
    <w:rsid w:val="00450393"/>
    <w:rsid w:val="004508A7"/>
    <w:rsid w:val="00456BD4"/>
    <w:rsid w:val="00464E90"/>
    <w:rsid w:val="004711A6"/>
    <w:rsid w:val="00471B7A"/>
    <w:rsid w:val="00477AED"/>
    <w:rsid w:val="00477B1A"/>
    <w:rsid w:val="00480F02"/>
    <w:rsid w:val="0048441F"/>
    <w:rsid w:val="004853B3"/>
    <w:rsid w:val="00487B79"/>
    <w:rsid w:val="00493D18"/>
    <w:rsid w:val="004944F7"/>
    <w:rsid w:val="00494532"/>
    <w:rsid w:val="004A2C58"/>
    <w:rsid w:val="004A5890"/>
    <w:rsid w:val="004A6465"/>
    <w:rsid w:val="004B2AB0"/>
    <w:rsid w:val="004C0529"/>
    <w:rsid w:val="004C0E49"/>
    <w:rsid w:val="004C1498"/>
    <w:rsid w:val="004C19E4"/>
    <w:rsid w:val="004C2769"/>
    <w:rsid w:val="004C4B03"/>
    <w:rsid w:val="004C53BD"/>
    <w:rsid w:val="004C54FE"/>
    <w:rsid w:val="004C63C2"/>
    <w:rsid w:val="004D125D"/>
    <w:rsid w:val="004D18D9"/>
    <w:rsid w:val="004D3161"/>
    <w:rsid w:val="004D4D17"/>
    <w:rsid w:val="004D5D14"/>
    <w:rsid w:val="004D6663"/>
    <w:rsid w:val="004D7B61"/>
    <w:rsid w:val="004E6F64"/>
    <w:rsid w:val="004F03C4"/>
    <w:rsid w:val="004F151F"/>
    <w:rsid w:val="004F4C0A"/>
    <w:rsid w:val="004F5388"/>
    <w:rsid w:val="004F5E0E"/>
    <w:rsid w:val="00500551"/>
    <w:rsid w:val="00501D8B"/>
    <w:rsid w:val="0050258A"/>
    <w:rsid w:val="005032A0"/>
    <w:rsid w:val="005123DD"/>
    <w:rsid w:val="00512C13"/>
    <w:rsid w:val="00513BB5"/>
    <w:rsid w:val="005218E1"/>
    <w:rsid w:val="00527122"/>
    <w:rsid w:val="00527D95"/>
    <w:rsid w:val="00530650"/>
    <w:rsid w:val="00533694"/>
    <w:rsid w:val="005351CB"/>
    <w:rsid w:val="005405D4"/>
    <w:rsid w:val="00541165"/>
    <w:rsid w:val="00541946"/>
    <w:rsid w:val="0054235C"/>
    <w:rsid w:val="00542499"/>
    <w:rsid w:val="00545797"/>
    <w:rsid w:val="005469E7"/>
    <w:rsid w:val="005514FF"/>
    <w:rsid w:val="0055241C"/>
    <w:rsid w:val="00553317"/>
    <w:rsid w:val="005552DE"/>
    <w:rsid w:val="00556D7F"/>
    <w:rsid w:val="005640AA"/>
    <w:rsid w:val="00564D04"/>
    <w:rsid w:val="005669F6"/>
    <w:rsid w:val="00567CCC"/>
    <w:rsid w:val="0057286E"/>
    <w:rsid w:val="00573373"/>
    <w:rsid w:val="00575926"/>
    <w:rsid w:val="00580838"/>
    <w:rsid w:val="00586CB7"/>
    <w:rsid w:val="00587A05"/>
    <w:rsid w:val="00590AB8"/>
    <w:rsid w:val="0059191C"/>
    <w:rsid w:val="0059633C"/>
    <w:rsid w:val="00597529"/>
    <w:rsid w:val="00597980"/>
    <w:rsid w:val="005A06ED"/>
    <w:rsid w:val="005A1013"/>
    <w:rsid w:val="005A4A4A"/>
    <w:rsid w:val="005A4EEE"/>
    <w:rsid w:val="005A54BC"/>
    <w:rsid w:val="005B1961"/>
    <w:rsid w:val="005B26F3"/>
    <w:rsid w:val="005B7074"/>
    <w:rsid w:val="005C008D"/>
    <w:rsid w:val="005C07B1"/>
    <w:rsid w:val="005C30B0"/>
    <w:rsid w:val="005C7880"/>
    <w:rsid w:val="005D0062"/>
    <w:rsid w:val="005D074B"/>
    <w:rsid w:val="005D10B8"/>
    <w:rsid w:val="005D47D5"/>
    <w:rsid w:val="005D544F"/>
    <w:rsid w:val="005D572B"/>
    <w:rsid w:val="005D7E48"/>
    <w:rsid w:val="005E2EDD"/>
    <w:rsid w:val="005E3A80"/>
    <w:rsid w:val="005E65D0"/>
    <w:rsid w:val="005E78DB"/>
    <w:rsid w:val="005F07D6"/>
    <w:rsid w:val="005F24D4"/>
    <w:rsid w:val="005F7BF3"/>
    <w:rsid w:val="005F7E66"/>
    <w:rsid w:val="00600697"/>
    <w:rsid w:val="00600A57"/>
    <w:rsid w:val="0060327A"/>
    <w:rsid w:val="00603FD2"/>
    <w:rsid w:val="0060663C"/>
    <w:rsid w:val="00610453"/>
    <w:rsid w:val="006118D2"/>
    <w:rsid w:val="006130A0"/>
    <w:rsid w:val="00620A4D"/>
    <w:rsid w:val="006216CD"/>
    <w:rsid w:val="00621950"/>
    <w:rsid w:val="00621F4B"/>
    <w:rsid w:val="0062441D"/>
    <w:rsid w:val="00624BDF"/>
    <w:rsid w:val="0062676B"/>
    <w:rsid w:val="00631D49"/>
    <w:rsid w:val="006341C0"/>
    <w:rsid w:val="006344F5"/>
    <w:rsid w:val="0063481F"/>
    <w:rsid w:val="00637098"/>
    <w:rsid w:val="006417B2"/>
    <w:rsid w:val="006454DE"/>
    <w:rsid w:val="00651CE6"/>
    <w:rsid w:val="00652A8C"/>
    <w:rsid w:val="006576CA"/>
    <w:rsid w:val="00657B29"/>
    <w:rsid w:val="0066283A"/>
    <w:rsid w:val="00662A30"/>
    <w:rsid w:val="00662D3A"/>
    <w:rsid w:val="00662FF4"/>
    <w:rsid w:val="00664424"/>
    <w:rsid w:val="006645D9"/>
    <w:rsid w:val="00665ADF"/>
    <w:rsid w:val="0066747B"/>
    <w:rsid w:val="00672964"/>
    <w:rsid w:val="00673B28"/>
    <w:rsid w:val="006750B2"/>
    <w:rsid w:val="00676DA7"/>
    <w:rsid w:val="00680441"/>
    <w:rsid w:val="00681178"/>
    <w:rsid w:val="00683E34"/>
    <w:rsid w:val="00684195"/>
    <w:rsid w:val="006842F8"/>
    <w:rsid w:val="00684813"/>
    <w:rsid w:val="00684E33"/>
    <w:rsid w:val="00691A5F"/>
    <w:rsid w:val="00694DE5"/>
    <w:rsid w:val="006A026D"/>
    <w:rsid w:val="006A0D2E"/>
    <w:rsid w:val="006A18E9"/>
    <w:rsid w:val="006A48F5"/>
    <w:rsid w:val="006B0089"/>
    <w:rsid w:val="006B2B2A"/>
    <w:rsid w:val="006B3031"/>
    <w:rsid w:val="006B339C"/>
    <w:rsid w:val="006B4FB3"/>
    <w:rsid w:val="006B5678"/>
    <w:rsid w:val="006C16FA"/>
    <w:rsid w:val="006C329F"/>
    <w:rsid w:val="006C74D1"/>
    <w:rsid w:val="006D044D"/>
    <w:rsid w:val="006D2DA5"/>
    <w:rsid w:val="006D59CE"/>
    <w:rsid w:val="006D5DFA"/>
    <w:rsid w:val="006D5EB3"/>
    <w:rsid w:val="006D5F9A"/>
    <w:rsid w:val="006E02D3"/>
    <w:rsid w:val="006E1623"/>
    <w:rsid w:val="006E367D"/>
    <w:rsid w:val="006E3C80"/>
    <w:rsid w:val="006E5070"/>
    <w:rsid w:val="006E7073"/>
    <w:rsid w:val="006F133F"/>
    <w:rsid w:val="006F2C4C"/>
    <w:rsid w:val="006F35FD"/>
    <w:rsid w:val="006F3A44"/>
    <w:rsid w:val="006F438F"/>
    <w:rsid w:val="006F5324"/>
    <w:rsid w:val="006F6743"/>
    <w:rsid w:val="006F6B14"/>
    <w:rsid w:val="006F767B"/>
    <w:rsid w:val="00701B36"/>
    <w:rsid w:val="00702972"/>
    <w:rsid w:val="0070381A"/>
    <w:rsid w:val="00704AC4"/>
    <w:rsid w:val="00705743"/>
    <w:rsid w:val="00707304"/>
    <w:rsid w:val="007112D8"/>
    <w:rsid w:val="00714D76"/>
    <w:rsid w:val="007158AE"/>
    <w:rsid w:val="00716830"/>
    <w:rsid w:val="00717FFE"/>
    <w:rsid w:val="007203D3"/>
    <w:rsid w:val="007228F1"/>
    <w:rsid w:val="00724CCB"/>
    <w:rsid w:val="00727D68"/>
    <w:rsid w:val="00730D24"/>
    <w:rsid w:val="00733343"/>
    <w:rsid w:val="00736A75"/>
    <w:rsid w:val="00737BB6"/>
    <w:rsid w:val="00740C7F"/>
    <w:rsid w:val="00741263"/>
    <w:rsid w:val="007434DF"/>
    <w:rsid w:val="007510A7"/>
    <w:rsid w:val="007523B4"/>
    <w:rsid w:val="0075407C"/>
    <w:rsid w:val="0075470D"/>
    <w:rsid w:val="007553D1"/>
    <w:rsid w:val="00756AB1"/>
    <w:rsid w:val="007668F8"/>
    <w:rsid w:val="00767E66"/>
    <w:rsid w:val="00767F8D"/>
    <w:rsid w:val="00773DD3"/>
    <w:rsid w:val="007747EA"/>
    <w:rsid w:val="00775759"/>
    <w:rsid w:val="00775E0E"/>
    <w:rsid w:val="0077619A"/>
    <w:rsid w:val="00782AC2"/>
    <w:rsid w:val="00784D15"/>
    <w:rsid w:val="007850FF"/>
    <w:rsid w:val="00785CCA"/>
    <w:rsid w:val="00791F6D"/>
    <w:rsid w:val="007923BE"/>
    <w:rsid w:val="007A2EC5"/>
    <w:rsid w:val="007A37B0"/>
    <w:rsid w:val="007B0B1A"/>
    <w:rsid w:val="007B15AB"/>
    <w:rsid w:val="007B17AA"/>
    <w:rsid w:val="007B28D3"/>
    <w:rsid w:val="007B60F2"/>
    <w:rsid w:val="007B6934"/>
    <w:rsid w:val="007C1354"/>
    <w:rsid w:val="007C1434"/>
    <w:rsid w:val="007C2F7A"/>
    <w:rsid w:val="007C44E7"/>
    <w:rsid w:val="007D356B"/>
    <w:rsid w:val="007D4279"/>
    <w:rsid w:val="007D43B6"/>
    <w:rsid w:val="007E58D9"/>
    <w:rsid w:val="007E5A7E"/>
    <w:rsid w:val="007E644E"/>
    <w:rsid w:val="007E72D6"/>
    <w:rsid w:val="007F0F41"/>
    <w:rsid w:val="007F52CA"/>
    <w:rsid w:val="007F5BAA"/>
    <w:rsid w:val="007F64DB"/>
    <w:rsid w:val="007F69C5"/>
    <w:rsid w:val="007F720D"/>
    <w:rsid w:val="00800009"/>
    <w:rsid w:val="008004E7"/>
    <w:rsid w:val="00802307"/>
    <w:rsid w:val="008024EB"/>
    <w:rsid w:val="008033BD"/>
    <w:rsid w:val="00803978"/>
    <w:rsid w:val="00804C13"/>
    <w:rsid w:val="00806BEC"/>
    <w:rsid w:val="008076E7"/>
    <w:rsid w:val="008119F2"/>
    <w:rsid w:val="0081370F"/>
    <w:rsid w:val="0081433E"/>
    <w:rsid w:val="00814C54"/>
    <w:rsid w:val="00815DB0"/>
    <w:rsid w:val="00816A19"/>
    <w:rsid w:val="00821EB5"/>
    <w:rsid w:val="00822614"/>
    <w:rsid w:val="0082267E"/>
    <w:rsid w:val="00822C04"/>
    <w:rsid w:val="00822FC0"/>
    <w:rsid w:val="00825C2A"/>
    <w:rsid w:val="00825E9D"/>
    <w:rsid w:val="00832520"/>
    <w:rsid w:val="00833F6B"/>
    <w:rsid w:val="00837DD8"/>
    <w:rsid w:val="0084190A"/>
    <w:rsid w:val="00842237"/>
    <w:rsid w:val="0084523E"/>
    <w:rsid w:val="0084545D"/>
    <w:rsid w:val="00846186"/>
    <w:rsid w:val="008464F7"/>
    <w:rsid w:val="00846EFC"/>
    <w:rsid w:val="00846F8C"/>
    <w:rsid w:val="00851FA0"/>
    <w:rsid w:val="00855B81"/>
    <w:rsid w:val="0085783B"/>
    <w:rsid w:val="0086156F"/>
    <w:rsid w:val="008615C2"/>
    <w:rsid w:val="0086163C"/>
    <w:rsid w:val="00864C7A"/>
    <w:rsid w:val="00867E0B"/>
    <w:rsid w:val="00870ABB"/>
    <w:rsid w:val="00870FCF"/>
    <w:rsid w:val="00871FA2"/>
    <w:rsid w:val="008729EC"/>
    <w:rsid w:val="00873824"/>
    <w:rsid w:val="008744C1"/>
    <w:rsid w:val="008749D6"/>
    <w:rsid w:val="00876F61"/>
    <w:rsid w:val="008779A4"/>
    <w:rsid w:val="00883D12"/>
    <w:rsid w:val="0088410C"/>
    <w:rsid w:val="008845CD"/>
    <w:rsid w:val="00884E06"/>
    <w:rsid w:val="00885326"/>
    <w:rsid w:val="00885A9D"/>
    <w:rsid w:val="00886330"/>
    <w:rsid w:val="00890D4A"/>
    <w:rsid w:val="00895523"/>
    <w:rsid w:val="00895BC3"/>
    <w:rsid w:val="00896CEE"/>
    <w:rsid w:val="008979BB"/>
    <w:rsid w:val="008A1993"/>
    <w:rsid w:val="008A5874"/>
    <w:rsid w:val="008A5F51"/>
    <w:rsid w:val="008A6402"/>
    <w:rsid w:val="008A6665"/>
    <w:rsid w:val="008A6784"/>
    <w:rsid w:val="008A6797"/>
    <w:rsid w:val="008A72ED"/>
    <w:rsid w:val="008A769C"/>
    <w:rsid w:val="008B510C"/>
    <w:rsid w:val="008B755C"/>
    <w:rsid w:val="008B7825"/>
    <w:rsid w:val="008C0F93"/>
    <w:rsid w:val="008C4724"/>
    <w:rsid w:val="008C5362"/>
    <w:rsid w:val="008C68FE"/>
    <w:rsid w:val="008D094B"/>
    <w:rsid w:val="008D19F7"/>
    <w:rsid w:val="008E25F2"/>
    <w:rsid w:val="008E27BA"/>
    <w:rsid w:val="008E309E"/>
    <w:rsid w:val="008E3182"/>
    <w:rsid w:val="008E53A1"/>
    <w:rsid w:val="008E6023"/>
    <w:rsid w:val="008E615C"/>
    <w:rsid w:val="008E6D54"/>
    <w:rsid w:val="008E76D4"/>
    <w:rsid w:val="008F3430"/>
    <w:rsid w:val="008F526D"/>
    <w:rsid w:val="0090008E"/>
    <w:rsid w:val="00900A73"/>
    <w:rsid w:val="00903284"/>
    <w:rsid w:val="00903D99"/>
    <w:rsid w:val="00904888"/>
    <w:rsid w:val="00912F04"/>
    <w:rsid w:val="00912F0E"/>
    <w:rsid w:val="00913B7C"/>
    <w:rsid w:val="00914092"/>
    <w:rsid w:val="00914CE2"/>
    <w:rsid w:val="00916926"/>
    <w:rsid w:val="009246AA"/>
    <w:rsid w:val="0093073D"/>
    <w:rsid w:val="00931DDE"/>
    <w:rsid w:val="00932F91"/>
    <w:rsid w:val="00934A8D"/>
    <w:rsid w:val="00935CF8"/>
    <w:rsid w:val="00936277"/>
    <w:rsid w:val="00937284"/>
    <w:rsid w:val="00940180"/>
    <w:rsid w:val="0094466F"/>
    <w:rsid w:val="00944F5E"/>
    <w:rsid w:val="00946797"/>
    <w:rsid w:val="00946987"/>
    <w:rsid w:val="00951943"/>
    <w:rsid w:val="00955F0B"/>
    <w:rsid w:val="00961EB8"/>
    <w:rsid w:val="00962B6E"/>
    <w:rsid w:val="00963DE8"/>
    <w:rsid w:val="00963F9F"/>
    <w:rsid w:val="00965BFB"/>
    <w:rsid w:val="0096615D"/>
    <w:rsid w:val="00971C56"/>
    <w:rsid w:val="00974F73"/>
    <w:rsid w:val="00975CDB"/>
    <w:rsid w:val="00986BC1"/>
    <w:rsid w:val="00986FF2"/>
    <w:rsid w:val="009870FA"/>
    <w:rsid w:val="00993A7B"/>
    <w:rsid w:val="00994E66"/>
    <w:rsid w:val="009A2F97"/>
    <w:rsid w:val="009B10C0"/>
    <w:rsid w:val="009B1871"/>
    <w:rsid w:val="009B1E4C"/>
    <w:rsid w:val="009B41CC"/>
    <w:rsid w:val="009C006A"/>
    <w:rsid w:val="009C04E8"/>
    <w:rsid w:val="009C3677"/>
    <w:rsid w:val="009C462D"/>
    <w:rsid w:val="009C723D"/>
    <w:rsid w:val="009C7979"/>
    <w:rsid w:val="009C7B6E"/>
    <w:rsid w:val="009D0772"/>
    <w:rsid w:val="009D3CF2"/>
    <w:rsid w:val="009D7ECD"/>
    <w:rsid w:val="009E2022"/>
    <w:rsid w:val="009E269A"/>
    <w:rsid w:val="009E2FD7"/>
    <w:rsid w:val="009E7827"/>
    <w:rsid w:val="009F0818"/>
    <w:rsid w:val="009F13E4"/>
    <w:rsid w:val="009F208E"/>
    <w:rsid w:val="009F7626"/>
    <w:rsid w:val="00A03546"/>
    <w:rsid w:val="00A046E4"/>
    <w:rsid w:val="00A05C90"/>
    <w:rsid w:val="00A13B82"/>
    <w:rsid w:val="00A1717E"/>
    <w:rsid w:val="00A20E16"/>
    <w:rsid w:val="00A2203D"/>
    <w:rsid w:val="00A27376"/>
    <w:rsid w:val="00A325C2"/>
    <w:rsid w:val="00A34603"/>
    <w:rsid w:val="00A3735C"/>
    <w:rsid w:val="00A41295"/>
    <w:rsid w:val="00A41913"/>
    <w:rsid w:val="00A432BF"/>
    <w:rsid w:val="00A4386F"/>
    <w:rsid w:val="00A457A6"/>
    <w:rsid w:val="00A460B4"/>
    <w:rsid w:val="00A476FF"/>
    <w:rsid w:val="00A51DD4"/>
    <w:rsid w:val="00A5753F"/>
    <w:rsid w:val="00A60F31"/>
    <w:rsid w:val="00A62B9C"/>
    <w:rsid w:val="00A64D15"/>
    <w:rsid w:val="00A652D5"/>
    <w:rsid w:val="00A666F8"/>
    <w:rsid w:val="00A67A57"/>
    <w:rsid w:val="00A70DF8"/>
    <w:rsid w:val="00A77990"/>
    <w:rsid w:val="00A815B8"/>
    <w:rsid w:val="00A82E78"/>
    <w:rsid w:val="00A83F49"/>
    <w:rsid w:val="00A849C3"/>
    <w:rsid w:val="00A85557"/>
    <w:rsid w:val="00A91531"/>
    <w:rsid w:val="00A91C0F"/>
    <w:rsid w:val="00A93389"/>
    <w:rsid w:val="00A95B52"/>
    <w:rsid w:val="00A96B10"/>
    <w:rsid w:val="00A9783A"/>
    <w:rsid w:val="00A97F10"/>
    <w:rsid w:val="00A97F1D"/>
    <w:rsid w:val="00AA00B7"/>
    <w:rsid w:val="00AA0EDB"/>
    <w:rsid w:val="00AA1CB1"/>
    <w:rsid w:val="00AA290F"/>
    <w:rsid w:val="00AA6921"/>
    <w:rsid w:val="00AB01F0"/>
    <w:rsid w:val="00AB0AA9"/>
    <w:rsid w:val="00AB41AD"/>
    <w:rsid w:val="00AC460E"/>
    <w:rsid w:val="00AC55EF"/>
    <w:rsid w:val="00AC58E5"/>
    <w:rsid w:val="00AC64BD"/>
    <w:rsid w:val="00AC69D1"/>
    <w:rsid w:val="00AD27DC"/>
    <w:rsid w:val="00AD3D1E"/>
    <w:rsid w:val="00AD4FCC"/>
    <w:rsid w:val="00AD57F0"/>
    <w:rsid w:val="00AD618F"/>
    <w:rsid w:val="00AD70A6"/>
    <w:rsid w:val="00AD78D3"/>
    <w:rsid w:val="00AE0452"/>
    <w:rsid w:val="00AE0DF2"/>
    <w:rsid w:val="00AE1E83"/>
    <w:rsid w:val="00AE5150"/>
    <w:rsid w:val="00AE55F2"/>
    <w:rsid w:val="00AE6ACB"/>
    <w:rsid w:val="00AE73B6"/>
    <w:rsid w:val="00AE787A"/>
    <w:rsid w:val="00AF0321"/>
    <w:rsid w:val="00AF07B7"/>
    <w:rsid w:val="00AF14B7"/>
    <w:rsid w:val="00AF4D24"/>
    <w:rsid w:val="00AF51DF"/>
    <w:rsid w:val="00AF55DC"/>
    <w:rsid w:val="00AF6C58"/>
    <w:rsid w:val="00AF7A8E"/>
    <w:rsid w:val="00B01376"/>
    <w:rsid w:val="00B01B3F"/>
    <w:rsid w:val="00B0378C"/>
    <w:rsid w:val="00B07154"/>
    <w:rsid w:val="00B14AD7"/>
    <w:rsid w:val="00B16972"/>
    <w:rsid w:val="00B20DBD"/>
    <w:rsid w:val="00B20FC1"/>
    <w:rsid w:val="00B228C9"/>
    <w:rsid w:val="00B24A61"/>
    <w:rsid w:val="00B24DF5"/>
    <w:rsid w:val="00B301C2"/>
    <w:rsid w:val="00B34642"/>
    <w:rsid w:val="00B34686"/>
    <w:rsid w:val="00B37BDB"/>
    <w:rsid w:val="00B40A07"/>
    <w:rsid w:val="00B45021"/>
    <w:rsid w:val="00B461BE"/>
    <w:rsid w:val="00B50F14"/>
    <w:rsid w:val="00B52B82"/>
    <w:rsid w:val="00B5461E"/>
    <w:rsid w:val="00B5667A"/>
    <w:rsid w:val="00B567A6"/>
    <w:rsid w:val="00B56A56"/>
    <w:rsid w:val="00B600FB"/>
    <w:rsid w:val="00B62665"/>
    <w:rsid w:val="00B632B6"/>
    <w:rsid w:val="00B65884"/>
    <w:rsid w:val="00B67871"/>
    <w:rsid w:val="00B73DCF"/>
    <w:rsid w:val="00B74D34"/>
    <w:rsid w:val="00B75BD9"/>
    <w:rsid w:val="00B76CD5"/>
    <w:rsid w:val="00B81B5F"/>
    <w:rsid w:val="00B822D8"/>
    <w:rsid w:val="00B85CFD"/>
    <w:rsid w:val="00B8688B"/>
    <w:rsid w:val="00B86D5A"/>
    <w:rsid w:val="00B926FC"/>
    <w:rsid w:val="00B9475A"/>
    <w:rsid w:val="00BA29A7"/>
    <w:rsid w:val="00BA4893"/>
    <w:rsid w:val="00BA4A90"/>
    <w:rsid w:val="00BB0A6B"/>
    <w:rsid w:val="00BB14C7"/>
    <w:rsid w:val="00BB3DB9"/>
    <w:rsid w:val="00BB71A6"/>
    <w:rsid w:val="00BB7918"/>
    <w:rsid w:val="00BB79CA"/>
    <w:rsid w:val="00BC022C"/>
    <w:rsid w:val="00BC3F01"/>
    <w:rsid w:val="00BC43CC"/>
    <w:rsid w:val="00BC7651"/>
    <w:rsid w:val="00BC7902"/>
    <w:rsid w:val="00BD098A"/>
    <w:rsid w:val="00BD1D04"/>
    <w:rsid w:val="00BD1E3C"/>
    <w:rsid w:val="00BD2117"/>
    <w:rsid w:val="00BD367D"/>
    <w:rsid w:val="00BD6147"/>
    <w:rsid w:val="00BE16DC"/>
    <w:rsid w:val="00BE2A65"/>
    <w:rsid w:val="00BE6379"/>
    <w:rsid w:val="00BE68BA"/>
    <w:rsid w:val="00BE7C11"/>
    <w:rsid w:val="00BF156E"/>
    <w:rsid w:val="00BF770E"/>
    <w:rsid w:val="00C0304E"/>
    <w:rsid w:val="00C06EFF"/>
    <w:rsid w:val="00C11E92"/>
    <w:rsid w:val="00C14CD2"/>
    <w:rsid w:val="00C166CA"/>
    <w:rsid w:val="00C16EFF"/>
    <w:rsid w:val="00C1729F"/>
    <w:rsid w:val="00C21EB2"/>
    <w:rsid w:val="00C22690"/>
    <w:rsid w:val="00C2469E"/>
    <w:rsid w:val="00C26013"/>
    <w:rsid w:val="00C26A41"/>
    <w:rsid w:val="00C2770B"/>
    <w:rsid w:val="00C34362"/>
    <w:rsid w:val="00C35419"/>
    <w:rsid w:val="00C4029F"/>
    <w:rsid w:val="00C417A0"/>
    <w:rsid w:val="00C41C83"/>
    <w:rsid w:val="00C45CFE"/>
    <w:rsid w:val="00C461D9"/>
    <w:rsid w:val="00C51AEA"/>
    <w:rsid w:val="00C524BF"/>
    <w:rsid w:val="00C570E7"/>
    <w:rsid w:val="00C602E9"/>
    <w:rsid w:val="00C611DD"/>
    <w:rsid w:val="00C6136F"/>
    <w:rsid w:val="00C620BA"/>
    <w:rsid w:val="00C638E0"/>
    <w:rsid w:val="00C64DB9"/>
    <w:rsid w:val="00C6540C"/>
    <w:rsid w:val="00C65BF4"/>
    <w:rsid w:val="00C66DAC"/>
    <w:rsid w:val="00C67535"/>
    <w:rsid w:val="00C67C78"/>
    <w:rsid w:val="00C67F48"/>
    <w:rsid w:val="00C707E4"/>
    <w:rsid w:val="00C71065"/>
    <w:rsid w:val="00C716E3"/>
    <w:rsid w:val="00C718A4"/>
    <w:rsid w:val="00C73C13"/>
    <w:rsid w:val="00C775F2"/>
    <w:rsid w:val="00C80F01"/>
    <w:rsid w:val="00C83770"/>
    <w:rsid w:val="00C85540"/>
    <w:rsid w:val="00C90175"/>
    <w:rsid w:val="00CA0875"/>
    <w:rsid w:val="00CA2345"/>
    <w:rsid w:val="00CA2398"/>
    <w:rsid w:val="00CA2888"/>
    <w:rsid w:val="00CA294E"/>
    <w:rsid w:val="00CA322A"/>
    <w:rsid w:val="00CA383D"/>
    <w:rsid w:val="00CA58D3"/>
    <w:rsid w:val="00CA6BB1"/>
    <w:rsid w:val="00CB2DD2"/>
    <w:rsid w:val="00CB44AE"/>
    <w:rsid w:val="00CB75A2"/>
    <w:rsid w:val="00CB7798"/>
    <w:rsid w:val="00CC2AE3"/>
    <w:rsid w:val="00CC2B0A"/>
    <w:rsid w:val="00CC59C3"/>
    <w:rsid w:val="00CC5E61"/>
    <w:rsid w:val="00CC6A39"/>
    <w:rsid w:val="00CD2893"/>
    <w:rsid w:val="00CD4756"/>
    <w:rsid w:val="00CD487B"/>
    <w:rsid w:val="00CD49CE"/>
    <w:rsid w:val="00CD4B2A"/>
    <w:rsid w:val="00CD6A0C"/>
    <w:rsid w:val="00CD6E1E"/>
    <w:rsid w:val="00CE0A79"/>
    <w:rsid w:val="00CE0CB7"/>
    <w:rsid w:val="00CE1522"/>
    <w:rsid w:val="00CE2835"/>
    <w:rsid w:val="00CE2CE4"/>
    <w:rsid w:val="00CE79E6"/>
    <w:rsid w:val="00CE7AB7"/>
    <w:rsid w:val="00CF3A1F"/>
    <w:rsid w:val="00CF4809"/>
    <w:rsid w:val="00D04B61"/>
    <w:rsid w:val="00D07D1F"/>
    <w:rsid w:val="00D07FE9"/>
    <w:rsid w:val="00D11A88"/>
    <w:rsid w:val="00D12262"/>
    <w:rsid w:val="00D12D6C"/>
    <w:rsid w:val="00D140F8"/>
    <w:rsid w:val="00D14539"/>
    <w:rsid w:val="00D15EA6"/>
    <w:rsid w:val="00D20C4D"/>
    <w:rsid w:val="00D234FD"/>
    <w:rsid w:val="00D23E4E"/>
    <w:rsid w:val="00D27C21"/>
    <w:rsid w:val="00D3027E"/>
    <w:rsid w:val="00D3172E"/>
    <w:rsid w:val="00D31CCE"/>
    <w:rsid w:val="00D337E4"/>
    <w:rsid w:val="00D3455C"/>
    <w:rsid w:val="00D35414"/>
    <w:rsid w:val="00D36798"/>
    <w:rsid w:val="00D4027A"/>
    <w:rsid w:val="00D40701"/>
    <w:rsid w:val="00D41FD6"/>
    <w:rsid w:val="00D42AC2"/>
    <w:rsid w:val="00D42B10"/>
    <w:rsid w:val="00D44535"/>
    <w:rsid w:val="00D44D2B"/>
    <w:rsid w:val="00D46E29"/>
    <w:rsid w:val="00D51823"/>
    <w:rsid w:val="00D52353"/>
    <w:rsid w:val="00D53752"/>
    <w:rsid w:val="00D5612B"/>
    <w:rsid w:val="00D566D9"/>
    <w:rsid w:val="00D579B0"/>
    <w:rsid w:val="00D57D77"/>
    <w:rsid w:val="00D60E65"/>
    <w:rsid w:val="00D61459"/>
    <w:rsid w:val="00D61720"/>
    <w:rsid w:val="00D620D4"/>
    <w:rsid w:val="00D6627D"/>
    <w:rsid w:val="00D67036"/>
    <w:rsid w:val="00D67F24"/>
    <w:rsid w:val="00D71DC0"/>
    <w:rsid w:val="00D76B92"/>
    <w:rsid w:val="00D81F54"/>
    <w:rsid w:val="00D83D17"/>
    <w:rsid w:val="00D848D0"/>
    <w:rsid w:val="00D90A84"/>
    <w:rsid w:val="00D95110"/>
    <w:rsid w:val="00D95C70"/>
    <w:rsid w:val="00D97A31"/>
    <w:rsid w:val="00DA1D59"/>
    <w:rsid w:val="00DA2A53"/>
    <w:rsid w:val="00DB1848"/>
    <w:rsid w:val="00DB306B"/>
    <w:rsid w:val="00DB30B5"/>
    <w:rsid w:val="00DB42A7"/>
    <w:rsid w:val="00DB6B9C"/>
    <w:rsid w:val="00DB7901"/>
    <w:rsid w:val="00DC150A"/>
    <w:rsid w:val="00DC2180"/>
    <w:rsid w:val="00DC68F9"/>
    <w:rsid w:val="00DC7AFA"/>
    <w:rsid w:val="00DD19F4"/>
    <w:rsid w:val="00DD4C9C"/>
    <w:rsid w:val="00DD5135"/>
    <w:rsid w:val="00DD5939"/>
    <w:rsid w:val="00DD6BCD"/>
    <w:rsid w:val="00DD76E7"/>
    <w:rsid w:val="00DE2AB4"/>
    <w:rsid w:val="00DE3E2F"/>
    <w:rsid w:val="00DE3F4B"/>
    <w:rsid w:val="00DE41A0"/>
    <w:rsid w:val="00DE588A"/>
    <w:rsid w:val="00DE7CA0"/>
    <w:rsid w:val="00DF0A8D"/>
    <w:rsid w:val="00DF2243"/>
    <w:rsid w:val="00DF2B70"/>
    <w:rsid w:val="00E00CD4"/>
    <w:rsid w:val="00E0265B"/>
    <w:rsid w:val="00E04897"/>
    <w:rsid w:val="00E070B3"/>
    <w:rsid w:val="00E07101"/>
    <w:rsid w:val="00E127DF"/>
    <w:rsid w:val="00E1763B"/>
    <w:rsid w:val="00E2079C"/>
    <w:rsid w:val="00E21139"/>
    <w:rsid w:val="00E21391"/>
    <w:rsid w:val="00E2500E"/>
    <w:rsid w:val="00E27978"/>
    <w:rsid w:val="00E35164"/>
    <w:rsid w:val="00E36469"/>
    <w:rsid w:val="00E369F6"/>
    <w:rsid w:val="00E413F1"/>
    <w:rsid w:val="00E4200D"/>
    <w:rsid w:val="00E423D6"/>
    <w:rsid w:val="00E462A4"/>
    <w:rsid w:val="00E466FD"/>
    <w:rsid w:val="00E473CE"/>
    <w:rsid w:val="00E479B4"/>
    <w:rsid w:val="00E47E71"/>
    <w:rsid w:val="00E504DF"/>
    <w:rsid w:val="00E53659"/>
    <w:rsid w:val="00E53752"/>
    <w:rsid w:val="00E5697B"/>
    <w:rsid w:val="00E60715"/>
    <w:rsid w:val="00E655CD"/>
    <w:rsid w:val="00E6759A"/>
    <w:rsid w:val="00E72FE1"/>
    <w:rsid w:val="00E73DA2"/>
    <w:rsid w:val="00E74FF2"/>
    <w:rsid w:val="00E77337"/>
    <w:rsid w:val="00E811CB"/>
    <w:rsid w:val="00E8177A"/>
    <w:rsid w:val="00E8320D"/>
    <w:rsid w:val="00E83E78"/>
    <w:rsid w:val="00E846F5"/>
    <w:rsid w:val="00E85C6E"/>
    <w:rsid w:val="00E873EC"/>
    <w:rsid w:val="00E9060C"/>
    <w:rsid w:val="00E91E28"/>
    <w:rsid w:val="00E94526"/>
    <w:rsid w:val="00E954CC"/>
    <w:rsid w:val="00E95A8B"/>
    <w:rsid w:val="00E97C1B"/>
    <w:rsid w:val="00EA2C49"/>
    <w:rsid w:val="00EA42A9"/>
    <w:rsid w:val="00EA5296"/>
    <w:rsid w:val="00EB240D"/>
    <w:rsid w:val="00EB726D"/>
    <w:rsid w:val="00EB751F"/>
    <w:rsid w:val="00EC1258"/>
    <w:rsid w:val="00EC4DD5"/>
    <w:rsid w:val="00ED34F3"/>
    <w:rsid w:val="00ED353B"/>
    <w:rsid w:val="00ED594A"/>
    <w:rsid w:val="00EE0D2B"/>
    <w:rsid w:val="00EE402A"/>
    <w:rsid w:val="00EE4398"/>
    <w:rsid w:val="00EE443A"/>
    <w:rsid w:val="00EE4C56"/>
    <w:rsid w:val="00EE63E4"/>
    <w:rsid w:val="00EF2706"/>
    <w:rsid w:val="00EF40A5"/>
    <w:rsid w:val="00EF7A79"/>
    <w:rsid w:val="00EF7BEC"/>
    <w:rsid w:val="00F03F43"/>
    <w:rsid w:val="00F0609F"/>
    <w:rsid w:val="00F07B06"/>
    <w:rsid w:val="00F11BD6"/>
    <w:rsid w:val="00F11C73"/>
    <w:rsid w:val="00F13C31"/>
    <w:rsid w:val="00F15AD4"/>
    <w:rsid w:val="00F15F2F"/>
    <w:rsid w:val="00F163B1"/>
    <w:rsid w:val="00F1776A"/>
    <w:rsid w:val="00F2098D"/>
    <w:rsid w:val="00F22398"/>
    <w:rsid w:val="00F23A6D"/>
    <w:rsid w:val="00F2450B"/>
    <w:rsid w:val="00F25E42"/>
    <w:rsid w:val="00F31583"/>
    <w:rsid w:val="00F3488C"/>
    <w:rsid w:val="00F36C70"/>
    <w:rsid w:val="00F37076"/>
    <w:rsid w:val="00F378FD"/>
    <w:rsid w:val="00F42BD1"/>
    <w:rsid w:val="00F43A7B"/>
    <w:rsid w:val="00F450AF"/>
    <w:rsid w:val="00F50545"/>
    <w:rsid w:val="00F5083F"/>
    <w:rsid w:val="00F50C58"/>
    <w:rsid w:val="00F5264A"/>
    <w:rsid w:val="00F54D70"/>
    <w:rsid w:val="00F56F5C"/>
    <w:rsid w:val="00F64E27"/>
    <w:rsid w:val="00F7209B"/>
    <w:rsid w:val="00F734C5"/>
    <w:rsid w:val="00F77120"/>
    <w:rsid w:val="00F77BD6"/>
    <w:rsid w:val="00F81B09"/>
    <w:rsid w:val="00F85983"/>
    <w:rsid w:val="00F87D51"/>
    <w:rsid w:val="00F900ED"/>
    <w:rsid w:val="00F91BFB"/>
    <w:rsid w:val="00F91D94"/>
    <w:rsid w:val="00F92411"/>
    <w:rsid w:val="00F94DDB"/>
    <w:rsid w:val="00F97360"/>
    <w:rsid w:val="00FA16A7"/>
    <w:rsid w:val="00FA3531"/>
    <w:rsid w:val="00FA6CBA"/>
    <w:rsid w:val="00FA7174"/>
    <w:rsid w:val="00FA78B6"/>
    <w:rsid w:val="00FB28E8"/>
    <w:rsid w:val="00FB4D4C"/>
    <w:rsid w:val="00FB5B81"/>
    <w:rsid w:val="00FB6592"/>
    <w:rsid w:val="00FC13D0"/>
    <w:rsid w:val="00FC4068"/>
    <w:rsid w:val="00FC601B"/>
    <w:rsid w:val="00FD0787"/>
    <w:rsid w:val="00FD46D0"/>
    <w:rsid w:val="00FD714F"/>
    <w:rsid w:val="00FE00DA"/>
    <w:rsid w:val="00FE1482"/>
    <w:rsid w:val="00FE2734"/>
    <w:rsid w:val="00FE29AE"/>
    <w:rsid w:val="00FE7B2B"/>
    <w:rsid w:val="00FF5859"/>
    <w:rsid w:val="00FF6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8CE"/>
  <w15:chartTrackingRefBased/>
  <w15:docId w15:val="{F1A7C38F-EBD1-4428-8E79-291B52A1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729EC"/>
    <w:pPr>
      <w:spacing w:after="120" w:line="240" w:lineRule="auto"/>
      <w:ind w:left="357" w:hanging="357"/>
      <w:jc w:val="both"/>
    </w:pPr>
    <w:rPr>
      <w:rFonts w:ascii="Times New Roman" w:eastAsia="Times New Roman" w:hAnsi="Times New Roman" w:cs="Times New Roman"/>
      <w:kern w:val="0"/>
      <w:sz w:val="24"/>
      <w:szCs w:val="24"/>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43A7B"/>
    <w:pPr>
      <w:tabs>
        <w:tab w:val="center" w:pos="4153"/>
        <w:tab w:val="right" w:pos="8306"/>
      </w:tabs>
    </w:pPr>
  </w:style>
  <w:style w:type="character" w:customStyle="1" w:styleId="AntratsDiagrama">
    <w:name w:val="Antraštės Diagrama"/>
    <w:basedOn w:val="Numatytasispastraiposriftas"/>
    <w:link w:val="Antrats"/>
    <w:rsid w:val="00F43A7B"/>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F43A7B"/>
  </w:style>
  <w:style w:type="paragraph" w:styleId="Pagrindinistekstas">
    <w:name w:val="Body Text"/>
    <w:basedOn w:val="prastasis"/>
    <w:link w:val="PagrindinistekstasDiagrama"/>
    <w:rsid w:val="00F43A7B"/>
    <w:rPr>
      <w:lang w:val="lt-LT"/>
    </w:rPr>
  </w:style>
  <w:style w:type="character" w:customStyle="1" w:styleId="PagrindinistekstasDiagrama">
    <w:name w:val="Pagrindinis tekstas Diagrama"/>
    <w:basedOn w:val="Numatytasispastraiposriftas"/>
    <w:link w:val="Pagrindinistekstas"/>
    <w:rsid w:val="00F43A7B"/>
    <w:rPr>
      <w:rFonts w:ascii="Times New Roman" w:eastAsia="Times New Roman" w:hAnsi="Times New Roman" w:cs="Times New Roman"/>
      <w:kern w:val="0"/>
      <w:sz w:val="24"/>
      <w:szCs w:val="24"/>
      <w14:ligatures w14:val="non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F43A7B"/>
    <w:pPr>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F43A7B"/>
    <w:rPr>
      <w:rFonts w:ascii="Times New Roman" w:eastAsia="Times New Roman" w:hAnsi="Times New Roman" w:cs="Times New Roman"/>
      <w:kern w:val="0"/>
      <w:sz w:val="24"/>
      <w:szCs w:val="24"/>
      <w:lang w:val="en-GB"/>
      <w14:ligatures w14:val="none"/>
    </w:rPr>
  </w:style>
  <w:style w:type="character" w:customStyle="1" w:styleId="Bodytext2">
    <w:name w:val="Body text (2)_"/>
    <w:basedOn w:val="Numatytasispastraiposriftas"/>
    <w:rsid w:val="00A05C90"/>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05C9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Bodytext2"/>
    <w:rsid w:val="00A05C9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taisymai">
    <w:name w:val="Revision"/>
    <w:hidden/>
    <w:uiPriority w:val="99"/>
    <w:semiHidden/>
    <w:rsid w:val="003F60BE"/>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3612A1"/>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12A1"/>
    <w:rPr>
      <w:rFonts w:ascii="Segoe UI" w:eastAsia="Times New Roman" w:hAnsi="Segoe UI" w:cs="Segoe UI"/>
      <w:kern w:val="0"/>
      <w:sz w:val="18"/>
      <w:szCs w:val="18"/>
      <w:lang w:val="en-GB"/>
      <w14:ligatures w14:val="none"/>
    </w:rPr>
  </w:style>
  <w:style w:type="character" w:styleId="Komentaronuoroda">
    <w:name w:val="annotation reference"/>
    <w:basedOn w:val="Numatytasispastraiposriftas"/>
    <w:uiPriority w:val="99"/>
    <w:semiHidden/>
    <w:unhideWhenUsed/>
    <w:rsid w:val="008464F7"/>
    <w:rPr>
      <w:sz w:val="16"/>
      <w:szCs w:val="16"/>
    </w:rPr>
  </w:style>
  <w:style w:type="paragraph" w:styleId="Komentarotekstas">
    <w:name w:val="annotation text"/>
    <w:basedOn w:val="prastasis"/>
    <w:link w:val="KomentarotekstasDiagrama"/>
    <w:uiPriority w:val="99"/>
    <w:unhideWhenUsed/>
    <w:rsid w:val="008464F7"/>
    <w:rPr>
      <w:sz w:val="20"/>
      <w:szCs w:val="20"/>
    </w:rPr>
  </w:style>
  <w:style w:type="character" w:customStyle="1" w:styleId="KomentarotekstasDiagrama">
    <w:name w:val="Komentaro tekstas Diagrama"/>
    <w:basedOn w:val="Numatytasispastraiposriftas"/>
    <w:link w:val="Komentarotekstas"/>
    <w:uiPriority w:val="99"/>
    <w:rsid w:val="008464F7"/>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8464F7"/>
    <w:rPr>
      <w:b/>
      <w:bCs/>
    </w:rPr>
  </w:style>
  <w:style w:type="character" w:customStyle="1" w:styleId="KomentarotemaDiagrama">
    <w:name w:val="Komentaro tema Diagrama"/>
    <w:basedOn w:val="KomentarotekstasDiagrama"/>
    <w:link w:val="Komentarotema"/>
    <w:uiPriority w:val="99"/>
    <w:semiHidden/>
    <w:rsid w:val="008464F7"/>
    <w:rPr>
      <w:rFonts w:ascii="Times New Roman" w:eastAsia="Times New Roman" w:hAnsi="Times New Roman" w:cs="Times New Roman"/>
      <w:b/>
      <w:bCs/>
      <w:kern w:val="0"/>
      <w:sz w:val="20"/>
      <w:szCs w:val="20"/>
      <w:lang w:val="en-GB"/>
      <w14:ligatures w14:val="none"/>
    </w:rPr>
  </w:style>
  <w:style w:type="paragraph" w:styleId="Porat">
    <w:name w:val="footer"/>
    <w:basedOn w:val="prastasis"/>
    <w:link w:val="PoratDiagrama"/>
    <w:uiPriority w:val="99"/>
    <w:unhideWhenUsed/>
    <w:rsid w:val="006B339C"/>
    <w:pPr>
      <w:tabs>
        <w:tab w:val="center" w:pos="4513"/>
        <w:tab w:val="right" w:pos="9026"/>
      </w:tabs>
      <w:spacing w:after="0"/>
    </w:pPr>
  </w:style>
  <w:style w:type="character" w:customStyle="1" w:styleId="PoratDiagrama">
    <w:name w:val="Poraštė Diagrama"/>
    <w:basedOn w:val="Numatytasispastraiposriftas"/>
    <w:link w:val="Porat"/>
    <w:uiPriority w:val="99"/>
    <w:rsid w:val="006B339C"/>
    <w:rPr>
      <w:rFonts w:ascii="Times New Roman" w:eastAsia="Times New Roman" w:hAnsi="Times New Roman" w:cs="Times New Roman"/>
      <w:kern w:val="0"/>
      <w:sz w:val="24"/>
      <w:szCs w:val="24"/>
      <w:lang w:val="en-GB"/>
      <w14:ligatures w14:val="none"/>
    </w:rPr>
  </w:style>
  <w:style w:type="character" w:styleId="Hipersaitas">
    <w:name w:val="Hyperlink"/>
    <w:basedOn w:val="Numatytasispastraiposriftas"/>
    <w:uiPriority w:val="99"/>
    <w:unhideWhenUsed/>
    <w:rsid w:val="008A1993"/>
    <w:rPr>
      <w:color w:val="0563C1" w:themeColor="hyperlink"/>
      <w:u w:val="single"/>
    </w:rPr>
  </w:style>
  <w:style w:type="character" w:customStyle="1" w:styleId="Neapdorotaspaminjimas1">
    <w:name w:val="Neapdorotas paminėjimas1"/>
    <w:basedOn w:val="Numatytasispastraiposriftas"/>
    <w:uiPriority w:val="99"/>
    <w:semiHidden/>
    <w:unhideWhenUsed/>
    <w:rsid w:val="008A1993"/>
    <w:rPr>
      <w:color w:val="605E5C"/>
      <w:shd w:val="clear" w:color="auto" w:fill="E1DFDD"/>
    </w:rPr>
  </w:style>
  <w:style w:type="paragraph" w:styleId="prastasiniatinklio">
    <w:name w:val="Normal (Web)"/>
    <w:basedOn w:val="prastasis"/>
    <w:uiPriority w:val="99"/>
    <w:semiHidden/>
    <w:unhideWhenUsed/>
    <w:rsid w:val="00D14539"/>
    <w:pPr>
      <w:spacing w:before="100" w:beforeAutospacing="1" w:after="100" w:afterAutospacing="1"/>
      <w:ind w:left="0" w:firstLine="0"/>
      <w:jc w:val="left"/>
    </w:pPr>
    <w:rPr>
      <w:rFonts w:eastAsiaTheme="minorEastAsia"/>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7C2B3-AF5F-480C-BE3E-B58F18A2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23920</Words>
  <Characters>13635</Characters>
  <Application>Microsoft Office Word</Application>
  <DocSecurity>0</DocSecurity>
  <Lines>113</Lines>
  <Paragraphs>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Dmitrij Persijanov</cp:lastModifiedBy>
  <cp:revision>3</cp:revision>
  <cp:lastPrinted>2024-05-28T23:05:00Z</cp:lastPrinted>
  <dcterms:created xsi:type="dcterms:W3CDTF">2024-10-10T07:55:00Z</dcterms:created>
  <dcterms:modified xsi:type="dcterms:W3CDTF">2024-10-15T07:14:00Z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d13068218f94ad6b95f5224afedaa10202410151009389">
    <vt:lpwstr>mA45aa8DrSnqDSZY1x6DmDalLLQ=</vt:lpwstr>
  </property>
</Properties>
</file>