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A3959" w14:textId="4793DED2" w:rsidR="00556850" w:rsidRPr="00B90650" w:rsidRDefault="00AC00DC" w:rsidP="00174E7B">
      <w:pPr>
        <w:tabs>
          <w:tab w:val="center" w:pos="4153"/>
          <w:tab w:val="right" w:pos="10170"/>
        </w:tabs>
        <w:spacing w:after="0" w:line="240" w:lineRule="auto"/>
        <w:rPr>
          <w:rFonts w:eastAsia="Times New Roman" w:cs="Times New Roman"/>
          <w:szCs w:val="20"/>
        </w:rPr>
      </w:pPr>
      <w:r w:rsidRPr="00567824">
        <w:rPr>
          <w:rFonts w:eastAsia="Times New Roman" w:cs="Times New Roman"/>
          <w:szCs w:val="20"/>
        </w:rPr>
        <w:t xml:space="preserve">                                                                                       </w:t>
      </w:r>
      <w:r w:rsidR="00941882" w:rsidRPr="00567824">
        <w:rPr>
          <w:rFonts w:eastAsia="Times New Roman" w:cs="Times New Roman"/>
          <w:szCs w:val="20"/>
        </w:rPr>
        <w:t xml:space="preserve"> </w:t>
      </w:r>
      <w:r w:rsidRPr="00567824">
        <w:rPr>
          <w:rFonts w:eastAsia="Times New Roman" w:cs="Times New Roman"/>
          <w:szCs w:val="20"/>
        </w:rPr>
        <w:t xml:space="preserve"> </w:t>
      </w:r>
      <w:bookmarkStart w:id="0" w:name="_Hlk72834001"/>
      <w:r w:rsidR="00556850" w:rsidRPr="00B90650">
        <w:rPr>
          <w:rFonts w:eastAsia="Times New Roman" w:cs="Times New Roman"/>
          <w:szCs w:val="20"/>
        </w:rPr>
        <w:t xml:space="preserve">Civilinė byla Nr. </w:t>
      </w:r>
      <w:r w:rsidR="00174E7B" w:rsidRPr="00B90650">
        <w:rPr>
          <w:rFonts w:eastAsia="Times New Roman" w:cs="Times New Roman"/>
          <w:szCs w:val="20"/>
        </w:rPr>
        <w:t>e3K-3-116-421/2025</w:t>
      </w:r>
    </w:p>
    <w:p w14:paraId="04E71100" w14:textId="7723ADA6" w:rsidR="00AC00DC" w:rsidRPr="00B90650" w:rsidRDefault="00556850" w:rsidP="00174E7B">
      <w:pPr>
        <w:tabs>
          <w:tab w:val="center" w:pos="4153"/>
          <w:tab w:val="right" w:pos="10170"/>
        </w:tabs>
        <w:spacing w:after="0" w:line="240" w:lineRule="auto"/>
        <w:rPr>
          <w:rFonts w:eastAsia="Times New Roman" w:cs="Times New Roman"/>
          <w:szCs w:val="20"/>
        </w:rPr>
      </w:pPr>
      <w:r w:rsidRPr="00B90650">
        <w:rPr>
          <w:rFonts w:eastAsia="Times New Roman" w:cs="Times New Roman"/>
          <w:szCs w:val="20"/>
        </w:rPr>
        <w:tab/>
      </w:r>
      <w:r w:rsidRPr="00B90650">
        <w:rPr>
          <w:rFonts w:eastAsia="Times New Roman" w:cs="Times New Roman"/>
          <w:szCs w:val="20"/>
        </w:rPr>
        <w:tab/>
        <w:t>Teisminio proceso Nr.</w:t>
      </w:r>
      <w:r w:rsidR="0020166D" w:rsidRPr="00B90650">
        <w:t xml:space="preserve"> </w:t>
      </w:r>
      <w:r w:rsidR="00174E7B" w:rsidRPr="00B90650">
        <w:t>2-08-3-02155-2023-3</w:t>
      </w:r>
      <w:bookmarkStart w:id="1" w:name="_Hlk59443976"/>
      <w:r w:rsidR="00AC00DC" w:rsidRPr="00B90650">
        <w:rPr>
          <w:rFonts w:eastAsia="Times New Roman" w:cs="Times New Roman"/>
          <w:szCs w:val="20"/>
        </w:rPr>
        <w:t xml:space="preserve"> </w:t>
      </w:r>
    </w:p>
    <w:bookmarkEnd w:id="1"/>
    <w:p w14:paraId="2B0D4A15" w14:textId="77777777" w:rsidR="002266DA" w:rsidRPr="00B90650" w:rsidRDefault="00AC00DC" w:rsidP="00C02BAC">
      <w:pPr>
        <w:spacing w:after="0" w:line="240" w:lineRule="auto"/>
        <w:ind w:left="5198"/>
        <w:rPr>
          <w:rFonts w:eastAsia="Times New Roman" w:cs="Times New Roman"/>
          <w:szCs w:val="24"/>
        </w:rPr>
      </w:pPr>
      <w:r w:rsidRPr="00B90650">
        <w:rPr>
          <w:rFonts w:eastAsia="Times New Roman" w:cs="Times New Roman"/>
          <w:szCs w:val="24"/>
        </w:rPr>
        <w:t xml:space="preserve">  </w:t>
      </w:r>
      <w:r w:rsidR="00105F8C" w:rsidRPr="00B90650">
        <w:rPr>
          <w:rFonts w:eastAsia="Times New Roman" w:cs="Times New Roman"/>
          <w:szCs w:val="24"/>
        </w:rPr>
        <w:t xml:space="preserve"> Procesinio sprendimo kategorij</w:t>
      </w:r>
      <w:r w:rsidR="00C02BAC" w:rsidRPr="00B90650">
        <w:rPr>
          <w:rFonts w:eastAsia="Times New Roman" w:cs="Times New Roman"/>
          <w:szCs w:val="24"/>
        </w:rPr>
        <w:t xml:space="preserve">os: </w:t>
      </w:r>
      <w:r w:rsidR="002266DA" w:rsidRPr="00B90650">
        <w:rPr>
          <w:rFonts w:eastAsia="Times New Roman" w:cs="Times New Roman"/>
          <w:szCs w:val="24"/>
        </w:rPr>
        <w:t xml:space="preserve">3.1.9.1.3; </w:t>
      </w:r>
    </w:p>
    <w:p w14:paraId="31ED3CD2" w14:textId="0B67F581" w:rsidR="00795829" w:rsidRDefault="002266DA" w:rsidP="00C02BAC">
      <w:pPr>
        <w:spacing w:after="0" w:line="240" w:lineRule="auto"/>
        <w:ind w:left="5198"/>
        <w:rPr>
          <w:rFonts w:eastAsia="Times New Roman" w:cs="Times New Roman"/>
          <w:szCs w:val="24"/>
        </w:rPr>
      </w:pPr>
      <w:r w:rsidRPr="00B90650">
        <w:rPr>
          <w:rFonts w:eastAsia="Times New Roman" w:cs="Times New Roman"/>
          <w:szCs w:val="24"/>
        </w:rPr>
        <w:t xml:space="preserve">   3.1.1.2.6; 3.2.3.4</w:t>
      </w:r>
    </w:p>
    <w:p w14:paraId="23B6EF00" w14:textId="39FAB706" w:rsidR="004421B6" w:rsidRPr="00B90650" w:rsidRDefault="004421B6" w:rsidP="00C02BAC">
      <w:pPr>
        <w:spacing w:after="0" w:line="240" w:lineRule="auto"/>
        <w:ind w:left="5198"/>
        <w:rPr>
          <w:rFonts w:eastAsia="Times New Roman" w:cs="Times New Roman"/>
          <w:szCs w:val="24"/>
        </w:rPr>
      </w:pPr>
      <w:r>
        <w:rPr>
          <w:rFonts w:eastAsia="Times New Roman" w:cs="Times New Roman"/>
          <w:szCs w:val="24"/>
        </w:rPr>
        <w:t xml:space="preserve">   (S)</w:t>
      </w:r>
    </w:p>
    <w:p w14:paraId="1A375F76" w14:textId="77777777" w:rsidR="00AC00DC" w:rsidRPr="00B90650" w:rsidRDefault="00AC00DC" w:rsidP="00AC00DC">
      <w:pPr>
        <w:spacing w:after="0" w:line="240" w:lineRule="auto"/>
        <w:ind w:left="357" w:hanging="357"/>
        <w:jc w:val="right"/>
        <w:rPr>
          <w:rFonts w:eastAsia="Times New Roman" w:cs="Times New Roman"/>
          <w:szCs w:val="24"/>
        </w:rPr>
      </w:pPr>
    </w:p>
    <w:p w14:paraId="5955F59A" w14:textId="77777777" w:rsidR="00AC00DC" w:rsidRPr="00B90650" w:rsidRDefault="00AC00DC" w:rsidP="00AC00DC">
      <w:pPr>
        <w:spacing w:after="0" w:line="240" w:lineRule="auto"/>
        <w:ind w:left="357" w:hanging="357"/>
        <w:jc w:val="center"/>
        <w:rPr>
          <w:rFonts w:eastAsia="Times New Roman" w:cs="Times New Roman"/>
          <w:szCs w:val="24"/>
        </w:rPr>
      </w:pPr>
      <w:r w:rsidRPr="00B90650">
        <w:rPr>
          <w:rFonts w:eastAsia="Times New Roman" w:cs="Times New Roman"/>
          <w:noProof/>
          <w:szCs w:val="24"/>
          <w:lang w:eastAsia="lt-LT"/>
        </w:rPr>
        <w:drawing>
          <wp:inline distT="0" distB="0" distL="0" distR="0" wp14:anchorId="1BCD52F8" wp14:editId="2EF4AEFD">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51BBF693" w14:textId="77777777" w:rsidR="00AC00DC" w:rsidRPr="00B90650" w:rsidRDefault="00AC00DC" w:rsidP="00AC00DC">
      <w:pPr>
        <w:spacing w:after="0" w:line="240" w:lineRule="auto"/>
        <w:ind w:left="357" w:hanging="357"/>
        <w:jc w:val="center"/>
        <w:rPr>
          <w:rFonts w:eastAsia="Times New Roman" w:cs="Times New Roman"/>
          <w:szCs w:val="24"/>
        </w:rPr>
      </w:pPr>
    </w:p>
    <w:p w14:paraId="32EF593E" w14:textId="77777777" w:rsidR="00AC00DC" w:rsidRPr="00B90650" w:rsidRDefault="00AC00DC" w:rsidP="00AC00DC">
      <w:pPr>
        <w:keepNext/>
        <w:spacing w:after="0" w:line="240" w:lineRule="auto"/>
        <w:ind w:left="357" w:hanging="357"/>
        <w:jc w:val="center"/>
        <w:outlineLvl w:val="0"/>
        <w:rPr>
          <w:rFonts w:eastAsia="Times New Roman" w:cs="Times New Roman"/>
          <w:b/>
          <w:bCs/>
          <w:sz w:val="32"/>
          <w:szCs w:val="24"/>
        </w:rPr>
      </w:pPr>
      <w:r w:rsidRPr="00B90650">
        <w:rPr>
          <w:rFonts w:eastAsia="Times New Roman" w:cs="Times New Roman"/>
          <w:b/>
          <w:bCs/>
          <w:sz w:val="32"/>
          <w:szCs w:val="24"/>
        </w:rPr>
        <w:t xml:space="preserve">LIETUVOS AUKŠČIAUSIASIS TEISMAS </w:t>
      </w:r>
    </w:p>
    <w:p w14:paraId="233F7252" w14:textId="77777777" w:rsidR="00AC00DC" w:rsidRPr="00B90650" w:rsidRDefault="00AC00DC" w:rsidP="00AC00DC">
      <w:pPr>
        <w:keepNext/>
        <w:spacing w:after="0" w:line="240" w:lineRule="auto"/>
        <w:ind w:left="357" w:hanging="357"/>
        <w:jc w:val="both"/>
        <w:outlineLvl w:val="0"/>
        <w:rPr>
          <w:rFonts w:eastAsia="Times New Roman" w:cs="Times New Roman"/>
          <w:b/>
          <w:bCs/>
          <w:szCs w:val="24"/>
        </w:rPr>
      </w:pPr>
    </w:p>
    <w:p w14:paraId="5411829D" w14:textId="77777777" w:rsidR="00AC00DC" w:rsidRPr="00B90650" w:rsidRDefault="00AC00DC" w:rsidP="00AC00DC">
      <w:pPr>
        <w:keepNext/>
        <w:spacing w:after="0" w:line="240" w:lineRule="auto"/>
        <w:ind w:left="357" w:hanging="357"/>
        <w:jc w:val="center"/>
        <w:outlineLvl w:val="0"/>
        <w:rPr>
          <w:rFonts w:eastAsia="Times New Roman" w:cs="Times New Roman"/>
          <w:b/>
          <w:bCs/>
          <w:sz w:val="32"/>
          <w:szCs w:val="24"/>
        </w:rPr>
      </w:pPr>
      <w:r w:rsidRPr="00B90650">
        <w:rPr>
          <w:rFonts w:eastAsia="Times New Roman" w:cs="Times New Roman"/>
          <w:b/>
          <w:bCs/>
          <w:sz w:val="32"/>
          <w:szCs w:val="24"/>
        </w:rPr>
        <w:t>N U T A R T I S</w:t>
      </w:r>
    </w:p>
    <w:p w14:paraId="3ECC9E2C" w14:textId="77777777" w:rsidR="00AC00DC" w:rsidRPr="00B90650" w:rsidRDefault="00AC00DC" w:rsidP="00AC00DC">
      <w:pPr>
        <w:keepNext/>
        <w:spacing w:after="0" w:line="240" w:lineRule="auto"/>
        <w:ind w:left="357" w:hanging="357"/>
        <w:jc w:val="center"/>
        <w:outlineLvl w:val="1"/>
        <w:rPr>
          <w:rFonts w:eastAsia="Times New Roman" w:cs="Times New Roman"/>
          <w:sz w:val="28"/>
          <w:szCs w:val="24"/>
        </w:rPr>
      </w:pPr>
      <w:r w:rsidRPr="00B90650">
        <w:rPr>
          <w:rFonts w:eastAsia="Times New Roman" w:cs="Times New Roman"/>
          <w:szCs w:val="24"/>
        </w:rPr>
        <w:t>LIETUVOS RESPUBLIKOS VARDU</w:t>
      </w:r>
    </w:p>
    <w:p w14:paraId="4ADCCF5B" w14:textId="77777777" w:rsidR="00AC00DC" w:rsidRPr="00B90650" w:rsidRDefault="00AC00DC" w:rsidP="00AC00DC">
      <w:pPr>
        <w:spacing w:after="0" w:line="240" w:lineRule="auto"/>
        <w:ind w:left="357" w:hanging="357"/>
        <w:jc w:val="both"/>
        <w:rPr>
          <w:rFonts w:eastAsia="Times New Roman" w:cs="Times New Roman"/>
          <w:szCs w:val="24"/>
        </w:rPr>
      </w:pPr>
    </w:p>
    <w:p w14:paraId="140BB9F1" w14:textId="54F59FAE" w:rsidR="00AC00DC" w:rsidRPr="00B90650" w:rsidRDefault="00AC00DC" w:rsidP="00AC00DC">
      <w:pPr>
        <w:keepNext/>
        <w:spacing w:after="0" w:line="240" w:lineRule="auto"/>
        <w:ind w:left="357" w:hanging="357"/>
        <w:jc w:val="center"/>
        <w:outlineLvl w:val="0"/>
        <w:rPr>
          <w:rFonts w:eastAsia="Times New Roman" w:cs="Times New Roman"/>
          <w:bCs/>
          <w:szCs w:val="24"/>
        </w:rPr>
      </w:pPr>
      <w:r w:rsidRPr="00B90650">
        <w:rPr>
          <w:rFonts w:eastAsia="Times New Roman" w:cs="Times New Roman"/>
          <w:bCs/>
          <w:szCs w:val="24"/>
        </w:rPr>
        <w:t>20</w:t>
      </w:r>
      <w:r w:rsidR="00733894" w:rsidRPr="00B90650">
        <w:rPr>
          <w:rFonts w:eastAsia="Times New Roman" w:cs="Times New Roman"/>
          <w:bCs/>
          <w:szCs w:val="24"/>
        </w:rPr>
        <w:t>2</w:t>
      </w:r>
      <w:r w:rsidR="005C58BE" w:rsidRPr="00B90650">
        <w:rPr>
          <w:rFonts w:eastAsia="Times New Roman" w:cs="Times New Roman"/>
          <w:bCs/>
          <w:szCs w:val="24"/>
        </w:rPr>
        <w:t>5</w:t>
      </w:r>
      <w:r w:rsidRPr="00B90650">
        <w:rPr>
          <w:rFonts w:eastAsia="Times New Roman" w:cs="Times New Roman"/>
          <w:bCs/>
          <w:szCs w:val="24"/>
        </w:rPr>
        <w:t xml:space="preserve"> m.</w:t>
      </w:r>
      <w:r w:rsidR="00363FD8" w:rsidRPr="00B90650">
        <w:rPr>
          <w:rFonts w:eastAsia="Times New Roman" w:cs="Times New Roman"/>
          <w:bCs/>
          <w:szCs w:val="24"/>
        </w:rPr>
        <w:t xml:space="preserve"> </w:t>
      </w:r>
      <w:r w:rsidR="00020868" w:rsidRPr="00B90650">
        <w:rPr>
          <w:rFonts w:eastAsia="Times New Roman" w:cs="Times New Roman"/>
          <w:bCs/>
          <w:szCs w:val="24"/>
        </w:rPr>
        <w:t xml:space="preserve">birželio 25 </w:t>
      </w:r>
      <w:r w:rsidRPr="00B90650">
        <w:rPr>
          <w:rFonts w:eastAsia="Times New Roman" w:cs="Times New Roman"/>
          <w:bCs/>
          <w:szCs w:val="24"/>
        </w:rPr>
        <w:t>d.</w:t>
      </w:r>
    </w:p>
    <w:p w14:paraId="20E90AE6" w14:textId="77777777" w:rsidR="00AC00DC" w:rsidRPr="00B90650" w:rsidRDefault="00AC00DC" w:rsidP="00AC00DC">
      <w:pPr>
        <w:spacing w:after="0" w:line="240" w:lineRule="auto"/>
        <w:ind w:left="357" w:hanging="357"/>
        <w:jc w:val="center"/>
        <w:rPr>
          <w:rFonts w:eastAsia="Times New Roman" w:cs="Times New Roman"/>
          <w:szCs w:val="24"/>
        </w:rPr>
      </w:pPr>
      <w:r w:rsidRPr="00B90650">
        <w:rPr>
          <w:rFonts w:eastAsia="Times New Roman" w:cs="Times New Roman"/>
          <w:szCs w:val="24"/>
        </w:rPr>
        <w:t>Vilnius</w:t>
      </w:r>
    </w:p>
    <w:p w14:paraId="2753E3CF" w14:textId="77777777" w:rsidR="00AC00DC" w:rsidRPr="00B90650" w:rsidRDefault="00AC00DC" w:rsidP="00AC00DC">
      <w:pPr>
        <w:spacing w:after="0" w:line="240" w:lineRule="auto"/>
        <w:ind w:left="357" w:hanging="357"/>
        <w:jc w:val="both"/>
        <w:rPr>
          <w:rFonts w:eastAsia="Times New Roman" w:cs="Times New Roman"/>
          <w:szCs w:val="24"/>
        </w:rPr>
      </w:pPr>
    </w:p>
    <w:p w14:paraId="139A17B8" w14:textId="77777777" w:rsidR="003517E2" w:rsidRPr="00B90650" w:rsidRDefault="003517E2" w:rsidP="003517E2">
      <w:pPr>
        <w:tabs>
          <w:tab w:val="left" w:pos="709"/>
        </w:tabs>
        <w:spacing w:after="0" w:line="240" w:lineRule="auto"/>
        <w:ind w:firstLine="720"/>
        <w:jc w:val="both"/>
        <w:rPr>
          <w:rFonts w:eastAsia="Times New Roman" w:cs="Times New Roman"/>
          <w:szCs w:val="24"/>
        </w:rPr>
      </w:pPr>
      <w:bookmarkStart w:id="2" w:name="_Hlk59444021"/>
      <w:r w:rsidRPr="00B90650">
        <w:rPr>
          <w:rFonts w:eastAsia="Times New Roman" w:cs="Times New Roman"/>
          <w:szCs w:val="24"/>
        </w:rPr>
        <w:t>Lietuvos Aukščiausiojo Teismo Civilinių bylų skyriaus teisėjų kolegija, susidedanti iš teisėjų Godos Ambrasaitės-Balynienės, Donato Šerno (kolegijos pirmininkas ir pranešėjas) ir Egidijos Tamošiūnienės,</w:t>
      </w:r>
    </w:p>
    <w:p w14:paraId="198C9F86" w14:textId="58342436" w:rsidR="003517E2" w:rsidRPr="00B90650" w:rsidRDefault="003517E2" w:rsidP="003517E2">
      <w:pPr>
        <w:spacing w:after="120" w:line="240" w:lineRule="auto"/>
        <w:ind w:firstLine="720"/>
        <w:jc w:val="both"/>
        <w:rPr>
          <w:rFonts w:eastAsia="Times New Roman" w:cs="Times New Roman"/>
          <w:b/>
          <w:szCs w:val="24"/>
        </w:rPr>
      </w:pPr>
      <w:r w:rsidRPr="00B90650">
        <w:rPr>
          <w:rFonts w:eastAsia="Times New Roman"/>
          <w:szCs w:val="24"/>
        </w:rPr>
        <w:t>teismo posėdyje kasacine rašytinio proceso tvarka išnagrinėjo civilinę bylą pagal</w:t>
      </w:r>
      <w:r w:rsidRPr="00B90650">
        <w:t xml:space="preserve"> </w:t>
      </w:r>
      <w:r w:rsidRPr="00B90650">
        <w:rPr>
          <w:rFonts w:eastAsia="Times New Roman"/>
          <w:b/>
          <w:bCs/>
          <w:szCs w:val="24"/>
        </w:rPr>
        <w:t>ieškovės K</w:t>
      </w:r>
      <w:r w:rsidR="00FA6B33">
        <w:rPr>
          <w:rFonts w:eastAsia="Times New Roman"/>
          <w:b/>
          <w:bCs/>
          <w:szCs w:val="24"/>
        </w:rPr>
        <w:t>.</w:t>
      </w:r>
      <w:r w:rsidRPr="00B90650">
        <w:rPr>
          <w:rFonts w:eastAsia="Times New Roman"/>
          <w:b/>
          <w:bCs/>
          <w:szCs w:val="24"/>
        </w:rPr>
        <w:t xml:space="preserve"> D</w:t>
      </w:r>
      <w:r w:rsidR="00FA6B33">
        <w:rPr>
          <w:rFonts w:eastAsia="Times New Roman"/>
          <w:b/>
          <w:bCs/>
          <w:szCs w:val="24"/>
        </w:rPr>
        <w:t>.</w:t>
      </w:r>
      <w:r w:rsidRPr="00B90650">
        <w:rPr>
          <w:rFonts w:eastAsia="Times New Roman"/>
          <w:b/>
          <w:bCs/>
          <w:szCs w:val="24"/>
        </w:rPr>
        <w:t xml:space="preserve"> ir trečiojo asmens G</w:t>
      </w:r>
      <w:r w:rsidR="00FA6B33">
        <w:rPr>
          <w:rFonts w:eastAsia="Times New Roman"/>
          <w:b/>
          <w:bCs/>
          <w:szCs w:val="24"/>
        </w:rPr>
        <w:t>.</w:t>
      </w:r>
      <w:r w:rsidRPr="00B90650">
        <w:rPr>
          <w:rFonts w:eastAsia="Times New Roman"/>
          <w:b/>
          <w:bCs/>
          <w:szCs w:val="24"/>
        </w:rPr>
        <w:t xml:space="preserve"> D</w:t>
      </w:r>
      <w:r w:rsidR="00FA6B33">
        <w:rPr>
          <w:rFonts w:eastAsia="Times New Roman"/>
          <w:b/>
          <w:bCs/>
          <w:szCs w:val="24"/>
        </w:rPr>
        <w:t>.</w:t>
      </w:r>
      <w:r w:rsidRPr="00B90650">
        <w:t xml:space="preserve"> kasacinį skundą dėl Vilniaus apygardos teismo 2025 m. sausio 23 d. nutarties peržiūrėjimo </w:t>
      </w:r>
      <w:r w:rsidRPr="00B90650">
        <w:rPr>
          <w:rFonts w:eastAsia="Times New Roman"/>
          <w:bCs/>
          <w:szCs w:val="24"/>
        </w:rPr>
        <w:t>civilinėje byloje pagal ieškovės K</w:t>
      </w:r>
      <w:r w:rsidR="00FA6B33">
        <w:rPr>
          <w:rFonts w:eastAsia="Times New Roman"/>
          <w:bCs/>
          <w:szCs w:val="24"/>
        </w:rPr>
        <w:t>.</w:t>
      </w:r>
      <w:r w:rsidRPr="00B90650">
        <w:rPr>
          <w:rFonts w:eastAsia="Times New Roman"/>
          <w:bCs/>
          <w:szCs w:val="24"/>
        </w:rPr>
        <w:t xml:space="preserve"> D</w:t>
      </w:r>
      <w:r w:rsidR="00FA6B33">
        <w:rPr>
          <w:rFonts w:eastAsia="Times New Roman"/>
          <w:bCs/>
          <w:szCs w:val="24"/>
        </w:rPr>
        <w:t>.</w:t>
      </w:r>
      <w:r w:rsidRPr="00B90650">
        <w:rPr>
          <w:rFonts w:eastAsia="Times New Roman"/>
          <w:bCs/>
          <w:szCs w:val="24"/>
        </w:rPr>
        <w:t xml:space="preserve"> ieškinį atsakovams R</w:t>
      </w:r>
      <w:r w:rsidR="00FA6B33">
        <w:rPr>
          <w:rFonts w:eastAsia="Times New Roman"/>
          <w:bCs/>
          <w:szCs w:val="24"/>
        </w:rPr>
        <w:t>.</w:t>
      </w:r>
      <w:r w:rsidRPr="00B90650">
        <w:rPr>
          <w:rFonts w:eastAsia="Times New Roman"/>
          <w:bCs/>
          <w:szCs w:val="24"/>
        </w:rPr>
        <w:t> R</w:t>
      </w:r>
      <w:r w:rsidR="00FA6B33">
        <w:rPr>
          <w:rFonts w:eastAsia="Times New Roman"/>
          <w:bCs/>
          <w:szCs w:val="24"/>
        </w:rPr>
        <w:t>.</w:t>
      </w:r>
      <w:r w:rsidRPr="00B90650">
        <w:rPr>
          <w:rFonts w:eastAsia="Times New Roman"/>
          <w:bCs/>
          <w:szCs w:val="24"/>
        </w:rPr>
        <w:t xml:space="preserve"> (R</w:t>
      </w:r>
      <w:r w:rsidR="00FA6B33">
        <w:rPr>
          <w:rFonts w:eastAsia="Times New Roman"/>
          <w:bCs/>
          <w:szCs w:val="24"/>
        </w:rPr>
        <w:t>.</w:t>
      </w:r>
      <w:r w:rsidRPr="00B90650">
        <w:rPr>
          <w:rFonts w:eastAsia="Times New Roman"/>
          <w:bCs/>
          <w:szCs w:val="24"/>
        </w:rPr>
        <w:t xml:space="preserve"> R</w:t>
      </w:r>
      <w:r w:rsidR="00FA6B33">
        <w:rPr>
          <w:rFonts w:eastAsia="Times New Roman"/>
          <w:bCs/>
          <w:szCs w:val="24"/>
        </w:rPr>
        <w:t>.</w:t>
      </w:r>
      <w:r w:rsidRPr="00B90650">
        <w:rPr>
          <w:rFonts w:eastAsia="Times New Roman"/>
          <w:bCs/>
          <w:szCs w:val="24"/>
        </w:rPr>
        <w:t>) ir V</w:t>
      </w:r>
      <w:r w:rsidR="00FA6B33">
        <w:rPr>
          <w:rFonts w:eastAsia="Times New Roman"/>
          <w:bCs/>
          <w:szCs w:val="24"/>
        </w:rPr>
        <w:t>.</w:t>
      </w:r>
      <w:r w:rsidRPr="00B90650">
        <w:rPr>
          <w:rFonts w:eastAsia="Times New Roman"/>
          <w:bCs/>
          <w:szCs w:val="24"/>
        </w:rPr>
        <w:t xml:space="preserve"> V</w:t>
      </w:r>
      <w:r w:rsidR="00FA6B33">
        <w:rPr>
          <w:rFonts w:eastAsia="Times New Roman"/>
          <w:bCs/>
          <w:szCs w:val="24"/>
        </w:rPr>
        <w:t>.</w:t>
      </w:r>
      <w:r w:rsidRPr="00B90650">
        <w:rPr>
          <w:rFonts w:eastAsia="Times New Roman"/>
          <w:bCs/>
          <w:szCs w:val="24"/>
        </w:rPr>
        <w:t xml:space="preserve"> ir pagal atsakovo V</w:t>
      </w:r>
      <w:r w:rsidR="00FA6B33">
        <w:rPr>
          <w:rFonts w:eastAsia="Times New Roman"/>
          <w:bCs/>
          <w:szCs w:val="24"/>
        </w:rPr>
        <w:t>.</w:t>
      </w:r>
      <w:r w:rsidRPr="00B90650">
        <w:rPr>
          <w:rFonts w:eastAsia="Times New Roman"/>
          <w:bCs/>
          <w:szCs w:val="24"/>
        </w:rPr>
        <w:t xml:space="preserve"> V</w:t>
      </w:r>
      <w:r w:rsidR="00FA6B33">
        <w:rPr>
          <w:rFonts w:eastAsia="Times New Roman"/>
          <w:bCs/>
          <w:szCs w:val="24"/>
        </w:rPr>
        <w:t>.</w:t>
      </w:r>
      <w:r w:rsidRPr="00B90650">
        <w:rPr>
          <w:rFonts w:eastAsia="Times New Roman"/>
          <w:bCs/>
          <w:szCs w:val="24"/>
        </w:rPr>
        <w:t xml:space="preserve"> priešieškinį K</w:t>
      </w:r>
      <w:r w:rsidR="00FA6B33">
        <w:rPr>
          <w:rFonts w:eastAsia="Times New Roman"/>
          <w:bCs/>
          <w:szCs w:val="24"/>
        </w:rPr>
        <w:t>.</w:t>
      </w:r>
      <w:r w:rsidRPr="00B90650">
        <w:rPr>
          <w:rFonts w:eastAsia="Times New Roman"/>
          <w:bCs/>
          <w:szCs w:val="24"/>
        </w:rPr>
        <w:t xml:space="preserve"> D</w:t>
      </w:r>
      <w:r w:rsidR="00FA6B33">
        <w:rPr>
          <w:rFonts w:eastAsia="Times New Roman"/>
          <w:bCs/>
          <w:szCs w:val="24"/>
        </w:rPr>
        <w:t>.</w:t>
      </w:r>
      <w:r w:rsidRPr="00B90650">
        <w:rPr>
          <w:rFonts w:eastAsia="Times New Roman"/>
          <w:bCs/>
          <w:szCs w:val="24"/>
        </w:rPr>
        <w:t xml:space="preserve"> ir D</w:t>
      </w:r>
      <w:r w:rsidR="00FA6B33">
        <w:rPr>
          <w:rFonts w:eastAsia="Times New Roman"/>
          <w:bCs/>
          <w:szCs w:val="24"/>
        </w:rPr>
        <w:t>.</w:t>
      </w:r>
      <w:r w:rsidRPr="00B90650">
        <w:rPr>
          <w:rFonts w:eastAsia="Times New Roman"/>
          <w:bCs/>
          <w:szCs w:val="24"/>
        </w:rPr>
        <w:t xml:space="preserve"> D</w:t>
      </w:r>
      <w:r w:rsidR="00FA6B33">
        <w:rPr>
          <w:rFonts w:eastAsia="Times New Roman"/>
          <w:bCs/>
          <w:szCs w:val="24"/>
        </w:rPr>
        <w:t>.</w:t>
      </w:r>
      <w:r w:rsidRPr="00B90650">
        <w:rPr>
          <w:rFonts w:eastAsia="Times New Roman"/>
          <w:bCs/>
          <w:szCs w:val="24"/>
        </w:rPr>
        <w:t xml:space="preserve"> dėl turto išreikalavimo ir nuostolių atlyginimo, tretieji asmenys R</w:t>
      </w:r>
      <w:r w:rsidR="00FA6B33">
        <w:rPr>
          <w:rFonts w:eastAsia="Times New Roman"/>
          <w:bCs/>
          <w:szCs w:val="24"/>
        </w:rPr>
        <w:t>.</w:t>
      </w:r>
      <w:r w:rsidRPr="00B90650">
        <w:rPr>
          <w:rFonts w:eastAsia="Times New Roman"/>
          <w:bCs/>
          <w:szCs w:val="24"/>
        </w:rPr>
        <w:t xml:space="preserve"> V</w:t>
      </w:r>
      <w:r w:rsidR="00FA6B33">
        <w:rPr>
          <w:rFonts w:eastAsia="Times New Roman"/>
          <w:bCs/>
          <w:szCs w:val="24"/>
        </w:rPr>
        <w:t>.</w:t>
      </w:r>
      <w:r w:rsidRPr="00B90650">
        <w:rPr>
          <w:rFonts w:eastAsia="Times New Roman"/>
          <w:bCs/>
          <w:szCs w:val="24"/>
        </w:rPr>
        <w:t xml:space="preserve"> ir G</w:t>
      </w:r>
      <w:r w:rsidR="00FA6B33">
        <w:rPr>
          <w:rFonts w:eastAsia="Times New Roman"/>
          <w:bCs/>
          <w:szCs w:val="24"/>
        </w:rPr>
        <w:t xml:space="preserve">. </w:t>
      </w:r>
      <w:r w:rsidRPr="00B90650">
        <w:rPr>
          <w:rFonts w:eastAsia="Times New Roman"/>
          <w:bCs/>
          <w:szCs w:val="24"/>
        </w:rPr>
        <w:t xml:space="preserve">D. </w:t>
      </w:r>
    </w:p>
    <w:p w14:paraId="42D09B91" w14:textId="77777777" w:rsidR="003517E2" w:rsidRPr="00B90650" w:rsidRDefault="003517E2" w:rsidP="003517E2">
      <w:pPr>
        <w:spacing w:after="0" w:line="240" w:lineRule="auto"/>
        <w:ind w:firstLine="720"/>
        <w:jc w:val="both"/>
        <w:rPr>
          <w:rFonts w:eastAsia="Times New Roman" w:cs="Times New Roman"/>
          <w:szCs w:val="24"/>
          <w:lang w:eastAsia="lt-LT"/>
        </w:rPr>
      </w:pPr>
    </w:p>
    <w:p w14:paraId="57ECD2E1" w14:textId="77777777" w:rsidR="003517E2" w:rsidRPr="00B90650" w:rsidRDefault="003517E2" w:rsidP="003517E2">
      <w:pPr>
        <w:spacing w:after="0" w:line="240" w:lineRule="auto"/>
        <w:ind w:firstLine="709"/>
        <w:jc w:val="both"/>
        <w:rPr>
          <w:rFonts w:eastAsia="Times New Roman" w:cs="Times New Roman"/>
          <w:b/>
          <w:bCs/>
          <w:szCs w:val="24"/>
          <w:lang w:eastAsia="lt-LT"/>
        </w:rPr>
      </w:pPr>
      <w:r w:rsidRPr="00B90650">
        <w:rPr>
          <w:rFonts w:eastAsia="Times New Roman" w:cs="Times New Roman"/>
          <w:szCs w:val="24"/>
          <w:lang w:eastAsia="lt-LT"/>
        </w:rPr>
        <w:t xml:space="preserve">Teisėjų kolegija </w:t>
      </w:r>
    </w:p>
    <w:p w14:paraId="3362ED56" w14:textId="77777777" w:rsidR="003517E2" w:rsidRPr="00B90650" w:rsidRDefault="003517E2" w:rsidP="003517E2">
      <w:pPr>
        <w:spacing w:after="0" w:line="240" w:lineRule="auto"/>
        <w:ind w:firstLine="720"/>
        <w:jc w:val="both"/>
        <w:rPr>
          <w:rFonts w:eastAsia="Times New Roman" w:cs="Times New Roman"/>
          <w:b/>
          <w:bCs/>
          <w:szCs w:val="24"/>
          <w:lang w:eastAsia="lt-LT"/>
        </w:rPr>
      </w:pPr>
    </w:p>
    <w:p w14:paraId="7537CFC9" w14:textId="77777777" w:rsidR="003517E2" w:rsidRPr="00B90650" w:rsidRDefault="003517E2" w:rsidP="003517E2">
      <w:pPr>
        <w:spacing w:after="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n u s t a t ė :</w:t>
      </w:r>
    </w:p>
    <w:p w14:paraId="792B4029" w14:textId="77777777" w:rsidR="003517E2" w:rsidRPr="00B90650" w:rsidRDefault="003517E2" w:rsidP="003517E2">
      <w:pPr>
        <w:spacing w:after="0" w:line="240" w:lineRule="auto"/>
        <w:ind w:left="726" w:hanging="6"/>
        <w:jc w:val="both"/>
        <w:rPr>
          <w:rFonts w:eastAsia="Times New Roman" w:cs="Times New Roman"/>
          <w:szCs w:val="24"/>
          <w:lang w:eastAsia="lt-LT"/>
        </w:rPr>
      </w:pPr>
    </w:p>
    <w:p w14:paraId="0B4965B3" w14:textId="77777777" w:rsidR="003517E2" w:rsidRPr="00B90650" w:rsidRDefault="003517E2" w:rsidP="003517E2">
      <w:pPr>
        <w:spacing w:after="120" w:line="240" w:lineRule="auto"/>
        <w:ind w:left="357" w:hanging="357"/>
        <w:jc w:val="center"/>
        <w:rPr>
          <w:rFonts w:eastAsia="Times New Roman" w:cs="Times New Roman"/>
          <w:szCs w:val="24"/>
          <w:lang w:eastAsia="lt-LT"/>
        </w:rPr>
      </w:pPr>
      <w:r w:rsidRPr="00B90650">
        <w:rPr>
          <w:rFonts w:eastAsia="Times New Roman" w:cs="Times New Roman"/>
          <w:szCs w:val="24"/>
          <w:lang w:eastAsia="lt-LT"/>
        </w:rPr>
        <w:t>I. Ginčo esmė</w:t>
      </w:r>
    </w:p>
    <w:p w14:paraId="19CF40CC" w14:textId="77777777" w:rsidR="003517E2" w:rsidRPr="00B90650" w:rsidRDefault="003517E2" w:rsidP="003517E2">
      <w:pPr>
        <w:spacing w:after="120" w:line="240" w:lineRule="auto"/>
        <w:ind w:firstLine="720"/>
        <w:jc w:val="both"/>
        <w:rPr>
          <w:rFonts w:eastAsia="Times New Roman" w:cs="Times New Roman"/>
          <w:szCs w:val="24"/>
          <w:lang w:eastAsia="lt-LT"/>
        </w:rPr>
      </w:pPr>
    </w:p>
    <w:p w14:paraId="3EF59180" w14:textId="5DDC41C6"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 xml:space="preserve">Kasacinėje byloje sprendžiama dėl proceso teisės normų, reglamentuojančių </w:t>
      </w:r>
      <w:r w:rsidR="00287CF2" w:rsidRPr="00B90650">
        <w:rPr>
          <w:rFonts w:eastAsia="Times New Roman" w:cs="Times New Roman"/>
          <w:bCs/>
          <w:szCs w:val="24"/>
          <w:lang w:eastAsia="lt-LT" w:bidi="lt-LT"/>
        </w:rPr>
        <w:t xml:space="preserve">baudos už piktnaudžiavimą procesinėmis teisėmis skyrimą, </w:t>
      </w:r>
      <w:r w:rsidRPr="00B90650">
        <w:rPr>
          <w:rFonts w:eastAsia="Times New Roman" w:cs="Times New Roman"/>
          <w:bCs/>
          <w:szCs w:val="24"/>
          <w:lang w:eastAsia="lt-LT" w:bidi="lt-LT"/>
        </w:rPr>
        <w:t>aiškinimo ir taikymo.</w:t>
      </w:r>
    </w:p>
    <w:p w14:paraId="6DDBA899" w14:textId="13BD3F4E"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Ieškovė kreipėsi į teismą ir prašė įpareigoti atsakovus R. R</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ir V. V</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grąžinti jai automobilį „</w:t>
      </w:r>
      <w:r w:rsidR="00FA6B33">
        <w:rPr>
          <w:rFonts w:eastAsia="Times New Roman" w:cs="Times New Roman"/>
          <w:bCs/>
          <w:szCs w:val="24"/>
          <w:lang w:eastAsia="lt-LT" w:bidi="lt-LT"/>
        </w:rPr>
        <w:t>(</w:t>
      </w:r>
      <w:r w:rsidR="00FA6B33" w:rsidRPr="00FA6B33">
        <w:rPr>
          <w:rFonts w:eastAsia="Times New Roman" w:cs="Times New Roman"/>
          <w:bCs/>
          <w:i/>
          <w:iCs/>
          <w:szCs w:val="24"/>
          <w:lang w:eastAsia="lt-LT" w:bidi="lt-LT"/>
        </w:rPr>
        <w:t>duomenys neskelbtini</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VIN </w:t>
      </w:r>
      <w:r w:rsidR="00FA6B33">
        <w:rPr>
          <w:rFonts w:eastAsia="Times New Roman" w:cs="Times New Roman"/>
          <w:bCs/>
          <w:szCs w:val="24"/>
          <w:lang w:eastAsia="lt-LT" w:bidi="lt-LT"/>
        </w:rPr>
        <w:t>(</w:t>
      </w:r>
      <w:r w:rsidR="00FA6B33" w:rsidRPr="00FA6B33">
        <w:rPr>
          <w:rFonts w:eastAsia="Times New Roman" w:cs="Times New Roman"/>
          <w:bCs/>
          <w:i/>
          <w:iCs/>
          <w:szCs w:val="24"/>
          <w:lang w:eastAsia="lt-LT" w:bidi="lt-LT"/>
        </w:rPr>
        <w:t>duomenys neskelbtini</w:t>
      </w:r>
      <w:r w:rsidR="00FA6B33">
        <w:rPr>
          <w:rFonts w:eastAsia="Times New Roman" w:cs="Times New Roman"/>
          <w:bCs/>
          <w:szCs w:val="24"/>
          <w:lang w:eastAsia="lt-LT" w:bidi="lt-LT"/>
        </w:rPr>
        <w:t>)</w:t>
      </w:r>
      <w:r w:rsidRPr="00B90650">
        <w:rPr>
          <w:rFonts w:eastAsia="Times New Roman" w:cs="Times New Roman"/>
          <w:bCs/>
          <w:szCs w:val="24"/>
          <w:lang w:eastAsia="lt-LT" w:bidi="lt-LT"/>
        </w:rPr>
        <w:t>, teismo sprendime nurodyti, kad paaiškėjus, jog automobilio nėra, iš atsakovų solidariai išieškotina 13 207 Eur; priteisti solidariai iš atsakovų 43 176,50 Eur nuostolių atlyginimą, 6 procentų dydžio metines palūkanas.</w:t>
      </w:r>
    </w:p>
    <w:p w14:paraId="1EDFF244" w14:textId="31D566C2"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Atsakovas V. V</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pateikė priešieškinį, kuriuo prašė įpareigoti K.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ir D.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grąžinti jam automobilį „</w:t>
      </w:r>
      <w:r w:rsidR="00FA6B33">
        <w:rPr>
          <w:rFonts w:eastAsia="Times New Roman" w:cs="Times New Roman"/>
          <w:bCs/>
          <w:szCs w:val="24"/>
          <w:lang w:eastAsia="lt-LT" w:bidi="lt-LT"/>
        </w:rPr>
        <w:t>(</w:t>
      </w:r>
      <w:r w:rsidR="00FA6B33" w:rsidRPr="00FA6B33">
        <w:rPr>
          <w:rFonts w:eastAsia="Times New Roman" w:cs="Times New Roman"/>
          <w:bCs/>
          <w:i/>
          <w:iCs/>
          <w:szCs w:val="24"/>
          <w:lang w:eastAsia="lt-LT" w:bidi="lt-LT"/>
        </w:rPr>
        <w:t>duomenys neskelbtini</w:t>
      </w:r>
      <w:r w:rsidR="00FA6B33">
        <w:rPr>
          <w:rFonts w:eastAsia="Times New Roman" w:cs="Times New Roman"/>
          <w:bCs/>
          <w:szCs w:val="24"/>
          <w:lang w:eastAsia="lt-LT" w:bidi="lt-LT"/>
        </w:rPr>
        <w:t>)</w:t>
      </w:r>
      <w:r w:rsidRPr="00B90650">
        <w:rPr>
          <w:rFonts w:eastAsia="Times New Roman" w:cs="Times New Roman"/>
          <w:bCs/>
          <w:szCs w:val="24"/>
          <w:lang w:eastAsia="lt-LT" w:bidi="lt-LT"/>
        </w:rPr>
        <w:t>“, VIN </w:t>
      </w:r>
      <w:r w:rsidR="00FA6B33">
        <w:rPr>
          <w:rFonts w:eastAsia="Times New Roman" w:cs="Times New Roman"/>
          <w:bCs/>
          <w:szCs w:val="24"/>
          <w:lang w:eastAsia="lt-LT" w:bidi="lt-LT"/>
        </w:rPr>
        <w:t>(</w:t>
      </w:r>
      <w:r w:rsidR="00FA6B33" w:rsidRPr="00FA6B33">
        <w:rPr>
          <w:rFonts w:eastAsia="Times New Roman" w:cs="Times New Roman"/>
          <w:bCs/>
          <w:i/>
          <w:iCs/>
          <w:szCs w:val="24"/>
          <w:lang w:eastAsia="lt-LT" w:bidi="lt-LT"/>
        </w:rPr>
        <w:t>duomenys neskelbtini</w:t>
      </w:r>
      <w:r w:rsidR="00FA6B33">
        <w:rPr>
          <w:rFonts w:eastAsia="Times New Roman" w:cs="Times New Roman"/>
          <w:bCs/>
          <w:szCs w:val="24"/>
          <w:lang w:eastAsia="lt-LT" w:bidi="lt-LT"/>
        </w:rPr>
        <w:t>)</w:t>
      </w:r>
      <w:r w:rsidRPr="00B90650">
        <w:rPr>
          <w:rFonts w:eastAsia="Times New Roman" w:cs="Times New Roman"/>
          <w:bCs/>
          <w:szCs w:val="24"/>
          <w:lang w:eastAsia="lt-LT" w:bidi="lt-LT"/>
        </w:rPr>
        <w:t>, teismo sprendime nurodyti, kad paaiškėjus, jog automobilio nėra, iš K.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ir D.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solidariai išieškotina šio automobilio vertė – 36 000 Eur; priteisti atsakovui iš K.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ir D.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solidariai 3000 Eur nuostolių už suremontuotą automobilį „</w:t>
      </w:r>
      <w:r w:rsidR="00FA6B33">
        <w:rPr>
          <w:rFonts w:eastAsia="Times New Roman" w:cs="Times New Roman"/>
          <w:bCs/>
          <w:szCs w:val="24"/>
          <w:lang w:eastAsia="lt-LT" w:bidi="lt-LT"/>
        </w:rPr>
        <w:t>(</w:t>
      </w:r>
      <w:r w:rsidR="00FA6B33" w:rsidRPr="00FA6B33">
        <w:rPr>
          <w:rFonts w:eastAsia="Times New Roman" w:cs="Times New Roman"/>
          <w:bCs/>
          <w:i/>
          <w:iCs/>
          <w:szCs w:val="24"/>
          <w:lang w:eastAsia="lt-LT" w:bidi="lt-LT"/>
        </w:rPr>
        <w:t>duomenys neskelbtini</w:t>
      </w:r>
      <w:r w:rsidR="00FA6B33">
        <w:rPr>
          <w:rFonts w:eastAsia="Times New Roman" w:cs="Times New Roman"/>
          <w:bCs/>
          <w:szCs w:val="24"/>
          <w:lang w:eastAsia="lt-LT" w:bidi="lt-LT"/>
        </w:rPr>
        <w:t>)</w:t>
      </w:r>
      <w:r w:rsidRPr="00B90650">
        <w:rPr>
          <w:rFonts w:eastAsia="Times New Roman" w:cs="Times New Roman"/>
          <w:bCs/>
          <w:szCs w:val="24"/>
          <w:lang w:eastAsia="lt-LT" w:bidi="lt-LT"/>
        </w:rPr>
        <w:t>“ atlyginimą, 5 procentų dydžio procesines palūkanas.</w:t>
      </w:r>
    </w:p>
    <w:p w14:paraId="105DD7C6" w14:textId="7B39EBBB"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Vilniaus regiono apylinkės teismas</w:t>
      </w:r>
      <w:r w:rsidR="0002749A" w:rsidRPr="00B90650">
        <w:rPr>
          <w:rFonts w:eastAsia="Times New Roman" w:cs="Times New Roman"/>
          <w:bCs/>
          <w:szCs w:val="24"/>
          <w:lang w:eastAsia="lt-LT" w:bidi="lt-LT"/>
        </w:rPr>
        <w:t xml:space="preserve"> </w:t>
      </w:r>
      <w:r w:rsidRPr="00B90650">
        <w:rPr>
          <w:rFonts w:eastAsia="Times New Roman" w:cs="Times New Roman"/>
          <w:bCs/>
          <w:szCs w:val="24"/>
          <w:lang w:eastAsia="lt-LT" w:bidi="lt-LT"/>
        </w:rPr>
        <w:t>2024 m. vasario 9 d. nutartimi</w:t>
      </w:r>
      <w:r w:rsidR="0002749A" w:rsidRPr="00B90650">
        <w:rPr>
          <w:rFonts w:eastAsia="Times New Roman" w:cs="Times New Roman"/>
          <w:bCs/>
          <w:szCs w:val="24"/>
          <w:lang w:eastAsia="lt-LT" w:bidi="lt-LT"/>
        </w:rPr>
        <w:t xml:space="preserve"> </w:t>
      </w:r>
      <w:r w:rsidRPr="00B90650">
        <w:rPr>
          <w:rFonts w:eastAsia="Times New Roman" w:cs="Times New Roman"/>
          <w:bCs/>
          <w:szCs w:val="24"/>
          <w:lang w:eastAsia="lt-LT" w:bidi="lt-LT"/>
        </w:rPr>
        <w:t>treči</w:t>
      </w:r>
      <w:r w:rsidR="0002749A" w:rsidRPr="00B90650">
        <w:rPr>
          <w:rFonts w:eastAsia="Times New Roman" w:cs="Times New Roman"/>
          <w:bCs/>
          <w:szCs w:val="24"/>
          <w:lang w:eastAsia="lt-LT" w:bidi="lt-LT"/>
        </w:rPr>
        <w:t>aisiais asmenimis</w:t>
      </w:r>
      <w:r w:rsidRPr="00B90650">
        <w:rPr>
          <w:rFonts w:eastAsia="Times New Roman" w:cs="Times New Roman"/>
          <w:bCs/>
          <w:szCs w:val="24"/>
          <w:lang w:eastAsia="lt-LT" w:bidi="lt-LT"/>
        </w:rPr>
        <w:t>, nepareiškianči</w:t>
      </w:r>
      <w:r w:rsidR="0002749A" w:rsidRPr="00B90650">
        <w:rPr>
          <w:rFonts w:eastAsia="Times New Roman" w:cs="Times New Roman"/>
          <w:bCs/>
          <w:szCs w:val="24"/>
          <w:lang w:eastAsia="lt-LT" w:bidi="lt-LT"/>
        </w:rPr>
        <w:t>ais</w:t>
      </w:r>
      <w:r w:rsidRPr="00B90650">
        <w:rPr>
          <w:rFonts w:eastAsia="Times New Roman" w:cs="Times New Roman"/>
          <w:bCs/>
          <w:szCs w:val="24"/>
          <w:lang w:eastAsia="lt-LT" w:bidi="lt-LT"/>
        </w:rPr>
        <w:t xml:space="preserve"> savarankiškų reikalavimų, įtraukė G.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ir R. V</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ir nutarė pripažinti K. D</w:t>
      </w:r>
      <w:r w:rsidR="00FA6B33">
        <w:rPr>
          <w:rFonts w:eastAsia="Times New Roman" w:cs="Times New Roman"/>
          <w:bCs/>
          <w:szCs w:val="24"/>
          <w:lang w:eastAsia="lt-LT" w:bidi="lt-LT"/>
        </w:rPr>
        <w:t>.</w:t>
      </w:r>
      <w:r w:rsidRPr="00B90650">
        <w:rPr>
          <w:rFonts w:eastAsia="Times New Roman" w:cs="Times New Roman"/>
          <w:bCs/>
          <w:szCs w:val="24"/>
          <w:lang w:eastAsia="lt-LT" w:bidi="lt-LT"/>
        </w:rPr>
        <w:t>, D. D</w:t>
      </w:r>
      <w:r w:rsidR="00FA6B33">
        <w:rPr>
          <w:rFonts w:eastAsia="Times New Roman" w:cs="Times New Roman"/>
          <w:bCs/>
          <w:szCs w:val="24"/>
          <w:lang w:eastAsia="lt-LT" w:bidi="lt-LT"/>
        </w:rPr>
        <w:t>.</w:t>
      </w:r>
      <w:r w:rsidRPr="00B90650">
        <w:rPr>
          <w:rFonts w:eastAsia="Times New Roman" w:cs="Times New Roman"/>
          <w:bCs/>
          <w:szCs w:val="24"/>
          <w:lang w:eastAsia="lt-LT" w:bidi="lt-LT"/>
        </w:rPr>
        <w:t>, G.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ir R. V</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dalyvavimą teismo posėdyje būtinu.</w:t>
      </w:r>
    </w:p>
    <w:p w14:paraId="7B2B7BD3" w14:textId="18FDB1E8"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lastRenderedPageBreak/>
        <w:t>2024 m. kovo 7 d. K. D</w:t>
      </w:r>
      <w:r w:rsidR="00FA6B33">
        <w:rPr>
          <w:rFonts w:eastAsia="Times New Roman" w:cs="Times New Roman"/>
          <w:bCs/>
          <w:szCs w:val="24"/>
          <w:lang w:eastAsia="lt-LT" w:bidi="lt-LT"/>
        </w:rPr>
        <w:t>.</w:t>
      </w:r>
      <w:r w:rsidRPr="00B90650">
        <w:rPr>
          <w:rFonts w:eastAsia="Times New Roman" w:cs="Times New Roman"/>
          <w:bCs/>
          <w:szCs w:val="24"/>
          <w:lang w:eastAsia="lt-LT" w:bidi="lt-LT"/>
        </w:rPr>
        <w:t>, D.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ir G.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į teismo posėdį neatvyko, buvo gautas šių asmenų prašymas bylą nagrinėti nuotoliniu būdu, tačiau, atsakovų atstovams su tuo nesutikus, teismas nutarė teismo posėdį atidėti ir bylą nagrinėti </w:t>
      </w:r>
      <w:r w:rsidR="0002749A" w:rsidRPr="00B90650">
        <w:rPr>
          <w:rFonts w:eastAsia="Times New Roman" w:cs="Times New Roman"/>
          <w:bCs/>
          <w:szCs w:val="24"/>
          <w:lang w:eastAsia="lt-LT" w:bidi="lt-LT"/>
        </w:rPr>
        <w:t>dalyvaujantiems byloje asmenims tiesiogiai dalyvaujant teismo posėdyje, nenaudojant informacinių ir elektroninių ryšių technologijų</w:t>
      </w:r>
      <w:r w:rsidRPr="00B90650">
        <w:rPr>
          <w:rFonts w:eastAsia="Times New Roman" w:cs="Times New Roman"/>
          <w:bCs/>
          <w:szCs w:val="24"/>
          <w:lang w:eastAsia="lt-LT" w:bidi="lt-LT"/>
        </w:rPr>
        <w:t>.</w:t>
      </w:r>
    </w:p>
    <w:p w14:paraId="4E3A56FF" w14:textId="0A26D428"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2024 m. kovo 14 d. gautas ieškovės K.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prašymas 2024 m. balandžio 19 d. teismo posėdyje bylą nagrinėti nuotoliniu būdu, tačiau šis prašymas 2024 m. kovo 22 d. teisėjo rezoliucija buvo atmestas. Į 2024 m. balandžio 19 d. vykusį teismo posėdį K. D</w:t>
      </w:r>
      <w:r w:rsidR="00FA6B33">
        <w:rPr>
          <w:rFonts w:eastAsia="Times New Roman" w:cs="Times New Roman"/>
          <w:bCs/>
          <w:szCs w:val="24"/>
          <w:lang w:eastAsia="lt-LT" w:bidi="lt-LT"/>
        </w:rPr>
        <w:t>.</w:t>
      </w:r>
      <w:r w:rsidRPr="00B90650">
        <w:rPr>
          <w:rFonts w:eastAsia="Times New Roman" w:cs="Times New Roman"/>
          <w:bCs/>
          <w:szCs w:val="24"/>
          <w:lang w:eastAsia="lt-LT" w:bidi="lt-LT"/>
        </w:rPr>
        <w:t>, D.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ir G.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neatvyko.</w:t>
      </w:r>
    </w:p>
    <w:p w14:paraId="2F284C87" w14:textId="1AA82146"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2024 m. birželio 18 d. gautas D.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ir G.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prašymas leisti jiems teismo posėdyje dalyvauti nuotoliniu būdu. Prašyme nurodyta, kad šie asmenys gyvena Ispanijoje, atvykimas į teismo posėdį yra apsunkintas. Tiek patys lėktuvo bilietai yra brangūs, tiek atvykimas yra apsunkintas, nes šalims reikėtų atvykti pirmadienį ir išbūti Lietuvoje iki penktadienio, todėl šalys patirtų papildomų apgyvendinimo išlaidų. Kadangi tiek ieškovės K. D</w:t>
      </w:r>
      <w:r w:rsidR="00FA6B33">
        <w:rPr>
          <w:rFonts w:eastAsia="Times New Roman" w:cs="Times New Roman"/>
          <w:bCs/>
          <w:szCs w:val="24"/>
          <w:lang w:eastAsia="lt-LT" w:bidi="lt-LT"/>
        </w:rPr>
        <w:t>.</w:t>
      </w:r>
      <w:r w:rsidRPr="00B90650">
        <w:rPr>
          <w:rFonts w:eastAsia="Times New Roman" w:cs="Times New Roman"/>
          <w:bCs/>
          <w:szCs w:val="24"/>
          <w:lang w:eastAsia="lt-LT" w:bidi="lt-LT"/>
        </w:rPr>
        <w:t>, tiek jos sutuoktinio D.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dalyvavimas byloje pripažintas būtinu, į Lietuvą jie turėtų grįžti kartu su nepilnamete dukterimi, o tai jų šeimai papildomai pabrangintų kelionę. Be to, buvo pažymėta, kad nurodyti asmenys patirs žalą negautų pajamų forma dėl negalėjimo būti darbe.</w:t>
      </w:r>
    </w:p>
    <w:p w14:paraId="380CB35B" w14:textId="587064E4"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2024 m. birželio 19 d. gautas ieškovės K.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prašymas sudaryti sąlygas jai dalyvauti nuotoliniu būdu teismo posėdyje, kuris paskirtas 2024 m. birželio 20 d.</w:t>
      </w:r>
      <w:r w:rsidR="00287CF2" w:rsidRPr="00B90650">
        <w:rPr>
          <w:rFonts w:eastAsia="Times New Roman" w:cs="Times New Roman"/>
          <w:bCs/>
          <w:szCs w:val="24"/>
          <w:lang w:eastAsia="lt-LT" w:bidi="lt-LT"/>
        </w:rPr>
        <w:t xml:space="preserve"> 4. Vilniaus regiono apylinkės teismas, 2024 m. birželio 20 d. posėdyje įvertinęs šalių nuomonę dėl nuotolinio teismo posėdžio, nusprendė bylą nagrinėti </w:t>
      </w:r>
      <w:r w:rsidR="0002749A" w:rsidRPr="00B90650">
        <w:rPr>
          <w:rFonts w:eastAsia="Times New Roman" w:cs="Times New Roman"/>
          <w:bCs/>
          <w:szCs w:val="24"/>
          <w:lang w:eastAsia="lt-LT" w:bidi="lt-LT"/>
        </w:rPr>
        <w:t>nenaudojant informacinių ir elektroninių ryšių technologijų</w:t>
      </w:r>
      <w:r w:rsidR="00287CF2" w:rsidRPr="00B90650">
        <w:rPr>
          <w:rFonts w:eastAsia="Times New Roman" w:cs="Times New Roman"/>
          <w:bCs/>
          <w:szCs w:val="24"/>
          <w:lang w:eastAsia="lt-LT" w:bidi="lt-LT"/>
        </w:rPr>
        <w:t>.</w:t>
      </w:r>
    </w:p>
    <w:p w14:paraId="5A497B81" w14:textId="623473B1"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2024 m. birželio 20 d. gautas atsakovo V. V</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prašymas K. D</w:t>
      </w:r>
      <w:r w:rsidR="00FA6B33">
        <w:rPr>
          <w:rFonts w:eastAsia="Times New Roman" w:cs="Times New Roman"/>
          <w:bCs/>
          <w:szCs w:val="24"/>
          <w:lang w:eastAsia="lt-LT" w:bidi="lt-LT"/>
        </w:rPr>
        <w:t>.</w:t>
      </w:r>
      <w:r w:rsidRPr="00B90650">
        <w:rPr>
          <w:rFonts w:eastAsia="Times New Roman" w:cs="Times New Roman"/>
          <w:bCs/>
          <w:szCs w:val="24"/>
          <w:lang w:eastAsia="lt-LT" w:bidi="lt-LT"/>
        </w:rPr>
        <w:t>, D.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ir G.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už teismo nutarties bei teisėjo nustatytų pareigų nevykdymą ir piktnaudžiavimą procesinėmis teisėmis skirti baudas. Atsakovas nurodė, kad minėti asmenys vengi</w:t>
      </w:r>
      <w:r w:rsidR="0002749A" w:rsidRPr="00B90650">
        <w:rPr>
          <w:rFonts w:eastAsia="Times New Roman" w:cs="Times New Roman"/>
          <w:bCs/>
          <w:szCs w:val="24"/>
          <w:lang w:eastAsia="lt-LT" w:bidi="lt-LT"/>
        </w:rPr>
        <w:t>a</w:t>
      </w:r>
      <w:r w:rsidRPr="00B90650">
        <w:rPr>
          <w:rFonts w:eastAsia="Times New Roman" w:cs="Times New Roman"/>
          <w:bCs/>
          <w:szCs w:val="24"/>
          <w:lang w:eastAsia="lt-LT" w:bidi="lt-LT"/>
        </w:rPr>
        <w:t xml:space="preserve"> atvykti į teismo posėdį, todėl tokie jų veiksmai vertintini kaip įsiteisėjusios teismo nutarties ir teismo nustatytos pareigos piktybinis nevykdymas. 2024 m. birželio 20 d. teisme taip pat gautas atsakovo R. R</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prašymas skirti K.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300 Eur baudą už teismo nutarties nevykdymą.</w:t>
      </w:r>
    </w:p>
    <w:p w14:paraId="5013EEB6" w14:textId="605638AD"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2024 m. birželio 20 d. vyko teismo posėdis, tačiau į jį K. D</w:t>
      </w:r>
      <w:r w:rsidR="00FA6B33">
        <w:rPr>
          <w:rFonts w:eastAsia="Times New Roman" w:cs="Times New Roman"/>
          <w:bCs/>
          <w:szCs w:val="24"/>
          <w:lang w:eastAsia="lt-LT" w:bidi="lt-LT"/>
        </w:rPr>
        <w:t>.</w:t>
      </w:r>
      <w:r w:rsidRPr="00B90650">
        <w:rPr>
          <w:rFonts w:eastAsia="Times New Roman" w:cs="Times New Roman"/>
          <w:bCs/>
          <w:szCs w:val="24"/>
          <w:lang w:eastAsia="lt-LT" w:bidi="lt-LT"/>
        </w:rPr>
        <w:t>, D.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ir G. D</w:t>
      </w:r>
      <w:r w:rsidR="00FA6B33">
        <w:rPr>
          <w:rFonts w:eastAsia="Times New Roman" w:cs="Times New Roman"/>
          <w:bCs/>
          <w:szCs w:val="24"/>
          <w:lang w:eastAsia="lt-LT" w:bidi="lt-LT"/>
        </w:rPr>
        <w:t>.</w:t>
      </w:r>
      <w:r w:rsidRPr="00B90650">
        <w:rPr>
          <w:rFonts w:eastAsia="Times New Roman" w:cs="Times New Roman"/>
          <w:bCs/>
          <w:szCs w:val="24"/>
          <w:lang w:eastAsia="lt-LT" w:bidi="lt-LT"/>
        </w:rPr>
        <w:t xml:space="preserve"> neatvyko.</w:t>
      </w:r>
    </w:p>
    <w:p w14:paraId="27B996B5" w14:textId="70FB3ACA"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Vilniaus regiono apylinkės teismas 2024 m. birželio 27 d. nutartimi ieškovei K. D</w:t>
      </w:r>
      <w:r w:rsidR="00873A07">
        <w:rPr>
          <w:rFonts w:eastAsia="Times New Roman" w:cs="Times New Roman"/>
          <w:bCs/>
          <w:szCs w:val="24"/>
          <w:lang w:eastAsia="lt-LT" w:bidi="lt-LT"/>
        </w:rPr>
        <w:t>.</w:t>
      </w:r>
      <w:r w:rsidRPr="00B90650">
        <w:rPr>
          <w:rFonts w:eastAsia="Times New Roman" w:cs="Times New Roman"/>
          <w:bCs/>
          <w:szCs w:val="24"/>
          <w:lang w:eastAsia="lt-LT" w:bidi="lt-LT"/>
        </w:rPr>
        <w:t>, atsakovui pagal priešieškinį D.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ir trečiajam asmeniui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paskyrė po 100 Eur baudą kiekvienam.</w:t>
      </w:r>
      <w:r w:rsidRPr="00B90650">
        <w:t xml:space="preserve"> </w:t>
      </w:r>
      <w:r w:rsidRPr="00B90650">
        <w:rPr>
          <w:rFonts w:eastAsia="Times New Roman" w:cs="Times New Roman"/>
          <w:bCs/>
          <w:szCs w:val="24"/>
          <w:lang w:eastAsia="lt-LT" w:bidi="lt-LT"/>
        </w:rPr>
        <w:t>Teismas atsižvelgė į tai, jog nurodytų asmenų dalyvavimas teismo posėdyje buvo pripažintas būtinu, tačiau minėti proceso dalyviai du kartus neatvyko į teismo posėdį, nors teismas du kartus atmetė jų prašymus dėl nuotolinio teismo posėdžio organizavimo, taip pat minėti asmenys neatvyko į teismo posėdį, vykusį 2024 m. birželio 20 d., ir trečią kartą, dėl to teismo posėdis turėjo būti atidėtas.</w:t>
      </w:r>
    </w:p>
    <w:p w14:paraId="15D76863" w14:textId="4B18CD80"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2024 m. rugpjūčio 26 d. vyko teismo posėdis, tačiau į jį K. D</w:t>
      </w:r>
      <w:r w:rsidR="00873A07">
        <w:rPr>
          <w:rFonts w:eastAsia="Times New Roman" w:cs="Times New Roman"/>
          <w:bCs/>
          <w:szCs w:val="24"/>
          <w:lang w:eastAsia="lt-LT" w:bidi="lt-LT"/>
        </w:rPr>
        <w:t>.</w:t>
      </w:r>
      <w:r w:rsidRPr="00B90650">
        <w:rPr>
          <w:rFonts w:eastAsia="Times New Roman" w:cs="Times New Roman"/>
          <w:bCs/>
          <w:szCs w:val="24"/>
          <w:lang w:eastAsia="lt-LT" w:bidi="lt-LT"/>
        </w:rPr>
        <w:t>, D.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ir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neatvyko. </w:t>
      </w:r>
    </w:p>
    <w:p w14:paraId="03CC4E26" w14:textId="4D1E1A7C"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Vilniaus regiono apylinkės teismas 2024 m. rugsėjo 2 d. nutartimi paskyrė K. D</w:t>
      </w:r>
      <w:r w:rsidR="00873A07">
        <w:rPr>
          <w:rFonts w:eastAsia="Times New Roman" w:cs="Times New Roman"/>
          <w:bCs/>
          <w:szCs w:val="24"/>
          <w:lang w:eastAsia="lt-LT" w:bidi="lt-LT"/>
        </w:rPr>
        <w:t>.</w:t>
      </w:r>
      <w:r w:rsidRPr="00B90650">
        <w:rPr>
          <w:rFonts w:eastAsia="Times New Roman" w:cs="Times New Roman"/>
          <w:bCs/>
          <w:szCs w:val="24"/>
          <w:lang w:eastAsia="lt-LT" w:bidi="lt-LT"/>
        </w:rPr>
        <w:t>, D.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ir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po 300 Eur baudą, kartu išaiškino, kad baudos paskyrimas neatleidžia nuo pareigos atvykti į kitą teismo posėdį, nustatytą 2024 m. rugsėjo 26 d. 14.30 val.</w:t>
      </w:r>
      <w:r w:rsidRPr="00B90650">
        <w:t xml:space="preserve"> Teismas nurodė, kad pirmiau minėti asmenys </w:t>
      </w:r>
      <w:r w:rsidR="0002749A" w:rsidRPr="00B90650">
        <w:t xml:space="preserve">prieš tai </w:t>
      </w:r>
      <w:r w:rsidRPr="00B90650">
        <w:rPr>
          <w:rFonts w:eastAsia="Times New Roman" w:cs="Times New Roman"/>
          <w:bCs/>
          <w:szCs w:val="24"/>
          <w:lang w:eastAsia="lt-LT" w:bidi="lt-LT"/>
        </w:rPr>
        <w:t xml:space="preserve">tris kartus neatvyko į teismo posėdį, jie taip pat neatvyko į teismo posėdį, vykusį 2024 m. rugpjūčio 26 d., </w:t>
      </w:r>
      <w:r w:rsidR="0002749A" w:rsidRPr="00B90650">
        <w:rPr>
          <w:rFonts w:eastAsia="Times New Roman" w:cs="Times New Roman"/>
          <w:bCs/>
          <w:szCs w:val="24"/>
          <w:lang w:eastAsia="lt-LT" w:bidi="lt-LT"/>
        </w:rPr>
        <w:t xml:space="preserve">t. y. </w:t>
      </w:r>
      <w:r w:rsidRPr="00B90650">
        <w:rPr>
          <w:rFonts w:eastAsia="Times New Roman" w:cs="Times New Roman"/>
          <w:bCs/>
          <w:szCs w:val="24"/>
          <w:lang w:eastAsia="lt-LT" w:bidi="lt-LT"/>
        </w:rPr>
        <w:t xml:space="preserve">ketvirtą kartą, dėl to teismo posėdis vėl buvo atidėtas. </w:t>
      </w:r>
    </w:p>
    <w:p w14:paraId="4FDEB36A" w14:textId="64C5AB59"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2024 m. rugsėjo 26 d. vyko teismo posėdis, į jį K.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ir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neatvyko.</w:t>
      </w:r>
    </w:p>
    <w:p w14:paraId="2D95B869" w14:textId="61DD720D"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Vilniaus regiono apylinkės teismas 2024 m. spalio 2 d. nutartimi K.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ir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paskyrė po 3600 Eur baudą, jos 50 procentų – 1800 Eur – lygiomis dalimis (po 600 Eur kiekvienam) skyrė R. R</w:t>
      </w:r>
      <w:r w:rsidR="00873A07">
        <w:rPr>
          <w:rFonts w:eastAsia="Times New Roman" w:cs="Times New Roman"/>
          <w:bCs/>
          <w:szCs w:val="24"/>
          <w:lang w:eastAsia="lt-LT" w:bidi="lt-LT"/>
        </w:rPr>
        <w:t>.</w:t>
      </w:r>
      <w:r w:rsidRPr="00B90650">
        <w:rPr>
          <w:rFonts w:eastAsia="Times New Roman" w:cs="Times New Roman"/>
          <w:bCs/>
          <w:szCs w:val="24"/>
          <w:lang w:eastAsia="lt-LT" w:bidi="lt-LT"/>
        </w:rPr>
        <w:t>, V. V</w:t>
      </w:r>
      <w:r w:rsidR="00873A07">
        <w:rPr>
          <w:rFonts w:eastAsia="Times New Roman" w:cs="Times New Roman"/>
          <w:bCs/>
          <w:szCs w:val="24"/>
          <w:lang w:eastAsia="lt-LT" w:bidi="lt-LT"/>
        </w:rPr>
        <w:t>.</w:t>
      </w:r>
      <w:r w:rsidRPr="00B90650">
        <w:rPr>
          <w:rFonts w:eastAsia="Times New Roman" w:cs="Times New Roman"/>
          <w:bCs/>
          <w:szCs w:val="24"/>
          <w:lang w:eastAsia="lt-LT" w:bidi="lt-LT"/>
        </w:rPr>
        <w:t>, R. V</w:t>
      </w:r>
      <w:r w:rsidR="00873A07">
        <w:rPr>
          <w:rFonts w:eastAsia="Times New Roman" w:cs="Times New Roman"/>
          <w:bCs/>
          <w:szCs w:val="24"/>
          <w:lang w:eastAsia="lt-LT" w:bidi="lt-LT"/>
        </w:rPr>
        <w:t>.</w:t>
      </w:r>
      <w:r w:rsidRPr="00B90650">
        <w:rPr>
          <w:rFonts w:eastAsia="Times New Roman" w:cs="Times New Roman"/>
          <w:bCs/>
          <w:szCs w:val="24"/>
          <w:lang w:eastAsia="lt-LT" w:bidi="lt-LT"/>
        </w:rPr>
        <w:t>. Teismas nurodė, kad, atsižvelgdamas į prašymuose nurodytas aplinkybes, suteikė galimybę</w:t>
      </w:r>
      <w:r w:rsidRPr="00B90650">
        <w:t xml:space="preserve"> </w:t>
      </w:r>
      <w:r w:rsidRPr="00B90650">
        <w:rPr>
          <w:rFonts w:eastAsia="Times New Roman" w:cs="Times New Roman"/>
          <w:bCs/>
          <w:szCs w:val="24"/>
          <w:lang w:eastAsia="lt-LT" w:bidi="lt-LT"/>
        </w:rPr>
        <w:t>K.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ir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dalyvauti teismo posėdyje nuotoliniu būdu, tačiau šie asmenys neprisijungė prie teismo posėdžio nei nuotoliniu būdu, nei atvyko fiziškai į teismo posėdžio salę. Teismas pabrėžė, kad nurodyti asmenys (ieškovė ir trečiasis asmuo) penkis kartus iš eilės be pateisinamos priežasties nedalyvavo teismo posėdžiuose. Į teismo posėdį susirinko visi kiti proceso dalyviai, tačiau bylos nagrinėjimas iš esmės negalėjo būti pradėtas dėl ieškovės ir trečiojo </w:t>
      </w:r>
      <w:r w:rsidRPr="00B90650">
        <w:rPr>
          <w:rFonts w:eastAsia="Times New Roman" w:cs="Times New Roman"/>
          <w:bCs/>
          <w:szCs w:val="24"/>
          <w:lang w:eastAsia="lt-LT" w:bidi="lt-LT"/>
        </w:rPr>
        <w:lastRenderedPageBreak/>
        <w:t>asmens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nedalyvavimo. Be to, nei ieškovė, nei trečiasis asmuo nepateikė įrodymų (pavyzdžiui, lėktuvo bilietų), jog iš tiesų ketino atvykti į teismo posėdį, tik, atsiradus netikėtoms aplinkybėms, nepavyko to padaryti. Teismas nusprendė, kad toks procesinis minėtų asmenų elgesys yra netinkamas, nesąžiningas, pažeidžiantis Lietuvos Respublikos civilinio proceso kodekso (toliau – ir CPK) nustatytus kooperacijos (bendradarbiavimo), šalių procesinio lygiateisiškumo bei proceso koncentracijos principus, ieškovė ir trečiasis asmuo sąmoningai veikia prieš teisingą ir greitą bylos išnagrinėjimą ir išsprendimą – piktnaudžiauja savo procesinėmis teisėmis, todėl skyrė jiems baudą.</w:t>
      </w:r>
    </w:p>
    <w:p w14:paraId="63D051E2" w14:textId="6DD8250A"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 xml:space="preserve">2024 m. spalio 14 d. teisme gautas ieškovės prašymas panaikinti paskirtą baudą. </w:t>
      </w:r>
      <w:r w:rsidR="00287CF2" w:rsidRPr="00B90650">
        <w:rPr>
          <w:rFonts w:eastAsia="Times New Roman" w:cs="Times New Roman"/>
          <w:bCs/>
          <w:szCs w:val="24"/>
          <w:lang w:eastAsia="lt-LT" w:bidi="lt-LT"/>
        </w:rPr>
        <w:t xml:space="preserve">Prašyme nurodyta, kad ieškovė </w:t>
      </w:r>
      <w:r w:rsidRPr="00B90650">
        <w:rPr>
          <w:rFonts w:eastAsia="Times New Roman" w:cs="Times New Roman"/>
          <w:bCs/>
          <w:szCs w:val="24"/>
          <w:lang w:eastAsia="lt-LT" w:bidi="lt-LT"/>
        </w:rPr>
        <w:t xml:space="preserve">ne kartą teikė prašymus leisti jai teismo posėdyje dalyvauti nuotoliniu būdu, atsižvelgiant tai, jog jos nuolatinė gyvenamoji ir darbo vieta yra Ispanijoje, ji augina nepilnametę dukterį, todėl atvykimas į teismo posėdį yra apsunkintas tiek finansine prasme, tiek laiko atžvilgiu (skrydžių, viešbučio užsakymas, didelės kelionės ir pragyvenimo išlaidos, neatvykimas į darbą ir pan.), tačiau teismas ieškovės prašymų netenkino, tik nurodė, kad šalys privalo dalyvauti teismo posėdyje. Ieškovė paaiškino, kad, pasijutusi blogai, kreipėsi į gydymo įstaigą, ten 2024 m. rugsėjo 25 d. buvo nustatyta, jog ieškovė serga ūminiu bronchitu, dėl aukštos temperatūros jai paskirtas gydymas namuose. Ieškovė taip pat nurodė, kad dėl ligos jai draudžiama skraidyti. Ieškovė teigia, kad siekdama, jog bylos nagrinėjimas įvyktų, ir tikėdamasi, kad sveikatos būklė galbūt pagerės, ji per savo atstovą 2024 m. rugsėjo 26 d. teismui pateikė prašymą leisti jai dalyvauti 2024 m. rugsėjo 26 d. 14.30 val. paskirtame teismo posėdyje </w:t>
      </w:r>
      <w:r w:rsidR="0002749A" w:rsidRPr="00B90650">
        <w:rPr>
          <w:rFonts w:eastAsia="Times New Roman" w:cs="Times New Roman"/>
          <w:bCs/>
          <w:szCs w:val="24"/>
          <w:lang w:eastAsia="lt-LT" w:bidi="lt-LT"/>
        </w:rPr>
        <w:t xml:space="preserve">nuotoliniu būdu </w:t>
      </w:r>
      <w:r w:rsidRPr="00B90650">
        <w:rPr>
          <w:rFonts w:eastAsia="Times New Roman" w:cs="Times New Roman"/>
          <w:bCs/>
          <w:szCs w:val="24"/>
          <w:lang w:eastAsia="lt-LT" w:bidi="lt-LT"/>
        </w:rPr>
        <w:t xml:space="preserve">ir pateikė pažymą apie savo sveikatos būklę bei negalėjimą dalyvauti </w:t>
      </w:r>
      <w:r w:rsidR="0002749A" w:rsidRPr="00B90650">
        <w:rPr>
          <w:rFonts w:eastAsia="Times New Roman" w:cs="Times New Roman"/>
          <w:bCs/>
          <w:szCs w:val="24"/>
          <w:lang w:eastAsia="lt-LT" w:bidi="lt-LT"/>
        </w:rPr>
        <w:t xml:space="preserve">teismo posėdyje </w:t>
      </w:r>
      <w:r w:rsidRPr="00B90650">
        <w:rPr>
          <w:rFonts w:eastAsia="Times New Roman" w:cs="Times New Roman"/>
          <w:bCs/>
          <w:szCs w:val="24"/>
          <w:lang w:eastAsia="lt-LT" w:bidi="lt-LT"/>
        </w:rPr>
        <w:t xml:space="preserve">tiesiogiai fiziniu būdu, tačiau dėl labai aukštos temperatūros (virš 38 laipsnių) ir blogos savijautos ieškovė negalėjo dalyvauti </w:t>
      </w:r>
      <w:r w:rsidR="0002749A" w:rsidRPr="00B90650">
        <w:rPr>
          <w:rFonts w:eastAsia="Times New Roman" w:cs="Times New Roman"/>
          <w:bCs/>
          <w:szCs w:val="24"/>
          <w:lang w:eastAsia="lt-LT" w:bidi="lt-LT"/>
        </w:rPr>
        <w:t xml:space="preserve">ir </w:t>
      </w:r>
      <w:r w:rsidRPr="00B90650">
        <w:rPr>
          <w:rFonts w:eastAsia="Times New Roman" w:cs="Times New Roman"/>
          <w:bCs/>
          <w:szCs w:val="24"/>
          <w:lang w:eastAsia="lt-LT" w:bidi="lt-LT"/>
        </w:rPr>
        <w:t xml:space="preserve">teismo posėdyje nuotoliniu būdu. </w:t>
      </w:r>
      <w:r w:rsidR="00287CF2" w:rsidRPr="00B90650">
        <w:rPr>
          <w:rFonts w:eastAsia="Times New Roman" w:cs="Times New Roman"/>
          <w:bCs/>
          <w:szCs w:val="24"/>
          <w:lang w:eastAsia="lt-LT" w:bidi="lt-LT"/>
        </w:rPr>
        <w:t>F</w:t>
      </w:r>
      <w:r w:rsidRPr="00B90650">
        <w:rPr>
          <w:rFonts w:eastAsia="Times New Roman" w:cs="Times New Roman"/>
          <w:bCs/>
          <w:szCs w:val="24"/>
          <w:lang w:eastAsia="lt-LT" w:bidi="lt-LT"/>
        </w:rPr>
        <w:t xml:space="preserve">aktas, kad teismas netenkino ieškovės teismo procese anksčiau teiktų prašymų sudaryti ieškovei galimybę dalyvauti teismo posėdyje nuotoliniu būdu ir ieškovė dėl to negalėjo juose dalyvauti, teismui tenkinus tik paskutinį jos prašymą ir suteikus galimybę ieškovei dalyvauti posėdyje nuotoliniu būdu, tačiau jai prie posėdžio neprisijungus dėl ligos ir labai prastos sveikatos, negali būti vienareikšmiškai vertinamas kaip piktnaudžiavimas procesinėmis teisėmis. Ieškovė teigia, kad ji paskutinį prašymą dalyvauti teismo posėdyje nuotoliniu būdu pateikė tikėdamasi, jog jos sveikatos būklė galbūt pagerės ir ji galės jungtis prie teismo posėdžio nuotoliniu būdu, todėl neprisijungimas prie teismo posėdžio nėra pagrindas teismui daryti išvadą, kad ieškovė tokia teise naudojosi nesąžiningai. Ieškovė pažymėjo, kad yra suinteresuota greitu bylos išnagrinėjimu. Be to, ieškovės teigimu, teismas nepagrįstai paskyrė 3600 Eur baudą, nes, pagal CPK 246 straipsnį, teismas, atidėdamas bylos nagrinėjimą, neatvykusiai šaliai turi teisę paskirti iki 300 Eur baudą, jeigu įstatymai nustato šios šalies pareigą dalyvauti teismo posėdyje arba teismas pripažįsta šalies dalyvavimą teismo posėdyje būtinu ir negalima </w:t>
      </w:r>
      <w:r w:rsidR="0002749A" w:rsidRPr="00B90650">
        <w:rPr>
          <w:rFonts w:eastAsia="Times New Roman" w:cs="Times New Roman"/>
          <w:bCs/>
          <w:szCs w:val="24"/>
          <w:lang w:eastAsia="lt-LT" w:bidi="lt-LT"/>
        </w:rPr>
        <w:t xml:space="preserve">priimti </w:t>
      </w:r>
      <w:r w:rsidRPr="00B90650">
        <w:rPr>
          <w:rFonts w:eastAsia="Times New Roman" w:cs="Times New Roman"/>
          <w:bCs/>
          <w:szCs w:val="24"/>
          <w:lang w:eastAsia="lt-LT" w:bidi="lt-LT"/>
        </w:rPr>
        <w:t>sprendimo už akių. CPK 246 straipsnis yra specialioji teisės norma CPK 95 straipsnio atžvilgiu, todėl teismas visiškai nepagrįstai taikė pastarąjį straipsnį.</w:t>
      </w:r>
    </w:p>
    <w:p w14:paraId="49E23EB7" w14:textId="3C1EEBB4"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Trečiasis asmuo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2024 m. spalio 15 d. taip pat pateikė teismui prašymą dėl baudos panaikinimo ir nurodė, kad į 2024 m. rugsėjo 26 d. teismo posėdį neatvyko, nes 2024 m. rugsėjo 25 d. jam gimė vaikas. Nors teismas sudarė </w:t>
      </w:r>
      <w:r w:rsidR="00287CF2" w:rsidRPr="00B90650">
        <w:rPr>
          <w:rFonts w:eastAsia="Times New Roman" w:cs="Times New Roman"/>
          <w:bCs/>
          <w:szCs w:val="24"/>
          <w:lang w:eastAsia="lt-LT" w:bidi="lt-LT"/>
        </w:rPr>
        <w:t>galimybes</w:t>
      </w:r>
      <w:r w:rsidRPr="00B90650">
        <w:rPr>
          <w:rFonts w:eastAsia="Times New Roman" w:cs="Times New Roman"/>
          <w:bCs/>
          <w:szCs w:val="24"/>
          <w:lang w:eastAsia="lt-LT" w:bidi="lt-LT"/>
        </w:rPr>
        <w:t xml:space="preserve"> trečiajam asmeniui dalyvauti teismo posėdyje nuotoliniu būdu, tačiau trečiasis asmuo buvo su ką tik pagimdžiusia sutuoktine ir naujagimiu gimdymo namuose, todėl prisijungti prie bylos neturėjo fizinių galimybių (nebuvo tuščios patalpos, kurioje jis galėtų dalyvauti teismo posėdyje be triukšmo ir nuolatinio medicinos personalo kišimosi). Trečiasis asmuo akcentavo, kad negalėjo dalyvauti teismo posėdyje dėl objektyvių, nuo jo nepriklausančių priežasčių. Taip pat nurodė, kad teismo posėdis galėjo vykti ir be jo dalyvavimo, nes byloje paaiškinimų nėra pateikę nei ieškovė, nei atsakovai, teismas į bylą yra įtraukęs itin daug proceso dalyvių. Teismo posėdis buvo paskirtas tik 14.30 val., todėl akivaizdu, kad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kuris į bylą įtrauktas kaip trečiasis asmuo pagal priešieškinį, netgi nebūtų galėjęs duoti paaiškinimų, atsižvelgiant į šalių apklausos eiliškumą, be to, trečiasis asmuo į bylą įtrauktas ir jo dalyvavimas teismo posėdyje būtinu pripažintas teismo iniciatyva; kiti proceso </w:t>
      </w:r>
      <w:r w:rsidRPr="00B90650">
        <w:rPr>
          <w:rFonts w:eastAsia="Times New Roman" w:cs="Times New Roman"/>
          <w:bCs/>
          <w:szCs w:val="24"/>
          <w:lang w:eastAsia="lt-LT" w:bidi="lt-LT"/>
        </w:rPr>
        <w:lastRenderedPageBreak/>
        <w:t>dalyviai netgi neprašė skirti baudos, teismas baudą paskyrė savo iniciatyva. Trečiojo asmens teigimu, teismas nepagrįstai paskyrė 3600 Eur baudą, neteisingai taikydamas CPK</w:t>
      </w:r>
      <w:r w:rsidR="00D71528" w:rsidRPr="00B90650">
        <w:rPr>
          <w:rFonts w:eastAsia="Times New Roman" w:cs="Times New Roman"/>
          <w:bCs/>
          <w:szCs w:val="24"/>
          <w:lang w:eastAsia="lt-LT" w:bidi="lt-LT"/>
        </w:rPr>
        <w:t> </w:t>
      </w:r>
      <w:r w:rsidRPr="00B90650">
        <w:rPr>
          <w:rFonts w:eastAsia="Times New Roman" w:cs="Times New Roman"/>
          <w:bCs/>
          <w:szCs w:val="24"/>
          <w:lang w:eastAsia="lt-LT" w:bidi="lt-LT"/>
        </w:rPr>
        <w:t xml:space="preserve">95 straipsnį. </w:t>
      </w:r>
    </w:p>
    <w:p w14:paraId="078CD6BD" w14:textId="77777777" w:rsidR="003517E2" w:rsidRPr="00B90650" w:rsidRDefault="003517E2" w:rsidP="003517E2">
      <w:pPr>
        <w:spacing w:after="120" w:line="240" w:lineRule="auto"/>
        <w:ind w:left="357"/>
        <w:jc w:val="both"/>
        <w:rPr>
          <w:rFonts w:eastAsia="Times New Roman" w:cs="Times New Roman"/>
          <w:bCs/>
          <w:szCs w:val="24"/>
          <w:lang w:eastAsia="lt-LT" w:bidi="lt-LT"/>
        </w:rPr>
      </w:pPr>
    </w:p>
    <w:p w14:paraId="4116C57C" w14:textId="77777777" w:rsidR="003517E2" w:rsidRPr="00B90650" w:rsidRDefault="003517E2" w:rsidP="003517E2">
      <w:pPr>
        <w:spacing w:after="120" w:line="240" w:lineRule="auto"/>
        <w:ind w:left="357" w:hanging="357"/>
        <w:jc w:val="center"/>
        <w:rPr>
          <w:rFonts w:eastAsia="Times New Roman" w:cs="Times New Roman"/>
          <w:szCs w:val="24"/>
          <w:lang w:eastAsia="lt-LT"/>
        </w:rPr>
      </w:pPr>
      <w:r w:rsidRPr="00B90650">
        <w:rPr>
          <w:rFonts w:eastAsia="Times New Roman" w:cs="Times New Roman"/>
          <w:szCs w:val="24"/>
          <w:lang w:eastAsia="lt-LT"/>
        </w:rPr>
        <w:t xml:space="preserve">II. Pirmosios ir apeliacinės instancijos teismų procesinių nutarčių esmė </w:t>
      </w:r>
    </w:p>
    <w:p w14:paraId="21A30210" w14:textId="77777777" w:rsidR="003517E2" w:rsidRPr="00B90650" w:rsidRDefault="003517E2" w:rsidP="003517E2">
      <w:pPr>
        <w:spacing w:after="120" w:line="240" w:lineRule="auto"/>
        <w:jc w:val="both"/>
        <w:rPr>
          <w:rFonts w:eastAsia="Times New Roman" w:cs="Times New Roman"/>
          <w:bCs/>
          <w:szCs w:val="24"/>
          <w:lang w:eastAsia="lt-LT" w:bidi="lt-LT"/>
        </w:rPr>
      </w:pPr>
    </w:p>
    <w:p w14:paraId="0592D564" w14:textId="77777777"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Vilniaus regiono apylinkės teismas 2024 m. spalio 16 d. nutartimi ieškovės ir minėto trečiojo asmens prašymus dėl baudos panaikinimo atmetė.</w:t>
      </w:r>
    </w:p>
    <w:p w14:paraId="6D110BEE" w14:textId="62A8F597"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Pirmosios instancijos teismas nurodė, kad ieškovei yra išduota 2024 m. rugsėjo 25 d. medicininė pažyma, kurioje pateikta išvada, jog ieškovė skundžiasi kosuliu, karščiavimu, dusuliu, diskomfortu krūtinėje, jai draudžiama keliauti lėktuvu. Trečiasis asmuo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pateikė 2024 m. rugsėjo 27 d. išduotą pažymą, kad 2024 m. rugsėjo 25 d. jam gimė vaikas. Vilniaus regiono apylinkės teismui 2024 m. vasario 9 d. nutartimi pripažinus ieškovės ir nurodyto trečiojo asmens dalyvavimą teismo posėdyje būtinu ir jiems keturis kartus neatvykus į teismo posėdį bei teismui keturis kartus atmetus jų prašymus dėl nuotolinio teismo posėdžio organizavimo, šie asmenys neatvyko į teismo posėdį, vykusį 2024 m. rugsėjo 26 d., ir penktą kartą, buvo atidėtas bylos nagrinėjimas. </w:t>
      </w:r>
    </w:p>
    <w:p w14:paraId="4203A8EA" w14:textId="77777777"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 xml:space="preserve">Pirmosios instancijos teismas įvertino ir tą aplinkybę, kad nors ieškovė nurodė sirgusi, o trečiajam asmeniui gimė vaikas, prieš teismo posėdį šių asmenų prašymai atidėti bylos nagrinėjimą nebuvo gauti. Buvo gauti tik prašymai suteikti jiems galimybę prisijungti prie bylos nagrinėjimo nuotoliniu būdu. Teismas tokią galimybę sudarė, tačiau nei ieškovė, nei trečiasis asmuo prie teismo posėdžio nuotoliniu būdu neprisijungė. </w:t>
      </w:r>
    </w:p>
    <w:p w14:paraId="2173F1CD" w14:textId="4E77683E"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Pirmosios instancijos teismas, spręsdamas dėl galimybės panaikinti paskirtą baudą, įvertino ir tai, kad prie prašymų panaikinti baudą nėra pateikti jokie įrodymai, jog nurodyti asmenys ketino atvykti į teismo posėdį fiziškai, tačiau dėl ypatingų aplinkybių jiems nepavyko to padaryti. Teismas akcentavo, kad bauda paskirta ne tik dėl to, jog ieškovė ir trečiasis asmuo neatvyko į 2024 m. rugsėjo 26 d. teismo posėdį, o iš esmės dėl to, jog dėl šios pareigos (atvykti į teismo posėdį) nevykdymo jau ne pirmą kartą atidedamas bylos nagrinėjimas, gaišinamas visų kitų proceso dalyvių ir teismo laikas, vilkinamas bylos išnagrinėjimas, t. y. piktnaudžiaujama procesine teise teikti prašymus dėl nuotoli</w:t>
      </w:r>
      <w:r w:rsidR="0002749A" w:rsidRPr="00B90650">
        <w:rPr>
          <w:rFonts w:eastAsia="Times New Roman" w:cs="Times New Roman"/>
          <w:bCs/>
          <w:szCs w:val="24"/>
          <w:lang w:eastAsia="lt-LT" w:bidi="lt-LT"/>
        </w:rPr>
        <w:t>ni</w:t>
      </w:r>
      <w:r w:rsidRPr="00B90650">
        <w:rPr>
          <w:rFonts w:eastAsia="Times New Roman" w:cs="Times New Roman"/>
          <w:bCs/>
          <w:szCs w:val="24"/>
          <w:lang w:eastAsia="lt-LT" w:bidi="lt-LT"/>
        </w:rPr>
        <w:t>o</w:t>
      </w:r>
      <w:r w:rsidR="0002749A" w:rsidRPr="00B90650">
        <w:rPr>
          <w:rFonts w:eastAsia="Times New Roman" w:cs="Times New Roman"/>
          <w:bCs/>
          <w:szCs w:val="24"/>
          <w:lang w:eastAsia="lt-LT" w:bidi="lt-LT"/>
        </w:rPr>
        <w:t xml:space="preserve"> bylos nagrinėjimo</w:t>
      </w:r>
      <w:r w:rsidRPr="00B90650">
        <w:rPr>
          <w:rFonts w:eastAsia="Times New Roman" w:cs="Times New Roman"/>
          <w:bCs/>
          <w:szCs w:val="24"/>
          <w:lang w:eastAsia="lt-LT" w:bidi="lt-LT"/>
        </w:rPr>
        <w:t>. Teismo vertinimu, šių faktų nepaneigia ir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nurodytos aplinkybės, kad jis negalėjo prisijungti nuotoliu prie teismo posėdžio, nes ligoninėje nebuvo tuščios patalpos. Jo argumentai, kad jis nebūtų spėjęs duoti paaiškinimų, paremti prielaidomis, nėra teisiškai reikšmingi ir nepanaikina jo pareigos atvykti į teismo posėdį ir duoti paaiškinimus. Ieškovės argumentai, kad ji labai blogai jautėsi ir dėl to negalėjo prisijungti </w:t>
      </w:r>
      <w:r w:rsidR="0002749A" w:rsidRPr="00B90650">
        <w:rPr>
          <w:rFonts w:eastAsia="Times New Roman" w:cs="Times New Roman"/>
          <w:bCs/>
          <w:szCs w:val="24"/>
          <w:lang w:eastAsia="lt-LT" w:bidi="lt-LT"/>
        </w:rPr>
        <w:t>prie nuotolinio teismo posėdžio</w:t>
      </w:r>
      <w:r w:rsidRPr="00B90650">
        <w:rPr>
          <w:rFonts w:eastAsia="Times New Roman" w:cs="Times New Roman"/>
          <w:bCs/>
          <w:szCs w:val="24"/>
          <w:lang w:eastAsia="lt-LT" w:bidi="lt-LT"/>
        </w:rPr>
        <w:t xml:space="preserve">, teismo vertinimu, </w:t>
      </w:r>
      <w:r w:rsidR="00287CF2" w:rsidRPr="00B90650">
        <w:rPr>
          <w:rFonts w:eastAsia="Times New Roman" w:cs="Times New Roman"/>
          <w:bCs/>
          <w:szCs w:val="24"/>
          <w:lang w:eastAsia="lt-LT" w:bidi="lt-LT"/>
        </w:rPr>
        <w:t xml:space="preserve">taip pat </w:t>
      </w:r>
      <w:r w:rsidRPr="00B90650">
        <w:rPr>
          <w:rFonts w:eastAsia="Times New Roman" w:cs="Times New Roman"/>
          <w:bCs/>
          <w:szCs w:val="24"/>
          <w:lang w:eastAsia="lt-LT" w:bidi="lt-LT"/>
        </w:rPr>
        <w:t>nepaneigia jos piktnaudžiavimo procesinėmis teisėmis, juolab kad liga nėra laikoma svarbia priežastimi nedalyvauti teismo posėdyje, kai dalyvavimas pripažintas būtinu. Dėl to pirmosios instancijos teismas nusprendė, kad prašymuose nurodyti argumentai nesudaro pagrindo panaikinti baudos.</w:t>
      </w:r>
    </w:p>
    <w:p w14:paraId="78100250" w14:textId="55C98850"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Vilniaus apygardos teismas, išnagrinėjęs civilinę bylą pagal ieškovės K.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ir trečiojo asmens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atskiruosius skundus, 2025 m. sausio 23 d. nutartimi</w:t>
      </w:r>
      <w:r w:rsidRPr="00B90650">
        <w:t xml:space="preserve"> </w:t>
      </w:r>
      <w:r w:rsidRPr="00B90650">
        <w:rPr>
          <w:rFonts w:eastAsia="Times New Roman" w:cs="Times New Roman"/>
          <w:bCs/>
          <w:szCs w:val="24"/>
          <w:lang w:eastAsia="lt-LT" w:bidi="lt-LT"/>
        </w:rPr>
        <w:t>Vilniaus regiono apylinkės teismo 2024 m. spalio 16 d. nutartį</w:t>
      </w:r>
      <w:r w:rsidR="0002749A" w:rsidRPr="00B90650">
        <w:t xml:space="preserve"> paliko nepakeistą</w:t>
      </w:r>
      <w:r w:rsidRPr="00B90650">
        <w:rPr>
          <w:rFonts w:eastAsia="Times New Roman" w:cs="Times New Roman"/>
          <w:bCs/>
          <w:szCs w:val="24"/>
          <w:lang w:eastAsia="lt-LT" w:bidi="lt-LT"/>
        </w:rPr>
        <w:t>.</w:t>
      </w:r>
    </w:p>
    <w:p w14:paraId="1935A3C9" w14:textId="1E074E58"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Apeliacinės instancijos teismas pažymėjo, kad civilinio proceso paskirtis yra užtikrinti greitą ir teisingą civilinės teisės reguliuojamų santykių srityje kylančių ginčų išsprendimą. CPK</w:t>
      </w:r>
      <w:r w:rsidR="00D71528" w:rsidRPr="00B90650">
        <w:rPr>
          <w:rFonts w:eastAsia="Times New Roman" w:cs="Times New Roman"/>
          <w:bCs/>
          <w:szCs w:val="24"/>
          <w:lang w:eastAsia="lt-LT" w:bidi="lt-LT"/>
        </w:rPr>
        <w:t> </w:t>
      </w:r>
      <w:r w:rsidRPr="00B90650">
        <w:rPr>
          <w:rFonts w:eastAsia="Times New Roman" w:cs="Times New Roman"/>
          <w:bCs/>
          <w:szCs w:val="24"/>
          <w:lang w:eastAsia="lt-LT" w:bidi="lt-LT"/>
        </w:rPr>
        <w:t>42</w:t>
      </w:r>
      <w:r w:rsidR="00D71528" w:rsidRPr="00B90650">
        <w:rPr>
          <w:rFonts w:eastAsia="Times New Roman" w:cs="Times New Roman"/>
          <w:bCs/>
          <w:szCs w:val="24"/>
          <w:lang w:eastAsia="lt-LT" w:bidi="lt-LT"/>
        </w:rPr>
        <w:t> </w:t>
      </w:r>
      <w:r w:rsidRPr="00B90650">
        <w:rPr>
          <w:rFonts w:eastAsia="Times New Roman" w:cs="Times New Roman"/>
          <w:bCs/>
          <w:szCs w:val="24"/>
          <w:lang w:eastAsia="lt-LT" w:bidi="lt-LT"/>
        </w:rPr>
        <w:t xml:space="preserve">straipsnio 5 dalyje nurodyta, kad šalys joms priklausančiomis procesinėmis teisėmis privalo naudotis sąžiningai, privalo veikti siekdamos, kad byla būtų išnagrinėta greitai ir teisingai, domėtis nagrinėjamos bylos eiga, pasirūpinti tinkamu atstovavimu, pateikti įrodymus, pranešti teismui apie ketinimą nedalyvauti teismo posėdyje ir nurodyti nedalyvavimo priežastis. Jeigu aplinkybių visuma suponuoja, kad dalyvaujantis byloje asmuo jam įstatymo suteikta procesine teise akivaizdžiai naudojasi ne pagal paskirtį, bet siekdamas kitų tikslų (pavyzdžiui, sąmoningai </w:t>
      </w:r>
      <w:r w:rsidRPr="00B90650">
        <w:rPr>
          <w:rFonts w:eastAsia="Times New Roman" w:cs="Times New Roman"/>
          <w:bCs/>
          <w:szCs w:val="24"/>
          <w:lang w:eastAsia="lt-LT" w:bidi="lt-LT"/>
        </w:rPr>
        <w:lastRenderedPageBreak/>
        <w:t xml:space="preserve">sukelti nepatogumų kitai šaliai, užvilkinti proceso eigą), toks elgesys negali būti toleruojamas ar pateisinamas. </w:t>
      </w:r>
    </w:p>
    <w:p w14:paraId="39D91F13" w14:textId="77777777"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Apeliacinės instancijos teismas, remdamasis teismų praktika, nurodė, kad proceso įstatymo nuostatos, reglamentuojančios piktnaudžiavimo procesinėmis teisėmis pasekmes, neapibrėžia objektyvių kriterijų, pagal kuriuos būtų galima nustatyti ir spręsti, ar tam tikras šalies ar kito dalyvaujančio byloje asmens procesinis elgesys gali būti kvalifikuotas kaip piktnaudžiavimas procesinėmis teisėmis. Vadinasi, kiekvienu konkrečiu atveju, pasitelkus individualių aplinkybių vertinimą, turi būti sprendžiama dėl asmens elgesio atitikties piktnaudžiavimo požymiams, išskirtiems CPK 95 straipsnio 1 dalyje (Lietuvos Aukščiausiojo Teismo 2019 m. gegužės 8 d. nutartis civilinėje byloje Nr. e3K-3-67-969/2019).</w:t>
      </w:r>
    </w:p>
    <w:p w14:paraId="5989F990" w14:textId="77777777"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 xml:space="preserve">Apeliacinės instancijos teismas, atsižvelgdamas į byloje nustatytas aplinkybes, sutiko su pirmosios instancijos teismo išvada, kad, teismui pripažinus šalies dalyvavimą teismo posėdyje būtinu, jos procesinė teisė dalyvauti teismo posėdyje tampa procesine pareiga ir šalis privalo asmeniškai atvykti į teismo posėdį arba pateikti teismui motyvuotą prašymą atidėti bylos nagrinėjimą, jei paskirtame teismo posėdyje negali dalyvauti dėl svarbių priežasčių. Dėl to įžvelgė atskirąjį skundą padavusių asmenų piktnaudžiavimą procesinėmis teisėmis, kai, nepaisydami to, kad jų dalyvavimas teismo posėdyje pripažintas būtinu, šie asmenys iki tol keturis kartus neatvyko į teismo posėdį, 2024 m. rugsėjo 26 d. teismo posėdyje taip pat nedalyvavo, nors teismas buvo suteikęs galimybę prisijungti prie teismo posėdžio nuotoliniu būdu. </w:t>
      </w:r>
    </w:p>
    <w:p w14:paraId="1D37E51A" w14:textId="77777777"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 xml:space="preserve">Apeliacinės instancijos teismo vertinimu, faktinės aplinkybės dėl ieškovės ligos ar trečiojo asmens šeimos pagausėjimo nepateisina asmenų elgesio procese. Liga savaime nėra laikoma svarbia priežastimi nedalyvauti teismo posėdyje; nors ieškovė tvirtino, kad teismo posėdžio dieną ji jautėsi blogai, tačiau jokių objektyvių tai patvirtinančių duomenų byloje nėra; pateiktoje medicinos pažymoje nurodyta ligos diagnozė ir skrydžių draudimo aplinkybė, tačiau jokių duomenų apie itin sunkią sveikatos būklę ar draudimą dalyvauti nuotoliniame teismo posėdyje nėra, juolab nepateikta ir duomenų (pavyzdžiui, naujos pažymos) apie sveikatos pablogėjimą būtent teismo posėdžio dieną. Tokiu pačiu pagrindu apeliacinės instancijos teismo buvo įvertintos ir trečiojo asmens nurodytos aplinkybės, susijusios su jo teiginiais neturėjus fizinių galimybių esant gimdymo įstaigoje (tuščios patalpos ar pan.) prisijungti nuotoliniu būdu prie teismo posėdžio. Byloje pateikti duomenys (medicinos įstaigos pažyma) nesudarė pagrindo apeliacinės instancijos teismui spręsti, kad trečiasis asmuo, gimus vaikui, negalėjo nė kiek atsitraukti nuo jo ar gimdyvės, turėjo nuolat budėti, padėti ir pan., todėl mažai tikėtina, kad asmuo realiai negalėjo rasti vietos prisijungti prie teismo posėdžio ir jame pagal galimybes dalyvauti. Šios išvardytos aplinkybės apeliacinės instancijos teismui leido įžvelgti šių asmenų netinkamą veikimą civiliniame procese.       </w:t>
      </w:r>
    </w:p>
    <w:p w14:paraId="045CDD7B" w14:textId="77777777" w:rsidR="003517E2" w:rsidRPr="00B90650" w:rsidRDefault="003517E2" w:rsidP="003517E2">
      <w:pPr>
        <w:spacing w:after="120" w:line="240" w:lineRule="auto"/>
        <w:ind w:left="357"/>
        <w:jc w:val="both"/>
        <w:rPr>
          <w:rFonts w:eastAsia="Times New Roman" w:cs="Times New Roman"/>
          <w:bCs/>
          <w:szCs w:val="24"/>
          <w:lang w:eastAsia="lt-LT" w:bidi="lt-LT"/>
        </w:rPr>
      </w:pPr>
    </w:p>
    <w:p w14:paraId="79A972A6" w14:textId="77777777" w:rsidR="003517E2" w:rsidRPr="00B90650" w:rsidRDefault="003517E2" w:rsidP="003517E2">
      <w:pPr>
        <w:spacing w:after="120" w:line="240" w:lineRule="auto"/>
        <w:ind w:left="357" w:hanging="357"/>
        <w:jc w:val="center"/>
        <w:rPr>
          <w:rFonts w:eastAsia="Times New Roman" w:cs="Times New Roman"/>
          <w:szCs w:val="24"/>
          <w:lang w:eastAsia="lt-LT"/>
        </w:rPr>
      </w:pPr>
      <w:r w:rsidRPr="00B90650">
        <w:rPr>
          <w:rFonts w:eastAsia="Times New Roman" w:cs="Times New Roman"/>
          <w:szCs w:val="24"/>
          <w:lang w:eastAsia="lt-LT"/>
        </w:rPr>
        <w:t xml:space="preserve">III. Kasacinio skundo ir atsiliepimų į jį teisiniai argumentai </w:t>
      </w:r>
    </w:p>
    <w:p w14:paraId="74A048A2" w14:textId="77777777" w:rsidR="003517E2" w:rsidRPr="00B90650" w:rsidRDefault="003517E2" w:rsidP="003517E2">
      <w:pPr>
        <w:spacing w:after="120" w:line="240" w:lineRule="auto"/>
        <w:ind w:left="357"/>
        <w:jc w:val="both"/>
        <w:rPr>
          <w:rFonts w:eastAsia="Times New Roman" w:cs="Times New Roman"/>
          <w:bCs/>
          <w:szCs w:val="24"/>
          <w:lang w:eastAsia="lt-LT" w:bidi="lt-LT"/>
        </w:rPr>
      </w:pPr>
    </w:p>
    <w:p w14:paraId="1AD46F7F" w14:textId="185E7E5F" w:rsidR="003517E2" w:rsidRPr="00B90650" w:rsidRDefault="0002749A" w:rsidP="00AA543F">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Lietuvos Aukščiausiojo Teismo Civilinių bylų skyriaus atrankos kolegija 2025 m. kovo 24 d. nutartimi priėmė ieškovės K. D</w:t>
      </w:r>
      <w:r w:rsidR="00873A07">
        <w:rPr>
          <w:rFonts w:eastAsia="Times New Roman" w:cs="Times New Roman"/>
          <w:bCs/>
          <w:szCs w:val="24"/>
          <w:lang w:eastAsia="lt-LT" w:bidi="lt-LT"/>
        </w:rPr>
        <w:t>.</w:t>
      </w:r>
      <w:r w:rsidRPr="00B90650">
        <w:rPr>
          <w:rFonts w:eastAsia="Times New Roman" w:cs="Times New Roman"/>
          <w:bCs/>
          <w:szCs w:val="24"/>
          <w:lang w:eastAsia="lt-LT" w:bidi="lt-LT"/>
        </w:rPr>
        <w:t>, atsakovo D.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ir trečiojo asmens G.</w:t>
      </w:r>
      <w:r w:rsidR="00D71528" w:rsidRPr="00B90650">
        <w:rPr>
          <w:rFonts w:eastAsia="Times New Roman" w:cs="Times New Roman"/>
          <w:bCs/>
          <w:szCs w:val="24"/>
          <w:lang w:eastAsia="lt-LT" w:bidi="lt-LT"/>
        </w:rPr>
        <w:t> </w:t>
      </w:r>
      <w:r w:rsidRPr="00B90650">
        <w:rPr>
          <w:rFonts w:eastAsia="Times New Roman" w:cs="Times New Roman"/>
          <w:bCs/>
          <w:szCs w:val="24"/>
          <w:lang w:eastAsia="lt-LT" w:bidi="lt-LT"/>
        </w:rPr>
        <w:t>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kasacinį skundą dėl Vilniaus apygardos teismo 2025 m. sausio 23 d. nutarties peržiūrėjimo, tačiau i</w:t>
      </w:r>
      <w:r w:rsidR="003517E2" w:rsidRPr="00B90650">
        <w:rPr>
          <w:rFonts w:eastAsia="Times New Roman" w:cs="Times New Roman"/>
          <w:bCs/>
          <w:szCs w:val="24"/>
          <w:lang w:eastAsia="lt-LT" w:bidi="lt-LT"/>
        </w:rPr>
        <w:t xml:space="preserve">š </w:t>
      </w:r>
      <w:r w:rsidR="007621C3" w:rsidRPr="00B90650">
        <w:rPr>
          <w:rFonts w:eastAsia="Times New Roman" w:cs="Times New Roman"/>
          <w:bCs/>
          <w:szCs w:val="24"/>
          <w:lang w:eastAsia="lt-LT" w:bidi="lt-LT"/>
        </w:rPr>
        <w:t xml:space="preserve">Lietuvos teismų informacinės sistemos LITEKO </w:t>
      </w:r>
      <w:r w:rsidR="003517E2" w:rsidRPr="00B90650">
        <w:rPr>
          <w:rFonts w:eastAsia="Times New Roman" w:cs="Times New Roman"/>
          <w:bCs/>
          <w:szCs w:val="24"/>
          <w:lang w:eastAsia="lt-LT" w:bidi="lt-LT"/>
        </w:rPr>
        <w:t xml:space="preserve">duomenų matyti, kad kasacinį skundą pasirašė </w:t>
      </w:r>
      <w:r w:rsidR="007621C3" w:rsidRPr="00B90650">
        <w:rPr>
          <w:rFonts w:eastAsia="Times New Roman" w:cs="Times New Roman"/>
          <w:bCs/>
          <w:szCs w:val="24"/>
          <w:lang w:eastAsia="lt-LT" w:bidi="lt-LT"/>
        </w:rPr>
        <w:t xml:space="preserve">ir pateikė </w:t>
      </w:r>
      <w:r w:rsidR="003517E2" w:rsidRPr="00B90650">
        <w:rPr>
          <w:rFonts w:eastAsia="Times New Roman" w:cs="Times New Roman"/>
          <w:bCs/>
          <w:szCs w:val="24"/>
          <w:lang w:eastAsia="lt-LT" w:bidi="lt-LT"/>
        </w:rPr>
        <w:t>ieškovės K. D</w:t>
      </w:r>
      <w:r w:rsidR="00873A07">
        <w:rPr>
          <w:rFonts w:eastAsia="Times New Roman" w:cs="Times New Roman"/>
          <w:bCs/>
          <w:szCs w:val="24"/>
          <w:lang w:eastAsia="lt-LT" w:bidi="lt-LT"/>
        </w:rPr>
        <w:t>.</w:t>
      </w:r>
      <w:r w:rsidR="003517E2" w:rsidRPr="00B90650">
        <w:rPr>
          <w:rFonts w:eastAsia="Times New Roman" w:cs="Times New Roman"/>
          <w:bCs/>
          <w:szCs w:val="24"/>
          <w:lang w:eastAsia="lt-LT" w:bidi="lt-LT"/>
        </w:rPr>
        <w:t xml:space="preserve"> atstovas advokatas Dževaldas</w:t>
      </w:r>
      <w:r w:rsidR="00D71528" w:rsidRPr="00B90650">
        <w:rPr>
          <w:rFonts w:eastAsia="Times New Roman" w:cs="Times New Roman"/>
          <w:bCs/>
          <w:szCs w:val="24"/>
          <w:lang w:eastAsia="lt-LT" w:bidi="lt-LT"/>
        </w:rPr>
        <w:t> </w:t>
      </w:r>
      <w:r w:rsidR="003517E2" w:rsidRPr="00B90650">
        <w:rPr>
          <w:rFonts w:eastAsia="Times New Roman" w:cs="Times New Roman"/>
          <w:bCs/>
          <w:szCs w:val="24"/>
          <w:lang w:eastAsia="lt-LT" w:bidi="lt-LT"/>
        </w:rPr>
        <w:t>Joneliūnas</w:t>
      </w:r>
      <w:r w:rsidR="007621C3" w:rsidRPr="00B90650">
        <w:rPr>
          <w:rFonts w:eastAsia="Times New Roman" w:cs="Times New Roman"/>
          <w:bCs/>
          <w:szCs w:val="24"/>
          <w:lang w:eastAsia="lt-LT" w:bidi="lt-LT"/>
        </w:rPr>
        <w:t xml:space="preserve"> ir </w:t>
      </w:r>
      <w:r w:rsidR="003517E2" w:rsidRPr="00B90650">
        <w:rPr>
          <w:rFonts w:eastAsia="Times New Roman" w:cs="Times New Roman"/>
          <w:bCs/>
          <w:szCs w:val="24"/>
          <w:lang w:eastAsia="lt-LT" w:bidi="lt-LT"/>
        </w:rPr>
        <w:t>trečiojo asmens G. D</w:t>
      </w:r>
      <w:r w:rsidR="00873A07">
        <w:rPr>
          <w:rFonts w:eastAsia="Times New Roman" w:cs="Times New Roman"/>
          <w:bCs/>
          <w:szCs w:val="24"/>
          <w:lang w:eastAsia="lt-LT" w:bidi="lt-LT"/>
        </w:rPr>
        <w:t>.</w:t>
      </w:r>
      <w:r w:rsidR="003517E2" w:rsidRPr="00B90650">
        <w:rPr>
          <w:rFonts w:eastAsia="Times New Roman" w:cs="Times New Roman"/>
          <w:bCs/>
          <w:szCs w:val="24"/>
          <w:lang w:eastAsia="lt-LT" w:bidi="lt-LT"/>
        </w:rPr>
        <w:t xml:space="preserve"> atstovė advokatė Irina Lemežytė.</w:t>
      </w:r>
      <w:r w:rsidR="007621C3" w:rsidRPr="00B90650">
        <w:rPr>
          <w:rFonts w:eastAsia="Times New Roman" w:cs="Times New Roman"/>
          <w:bCs/>
          <w:szCs w:val="24"/>
          <w:lang w:eastAsia="lt-LT" w:bidi="lt-LT"/>
        </w:rPr>
        <w:t xml:space="preserve"> Iš kasacinio skundo turinio matyti, kad nesutikimą su Vilniaus apygardos teismo 2025 m. sausio 23</w:t>
      </w:r>
      <w:r w:rsidR="00931AE0" w:rsidRPr="00B90650">
        <w:rPr>
          <w:rFonts w:eastAsia="Times New Roman" w:cs="Times New Roman"/>
          <w:bCs/>
          <w:szCs w:val="24"/>
          <w:lang w:eastAsia="lt-LT" w:bidi="lt-LT"/>
        </w:rPr>
        <w:t> </w:t>
      </w:r>
      <w:r w:rsidR="007621C3" w:rsidRPr="00B90650">
        <w:rPr>
          <w:rFonts w:eastAsia="Times New Roman" w:cs="Times New Roman"/>
          <w:bCs/>
          <w:szCs w:val="24"/>
          <w:lang w:eastAsia="lt-LT" w:bidi="lt-LT"/>
        </w:rPr>
        <w:t>d. nutartimi reiškia tik ieškovė ir trečiasis asmuo</w:t>
      </w:r>
      <w:r w:rsidR="00931AE0" w:rsidRPr="00B90650">
        <w:rPr>
          <w:rFonts w:eastAsia="Times New Roman" w:cs="Times New Roman"/>
          <w:bCs/>
          <w:szCs w:val="24"/>
          <w:lang w:eastAsia="lt-LT" w:bidi="lt-LT"/>
        </w:rPr>
        <w:t>, atsakovas D. D</w:t>
      </w:r>
      <w:r w:rsidR="00873A07">
        <w:rPr>
          <w:rFonts w:eastAsia="Times New Roman" w:cs="Times New Roman"/>
          <w:bCs/>
          <w:szCs w:val="24"/>
          <w:lang w:eastAsia="lt-LT" w:bidi="lt-LT"/>
        </w:rPr>
        <w:t>.</w:t>
      </w:r>
      <w:r w:rsidR="00931AE0" w:rsidRPr="00B90650">
        <w:rPr>
          <w:rFonts w:eastAsia="Times New Roman" w:cs="Times New Roman"/>
          <w:bCs/>
          <w:szCs w:val="24"/>
          <w:lang w:eastAsia="lt-LT" w:bidi="lt-LT"/>
        </w:rPr>
        <w:t xml:space="preserve"> jokių savarankiškų procesinių prašymų kasaciniame skunde neformuluoja, jam ginčijama nutartimi bauda nebuvo paskirta, todėl laikytina</w:t>
      </w:r>
      <w:r w:rsidR="007621C3" w:rsidRPr="00B90650">
        <w:rPr>
          <w:rFonts w:eastAsia="Times New Roman" w:cs="Times New Roman"/>
          <w:bCs/>
          <w:szCs w:val="24"/>
          <w:lang w:eastAsia="lt-LT" w:bidi="lt-LT"/>
        </w:rPr>
        <w:t xml:space="preserve">, </w:t>
      </w:r>
      <w:r w:rsidR="00931AE0" w:rsidRPr="00B90650">
        <w:rPr>
          <w:rFonts w:eastAsia="Times New Roman" w:cs="Times New Roman"/>
          <w:bCs/>
          <w:szCs w:val="24"/>
          <w:lang w:eastAsia="lt-LT" w:bidi="lt-LT"/>
        </w:rPr>
        <w:t>jog</w:t>
      </w:r>
      <w:r w:rsidR="007621C3" w:rsidRPr="00B90650">
        <w:rPr>
          <w:rFonts w:eastAsia="Times New Roman" w:cs="Times New Roman"/>
          <w:bCs/>
          <w:szCs w:val="24"/>
          <w:lang w:eastAsia="lt-LT" w:bidi="lt-LT"/>
        </w:rPr>
        <w:t xml:space="preserve"> kasacinį skundą Lietuvos Aukščiausiajam Teismui padavė ieškovė K</w:t>
      </w:r>
      <w:r w:rsidR="00873A07">
        <w:rPr>
          <w:rFonts w:eastAsia="Times New Roman" w:cs="Times New Roman"/>
          <w:bCs/>
          <w:szCs w:val="24"/>
          <w:lang w:eastAsia="lt-LT" w:bidi="lt-LT"/>
        </w:rPr>
        <w:t>.</w:t>
      </w:r>
      <w:r w:rsidR="007621C3" w:rsidRPr="00B90650">
        <w:rPr>
          <w:rFonts w:eastAsia="Times New Roman" w:cs="Times New Roman"/>
          <w:bCs/>
          <w:szCs w:val="24"/>
          <w:lang w:eastAsia="lt-LT" w:bidi="lt-LT"/>
        </w:rPr>
        <w:t xml:space="preserve"> D</w:t>
      </w:r>
      <w:r w:rsidR="00873A07">
        <w:rPr>
          <w:rFonts w:eastAsia="Times New Roman" w:cs="Times New Roman"/>
          <w:bCs/>
          <w:szCs w:val="24"/>
          <w:lang w:eastAsia="lt-LT" w:bidi="lt-LT"/>
        </w:rPr>
        <w:t>.</w:t>
      </w:r>
      <w:r w:rsidR="007621C3" w:rsidRPr="00B90650">
        <w:rPr>
          <w:rFonts w:eastAsia="Times New Roman" w:cs="Times New Roman"/>
          <w:bCs/>
          <w:szCs w:val="24"/>
          <w:lang w:eastAsia="lt-LT" w:bidi="lt-LT"/>
        </w:rPr>
        <w:t xml:space="preserve"> ir trečiasis asmuo G. D</w:t>
      </w:r>
      <w:r w:rsidR="00873A07">
        <w:rPr>
          <w:rFonts w:eastAsia="Times New Roman" w:cs="Times New Roman"/>
          <w:bCs/>
          <w:szCs w:val="24"/>
          <w:lang w:eastAsia="lt-LT" w:bidi="lt-LT"/>
        </w:rPr>
        <w:t>.</w:t>
      </w:r>
      <w:r w:rsidR="00931AE0" w:rsidRPr="00B90650">
        <w:rPr>
          <w:rFonts w:eastAsia="Times New Roman" w:cs="Times New Roman"/>
          <w:bCs/>
          <w:szCs w:val="24"/>
          <w:lang w:eastAsia="lt-LT" w:bidi="lt-LT"/>
        </w:rPr>
        <w:t xml:space="preserve">. Ieškovė ir trečiasis asmuo </w:t>
      </w:r>
      <w:r w:rsidR="007621C3" w:rsidRPr="00B90650">
        <w:rPr>
          <w:rFonts w:eastAsia="Times New Roman" w:cs="Times New Roman"/>
          <w:bCs/>
          <w:szCs w:val="24"/>
          <w:lang w:eastAsia="lt-LT" w:bidi="lt-LT"/>
        </w:rPr>
        <w:t xml:space="preserve"> </w:t>
      </w:r>
      <w:r w:rsidR="003517E2" w:rsidRPr="00B90650">
        <w:rPr>
          <w:rFonts w:eastAsia="Times New Roman" w:cs="Times New Roman"/>
          <w:bCs/>
          <w:szCs w:val="24"/>
          <w:lang w:eastAsia="lt-LT" w:bidi="lt-LT"/>
        </w:rPr>
        <w:t xml:space="preserve">prašo panaikinti Vilniaus apygardos teismo 2025 m. sausio 23 d. nutartį ir Vilniaus regiono apylinkės teismo 2024 m. spalio 16 d. </w:t>
      </w:r>
      <w:r w:rsidR="003517E2" w:rsidRPr="00B90650">
        <w:rPr>
          <w:rFonts w:eastAsia="Times New Roman" w:cs="Times New Roman"/>
          <w:bCs/>
          <w:szCs w:val="24"/>
          <w:lang w:eastAsia="lt-LT" w:bidi="lt-LT"/>
        </w:rPr>
        <w:lastRenderedPageBreak/>
        <w:t>nutartį ir tenkinti prašymą – Vilniaus regiono apylinkės teismo 2024 m. spalio 2 d. nutartimi ieškovei K. D</w:t>
      </w:r>
      <w:r w:rsidR="00873A07">
        <w:rPr>
          <w:rFonts w:eastAsia="Times New Roman" w:cs="Times New Roman"/>
          <w:bCs/>
          <w:szCs w:val="24"/>
          <w:lang w:eastAsia="lt-LT" w:bidi="lt-LT"/>
        </w:rPr>
        <w:t>.</w:t>
      </w:r>
      <w:r w:rsidR="003517E2" w:rsidRPr="00B90650">
        <w:rPr>
          <w:rFonts w:eastAsia="Times New Roman" w:cs="Times New Roman"/>
          <w:bCs/>
          <w:szCs w:val="24"/>
          <w:lang w:eastAsia="lt-LT" w:bidi="lt-LT"/>
        </w:rPr>
        <w:t xml:space="preserve"> ir trečiajam asmeniui G.</w:t>
      </w:r>
      <w:r w:rsidR="00931AE0" w:rsidRPr="00B90650">
        <w:rPr>
          <w:rFonts w:eastAsia="Times New Roman" w:cs="Times New Roman"/>
          <w:bCs/>
          <w:szCs w:val="24"/>
          <w:lang w:eastAsia="lt-LT" w:bidi="lt-LT"/>
        </w:rPr>
        <w:t> </w:t>
      </w:r>
      <w:r w:rsidR="003517E2" w:rsidRPr="00B90650">
        <w:rPr>
          <w:rFonts w:eastAsia="Times New Roman" w:cs="Times New Roman"/>
          <w:bCs/>
          <w:szCs w:val="24"/>
          <w:lang w:eastAsia="lt-LT" w:bidi="lt-LT"/>
        </w:rPr>
        <w:t>D</w:t>
      </w:r>
      <w:r w:rsidR="00873A07">
        <w:rPr>
          <w:rFonts w:eastAsia="Times New Roman" w:cs="Times New Roman"/>
          <w:bCs/>
          <w:szCs w:val="24"/>
          <w:lang w:eastAsia="lt-LT" w:bidi="lt-LT"/>
        </w:rPr>
        <w:t>.</w:t>
      </w:r>
      <w:r w:rsidR="003517E2" w:rsidRPr="00B90650">
        <w:rPr>
          <w:rFonts w:eastAsia="Times New Roman" w:cs="Times New Roman"/>
          <w:bCs/>
          <w:szCs w:val="24"/>
          <w:lang w:eastAsia="lt-LT" w:bidi="lt-LT"/>
        </w:rPr>
        <w:t xml:space="preserve"> paskirtą baudą panaikinti. </w:t>
      </w:r>
      <w:r w:rsidR="00D71528" w:rsidRPr="00B90650">
        <w:rPr>
          <w:rFonts w:eastAsia="Times New Roman" w:cs="Times New Roman"/>
          <w:bCs/>
          <w:szCs w:val="24"/>
          <w:lang w:eastAsia="lt-LT" w:bidi="lt-LT"/>
        </w:rPr>
        <w:t>Šių asmenų k</w:t>
      </w:r>
      <w:r w:rsidR="003517E2" w:rsidRPr="00B90650">
        <w:rPr>
          <w:rFonts w:eastAsia="Times New Roman" w:cs="Times New Roman"/>
          <w:bCs/>
          <w:szCs w:val="24"/>
          <w:lang w:eastAsia="lt-LT" w:bidi="lt-LT"/>
        </w:rPr>
        <w:t>asacinis skundas grindžiamas šiais argumentais:</w:t>
      </w:r>
    </w:p>
    <w:p w14:paraId="62C61EB8" w14:textId="418091A0" w:rsidR="003517E2" w:rsidRPr="00B90650" w:rsidRDefault="003517E2" w:rsidP="003517E2">
      <w:pPr>
        <w:numPr>
          <w:ilvl w:val="1"/>
          <w:numId w:val="1"/>
        </w:numPr>
        <w:spacing w:after="120" w:line="240" w:lineRule="auto"/>
        <w:ind w:left="788" w:hanging="431"/>
        <w:jc w:val="both"/>
        <w:rPr>
          <w:rFonts w:eastAsia="Times New Roman" w:cs="Times New Roman"/>
          <w:bCs/>
          <w:szCs w:val="24"/>
          <w:lang w:eastAsia="lt-LT" w:bidi="lt-LT"/>
        </w:rPr>
      </w:pPr>
      <w:r w:rsidRPr="00B90650">
        <w:rPr>
          <w:rFonts w:eastAsia="Times New Roman" w:cs="Times New Roman"/>
          <w:bCs/>
          <w:szCs w:val="24"/>
          <w:lang w:eastAsia="lt-LT" w:bidi="lt-LT"/>
        </w:rPr>
        <w:t xml:space="preserve">Apeliacinės instancijos teismas nutartyje nepagrįstai įvertino asmenų netinkamą veikimą civiliniame procese. Teismų išvados iš esmės yra pagrįstos prielaidomis, kad nėra duomenų apie itin sunkią ieškovės sveikatos būklę ar </w:t>
      </w:r>
      <w:r w:rsidR="00347934" w:rsidRPr="00B90650">
        <w:rPr>
          <w:rFonts w:eastAsia="Times New Roman" w:cs="Times New Roman"/>
          <w:bCs/>
          <w:szCs w:val="24"/>
          <w:lang w:eastAsia="lt-LT" w:bidi="lt-LT"/>
        </w:rPr>
        <w:t>jos pab</w:t>
      </w:r>
      <w:r w:rsidRPr="00B90650">
        <w:rPr>
          <w:rFonts w:eastAsia="Times New Roman" w:cs="Times New Roman"/>
          <w:bCs/>
          <w:szCs w:val="24"/>
          <w:lang w:eastAsia="lt-LT" w:bidi="lt-LT"/>
        </w:rPr>
        <w:t>logėjimą teismo posėdžio dieną, ar trečiojo asmens, gimus vaikui, negalėjimą nė kiek atsitraukti nuo jo ar gimdyvės, nuolatinį budėjimą ir negalėjimą rasti vietos prisijungti prie teismo posėdžio ir jame pagal galimybes dalyvauti. Šias teismų išvadas paneigia rašytiniai byloje esantys įrodymai. Teismai pripažino ieškovės ir trečiojo asmens nurodytas faktines aplinkybes dėl ieškovės ligos ar trečiojo asmens šeimos pagausėjimo, tą patvirtina byloje esančios pažymos iš medicinos įstaigų, taigi abiejų instancijų teismai taip pat laikė, kad ieškovė ir trečiasis asmuo fiziškai atvykti ir dalyvauti teismo posėdyje negalėjo ir dėl to ginčo nėra, nes, šalims pateikus prašymą leisti posėdyje dalyvauti nuotoliniu būdu, teismas tokį prašymą tenkino. Teismai nurodė, kad šios aplinkybės savaime nepateisina ieškovės ir trečiojo asmens elgesio procese teikiant prašymus dėl teismo posėdžio organizavimo būdo ir vėliau nedalyvavimo jame, tačiau ieškovės K.</w:t>
      </w:r>
      <w:r w:rsidR="00D71528" w:rsidRPr="00B90650">
        <w:rPr>
          <w:rFonts w:eastAsia="Times New Roman" w:cs="Times New Roman"/>
          <w:bCs/>
          <w:szCs w:val="24"/>
          <w:lang w:eastAsia="lt-LT" w:bidi="lt-LT"/>
        </w:rPr>
        <w:t> </w:t>
      </w:r>
      <w:r w:rsidRPr="00B90650">
        <w:rPr>
          <w:rFonts w:eastAsia="Times New Roman" w:cs="Times New Roman"/>
          <w:bCs/>
          <w:szCs w:val="24"/>
          <w:lang w:eastAsia="lt-LT" w:bidi="lt-LT"/>
        </w:rPr>
        <w:t>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ir trečiojo asmens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prašymų leisti dalyvauti jiems teismo posėdyje nuotoliniu būdu pateikimas ir vėlesnis negalėjimas pasinaudoti jiems suteikta teise dalyvauti nuotoliniame posėdyje atsirado dėl ne nuo jų valios priklausančių aplinkybių (liga, vaiko gimimas), kurios trukdė jiems įgyvendinti teismo nustatytą pareigą privalomai dalyvauti teismo posėdyje, todėl dėl šios pareigos neįvykdymo ieškovės ir trečiojo asmens veiksmai negali būti </w:t>
      </w:r>
      <w:r w:rsidR="003344BF" w:rsidRPr="00B90650">
        <w:rPr>
          <w:rFonts w:eastAsia="Times New Roman" w:cs="Times New Roman"/>
          <w:bCs/>
          <w:szCs w:val="24"/>
          <w:lang w:eastAsia="lt-LT" w:bidi="lt-LT"/>
        </w:rPr>
        <w:t>vertinami</w:t>
      </w:r>
      <w:r w:rsidRPr="00B90650">
        <w:rPr>
          <w:rFonts w:eastAsia="Times New Roman" w:cs="Times New Roman"/>
          <w:bCs/>
          <w:szCs w:val="24"/>
          <w:lang w:eastAsia="lt-LT" w:bidi="lt-LT"/>
        </w:rPr>
        <w:t xml:space="preserve"> kaip piktnaudžiavimas procesinėmis teisėmis. Priešingai, vadovaujantis suformuota teismų praktika, tokie veiksmai vertintini kaip netinkamas teisės dalyvauti teismo posėdyje įgyvendinimas. Be to, Vilniaus regiono apylinkės teismas, 2024</w:t>
      </w:r>
      <w:r w:rsidR="00D71528" w:rsidRPr="00B90650">
        <w:rPr>
          <w:rFonts w:eastAsia="Times New Roman" w:cs="Times New Roman"/>
          <w:bCs/>
          <w:szCs w:val="24"/>
          <w:lang w:eastAsia="lt-LT" w:bidi="lt-LT"/>
        </w:rPr>
        <w:t> </w:t>
      </w:r>
      <w:r w:rsidRPr="00B90650">
        <w:rPr>
          <w:rFonts w:eastAsia="Times New Roman" w:cs="Times New Roman"/>
          <w:bCs/>
          <w:szCs w:val="24"/>
          <w:lang w:eastAsia="lt-LT" w:bidi="lt-LT"/>
        </w:rPr>
        <w:t>m. spalio 2 d. nutartimi skirdamas baudą, nepagrįstai minėtus šalių procesinius veiksmus siejo su jų nedalyvavimu anksčiau paskirtuose teismo posėdžiuose, kuriuose jie nedalyvavo, nes teismas netenkino jų prašymų ir nesudarė galimybės dalyvauti nuotoliniu būdu, t. y. egzistavo kiti procesiniai prašymai ir kiti pagrindai (aplinkybės), kurie nėra iš esmės susiję su šioje byloje pirmosios instancijos teismo paskirtos baudos teisiniu pagrindu ir negali būti vertinami bendrai kaip piktnaudžiavimas procesinėmis teisėmis CPK</w:t>
      </w:r>
      <w:r w:rsidR="00D71528" w:rsidRPr="00B90650">
        <w:rPr>
          <w:rFonts w:eastAsia="Times New Roman" w:cs="Times New Roman"/>
          <w:bCs/>
          <w:szCs w:val="24"/>
          <w:lang w:eastAsia="lt-LT" w:bidi="lt-LT"/>
        </w:rPr>
        <w:t> </w:t>
      </w:r>
      <w:r w:rsidRPr="00B90650">
        <w:rPr>
          <w:rFonts w:eastAsia="Times New Roman" w:cs="Times New Roman"/>
          <w:bCs/>
          <w:szCs w:val="24"/>
          <w:lang w:eastAsia="lt-LT" w:bidi="lt-LT"/>
        </w:rPr>
        <w:t>95</w:t>
      </w:r>
      <w:r w:rsidR="00D71528" w:rsidRPr="00B90650">
        <w:rPr>
          <w:rFonts w:eastAsia="Times New Roman" w:cs="Times New Roman"/>
          <w:bCs/>
          <w:szCs w:val="24"/>
          <w:lang w:eastAsia="lt-LT" w:bidi="lt-LT"/>
        </w:rPr>
        <w:t> </w:t>
      </w:r>
      <w:r w:rsidRPr="00B90650">
        <w:rPr>
          <w:rFonts w:eastAsia="Times New Roman" w:cs="Times New Roman"/>
          <w:bCs/>
          <w:szCs w:val="24"/>
          <w:lang w:eastAsia="lt-LT" w:bidi="lt-LT"/>
        </w:rPr>
        <w:t xml:space="preserve">straipsnio prasme. Teismai turėjo vertinti šalių procesinius veiksmus, susijusius su prašymu sudaryti galimybę dalyvauti teismo posėdyje nuotoliniu būdu dėl ligos ir vaiko gimimo ir vėliau nedalyvauti teismo posėdyje dėl nurodytų priežasčių. </w:t>
      </w:r>
    </w:p>
    <w:p w14:paraId="659572E6" w14:textId="540E1F95" w:rsidR="003517E2" w:rsidRPr="00B90650" w:rsidRDefault="003517E2" w:rsidP="003517E2">
      <w:pPr>
        <w:numPr>
          <w:ilvl w:val="1"/>
          <w:numId w:val="1"/>
        </w:numPr>
        <w:spacing w:after="120" w:line="240" w:lineRule="auto"/>
        <w:ind w:left="788" w:hanging="431"/>
        <w:jc w:val="both"/>
        <w:rPr>
          <w:rFonts w:eastAsia="Times New Roman" w:cs="Times New Roman"/>
          <w:bCs/>
          <w:szCs w:val="24"/>
          <w:lang w:eastAsia="lt-LT" w:bidi="lt-LT"/>
        </w:rPr>
      </w:pPr>
      <w:r w:rsidRPr="00B90650">
        <w:rPr>
          <w:rFonts w:eastAsia="Times New Roman" w:cs="Times New Roman"/>
          <w:bCs/>
          <w:szCs w:val="24"/>
          <w:lang w:eastAsia="lt-LT" w:bidi="lt-LT"/>
        </w:rPr>
        <w:t xml:space="preserve">Teismai netinkamai taikė CPK 95 straipsnį, reglamentuojantį baudos skyrimą už piktnaudžiavimą procesinėmis teisėmis, ir CPK 246 straipsnio 3 dalį, reglamentuojančią baudos skyrimą už teismo pripažinimo, kad šalis būtinai turi dalyvauti teismo posėdyje, neįvykdymą </w:t>
      </w:r>
      <w:r w:rsidR="00ED2FEB" w:rsidRPr="00B90650">
        <w:rPr>
          <w:rFonts w:eastAsia="Times New Roman" w:cs="Times New Roman"/>
          <w:bCs/>
          <w:szCs w:val="24"/>
          <w:lang w:eastAsia="lt-LT" w:bidi="lt-LT"/>
        </w:rPr>
        <w:t>bei</w:t>
      </w:r>
      <w:r w:rsidRPr="00B90650">
        <w:rPr>
          <w:rFonts w:eastAsia="Times New Roman" w:cs="Times New Roman"/>
          <w:bCs/>
          <w:szCs w:val="24"/>
          <w:lang w:eastAsia="lt-LT" w:bidi="lt-LT"/>
        </w:rPr>
        <w:t xml:space="preserve"> nukrypo nuo Lietuvos Aukščiausiojo Teismo praktikos. Vilniaus regiono apylinkės teismas 2024 m. vasario 9 d. nutartimi pripažino K. D</w:t>
      </w:r>
      <w:r w:rsidR="00873A07">
        <w:rPr>
          <w:rFonts w:eastAsia="Times New Roman" w:cs="Times New Roman"/>
          <w:bCs/>
          <w:szCs w:val="24"/>
          <w:lang w:eastAsia="lt-LT" w:bidi="lt-LT"/>
        </w:rPr>
        <w:t>.</w:t>
      </w:r>
      <w:r w:rsidRPr="00B90650">
        <w:rPr>
          <w:rFonts w:eastAsia="Times New Roman" w:cs="Times New Roman"/>
          <w:bCs/>
          <w:szCs w:val="24"/>
          <w:lang w:eastAsia="lt-LT" w:bidi="lt-LT"/>
        </w:rPr>
        <w:t>, D.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ir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dalyvavimą teismo posėdyje būtinu ir nurodė, kad jis turi vykti tik </w:t>
      </w:r>
      <w:r w:rsidR="007621C3" w:rsidRPr="00B90650">
        <w:rPr>
          <w:rFonts w:eastAsia="Times New Roman" w:cs="Times New Roman"/>
          <w:bCs/>
          <w:szCs w:val="24"/>
          <w:lang w:eastAsia="lt-LT" w:bidi="lt-LT"/>
        </w:rPr>
        <w:t>tiesiogiai dalyvaujant teismo posėdyje</w:t>
      </w:r>
      <w:r w:rsidRPr="00B90650">
        <w:rPr>
          <w:rFonts w:eastAsia="Times New Roman" w:cs="Times New Roman"/>
          <w:bCs/>
          <w:szCs w:val="24"/>
          <w:lang w:eastAsia="lt-LT" w:bidi="lt-LT"/>
        </w:rPr>
        <w:t xml:space="preserve">. Apeliacinės instancijos teismas nutartyje pažymėjo, kad, teismui pripažinus šalies dalyvavimą teismo posėdyje būtinu, jos procesinė teisė dalyvauti teismo posėdyje tapo procesine pareiga, tačiau teisės doktrinoje ir Lietuvos Aukščiausiojo Teismo praktikoje laikomasi pozicijos, kad jei asmuo turi absoliučią („gryną“) procesinę pareigą, jis neturi pasirinkimo laisvės, neturi procesinės teisės, taigi neturi ir kuo piktnaudžiauti (Brazdeikis, A. </w:t>
      </w:r>
      <w:r w:rsidRPr="00B90650">
        <w:rPr>
          <w:rFonts w:eastAsia="Times New Roman" w:cs="Times New Roman"/>
          <w:bCs/>
          <w:i/>
          <w:iCs/>
          <w:szCs w:val="24"/>
          <w:lang w:eastAsia="lt-LT" w:bidi="lt-LT"/>
        </w:rPr>
        <w:t>Piktnaudžiavimas procesinėmis teisėmis</w:t>
      </w:r>
      <w:r w:rsidRPr="00B90650">
        <w:rPr>
          <w:rFonts w:eastAsia="Times New Roman" w:cs="Times New Roman"/>
          <w:bCs/>
          <w:szCs w:val="24"/>
          <w:lang w:eastAsia="lt-LT" w:bidi="lt-LT"/>
        </w:rPr>
        <w:t xml:space="preserve">: daktaro disertacija. Vilnius, 2011, p. 89–90; Lietuvos Aukščiausiojo Teismo 2023 m. kovo 3 d. nutartis civilinėje byloje Nr. e3K-3-15-421/2023; 2025 m. vasario 27 d. nutartis civilinėje byloje Nr. e3K-3-51-916/2025). </w:t>
      </w:r>
    </w:p>
    <w:p w14:paraId="3165DDA3" w14:textId="4EC55D5D" w:rsidR="003517E2" w:rsidRPr="00B90650" w:rsidRDefault="003517E2" w:rsidP="003517E2">
      <w:pPr>
        <w:numPr>
          <w:ilvl w:val="1"/>
          <w:numId w:val="1"/>
        </w:numPr>
        <w:spacing w:after="120" w:line="240" w:lineRule="auto"/>
        <w:ind w:left="788" w:hanging="431"/>
        <w:jc w:val="both"/>
        <w:rPr>
          <w:rFonts w:eastAsia="Times New Roman" w:cs="Times New Roman"/>
          <w:bCs/>
          <w:szCs w:val="24"/>
          <w:lang w:eastAsia="lt-LT" w:bidi="lt-LT"/>
        </w:rPr>
      </w:pPr>
      <w:r w:rsidRPr="00B90650">
        <w:rPr>
          <w:rFonts w:eastAsia="Times New Roman" w:cs="Times New Roman"/>
          <w:bCs/>
          <w:szCs w:val="24"/>
          <w:lang w:eastAsia="lt-LT" w:bidi="lt-LT"/>
        </w:rPr>
        <w:t xml:space="preserve">Teismai neįvertino, kad CPK 95 straipsnis ir 246 straipsnio 3 dalis reglamentuoja skirtingus civilinio proceso aspektus: CPK 95 straipsnis taikomas ir bauda skiriama, kai nustatomas piktnaudžiavimas procesinėmis teisėmis arba veikimas prieš greitą ir veiksmingą bylos nagrinėjimą, o CPK 246 straipsnio 3 dalis taikoma atidedant bylos nagrinėjimą ir gali būti </w:t>
      </w:r>
      <w:r w:rsidRPr="00B90650">
        <w:rPr>
          <w:rFonts w:eastAsia="Times New Roman" w:cs="Times New Roman"/>
          <w:bCs/>
          <w:szCs w:val="24"/>
          <w:lang w:eastAsia="lt-LT" w:bidi="lt-LT"/>
        </w:rPr>
        <w:lastRenderedPageBreak/>
        <w:t>skiriama mažesnė bauda, kai neįvykdomas konkretus teismo įpareigojimas privalomai dalyvauti teismo posėdyje, kuris užtikrina, kad, siekiant išsiaiškinti bylai reikšmingas aplinkybes, laiku dalyvaujantys byloje asmenys pateikia paaiškinimus, taip padėdami veiksmingai nagrinėti bylą. Vilniaus regiono apylinkės teismas 2024 m. vasario 9 d. nutartimi pripažino K. D</w:t>
      </w:r>
      <w:r w:rsidR="00873A07">
        <w:rPr>
          <w:rFonts w:eastAsia="Times New Roman" w:cs="Times New Roman"/>
          <w:bCs/>
          <w:szCs w:val="24"/>
          <w:lang w:eastAsia="lt-LT" w:bidi="lt-LT"/>
        </w:rPr>
        <w:t>.</w:t>
      </w:r>
      <w:r w:rsidRPr="00B90650">
        <w:rPr>
          <w:rFonts w:eastAsia="Times New Roman" w:cs="Times New Roman"/>
          <w:bCs/>
          <w:szCs w:val="24"/>
          <w:lang w:eastAsia="lt-LT" w:bidi="lt-LT"/>
        </w:rPr>
        <w:t>, D.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ir G.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dalyvavimą teismo posėdyje būtinu, jiems buvo nustatyta procesinė pareiga, todėl, akivaizdu, jie neturėjo pasirinkimo laisvės. Dėl to ieškovės ir trečiojo asmens veiksmų pagal teismo įpareigojimą privalomai dalyvauti teismo posėdyje ir neatvykus į jį bei teismams nelaikius jų nurodytų aplinkybių svarbia priežastimi nedalyvauti teismo posėdyje nėra pagrindo kvalifikuoti pagal CPK 95 straipsnį.</w:t>
      </w:r>
    </w:p>
    <w:p w14:paraId="2BF48843" w14:textId="1A8C933B"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Atsakovas V. V</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atsiliepimu į ieškovės K.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ir trečiojo asmens G. D</w:t>
      </w:r>
      <w:r w:rsidR="00873A07">
        <w:rPr>
          <w:rFonts w:eastAsia="Times New Roman" w:cs="Times New Roman"/>
          <w:bCs/>
          <w:szCs w:val="24"/>
          <w:lang w:eastAsia="lt-LT" w:bidi="lt-LT"/>
        </w:rPr>
        <w:t xml:space="preserve">. </w:t>
      </w:r>
      <w:r w:rsidRPr="00B90650">
        <w:rPr>
          <w:rFonts w:eastAsia="Times New Roman" w:cs="Times New Roman"/>
          <w:bCs/>
          <w:szCs w:val="24"/>
          <w:lang w:eastAsia="lt-LT" w:bidi="lt-LT"/>
        </w:rPr>
        <w:t>kasacinį skundą prašo jį atmesti. Atsiliepimas į kasacinį skundą grindžiamas šiais esminiais argumentais:</w:t>
      </w:r>
    </w:p>
    <w:p w14:paraId="5F1C4835" w14:textId="77777777" w:rsidR="003517E2" w:rsidRPr="00B90650" w:rsidRDefault="003517E2" w:rsidP="003517E2">
      <w:pPr>
        <w:numPr>
          <w:ilvl w:val="1"/>
          <w:numId w:val="1"/>
        </w:numPr>
        <w:spacing w:after="120" w:line="240" w:lineRule="auto"/>
        <w:ind w:left="788" w:hanging="431"/>
        <w:jc w:val="both"/>
        <w:rPr>
          <w:rFonts w:eastAsia="Times New Roman" w:cs="Times New Roman"/>
          <w:bCs/>
          <w:szCs w:val="24"/>
          <w:lang w:eastAsia="lt-LT" w:bidi="lt-LT"/>
        </w:rPr>
      </w:pPr>
      <w:r w:rsidRPr="00B90650">
        <w:rPr>
          <w:rFonts w:eastAsia="Times New Roman" w:cs="Times New Roman"/>
          <w:szCs w:val="24"/>
          <w:lang w:eastAsia="lt-LT"/>
        </w:rPr>
        <w:t>Kasaciniame skunde nurodyti argumentai dėl CPK 95 ir 246 straipsnių taikymo yra neaktualūs nagrinėjamai bylai, nes bauda ieškovei ir trečiajam asmeniui buvo paskirta ne dėl to, kad teismas, atidėdamas bylos nagrinėjimą, pripažino šalies dalyvavimą teismo posėdyje būtinu, o dėl to, kad ieškovė ir trečiasis asmuo, penkis kartus iš eilės neatvykdami į teismo posėdį, piktybiškai nevykdė įsiteisėjusios teismo nutarties ir toks jų elgesys pagrįstai pripažintas piktnaudžiavimu procesinėmis teisėmis</w:t>
      </w:r>
      <w:r w:rsidRPr="00B90650">
        <w:rPr>
          <w:rFonts w:eastAsia="Times New Roman" w:cs="Times New Roman"/>
          <w:bCs/>
          <w:szCs w:val="24"/>
          <w:lang w:eastAsia="lt-LT" w:bidi="lt-LT"/>
        </w:rPr>
        <w:t>.</w:t>
      </w:r>
      <w:r w:rsidRPr="00B90650">
        <w:t xml:space="preserve"> Teismai teisingai įvertino aplinkybes, kad </w:t>
      </w:r>
      <w:r w:rsidRPr="00B90650">
        <w:rPr>
          <w:rFonts w:eastAsia="Times New Roman" w:cs="Times New Roman"/>
          <w:szCs w:val="24"/>
          <w:lang w:eastAsia="lt-LT"/>
        </w:rPr>
        <w:t>ieškovė ir trečiasis asmuo</w:t>
      </w:r>
      <w:r w:rsidRPr="00B90650">
        <w:rPr>
          <w:rFonts w:eastAsia="Times New Roman" w:cs="Times New Roman"/>
          <w:bCs/>
          <w:szCs w:val="24"/>
          <w:lang w:eastAsia="lt-LT" w:bidi="lt-LT"/>
        </w:rPr>
        <w:t xml:space="preserve">, nepaisydami </w:t>
      </w:r>
      <w:r w:rsidRPr="00B90650">
        <w:rPr>
          <w:rFonts w:eastAsia="Times New Roman" w:cs="Times New Roman"/>
          <w:bCs/>
          <w:szCs w:val="24"/>
          <w:lang w:eastAsia="lt-LT" w:bidi="lt-LT"/>
        </w:rPr>
        <w:tab/>
        <w:t>Vilniaus regiono apylinkės teismo 2024 m. vasario 9 d. nutarties, teikdami analogiško turinio pasikartojančius ir nepagrįstus prašymus, vilkino procesą, piktybiškai vengė atvykti į teismo posėdį.</w:t>
      </w:r>
    </w:p>
    <w:p w14:paraId="5B0AF93C" w14:textId="77777777" w:rsidR="003517E2" w:rsidRPr="00B90650" w:rsidRDefault="003517E2" w:rsidP="003517E2">
      <w:pPr>
        <w:numPr>
          <w:ilvl w:val="1"/>
          <w:numId w:val="1"/>
        </w:numPr>
        <w:spacing w:after="120" w:line="240" w:lineRule="auto"/>
        <w:ind w:left="788" w:hanging="431"/>
        <w:jc w:val="both"/>
        <w:rPr>
          <w:rFonts w:eastAsia="Times New Roman" w:cs="Times New Roman"/>
          <w:bCs/>
          <w:szCs w:val="24"/>
          <w:lang w:eastAsia="lt-LT" w:bidi="lt-LT"/>
        </w:rPr>
      </w:pPr>
      <w:r w:rsidRPr="00B90650">
        <w:rPr>
          <w:rFonts w:eastAsia="Times New Roman" w:cs="Times New Roman"/>
          <w:bCs/>
          <w:szCs w:val="24"/>
          <w:lang w:eastAsia="lt-LT" w:bidi="lt-LT"/>
        </w:rPr>
        <w:t>Klausimą dėl paskirtos baudos panaikinimo nagrinėję teismai teisingai pažymėjo, jog bauda paskirta ne tik dėl to, kad ieškovė ir trečiasis asmuo neatvyko į 2024 m. rugsėjo 26 d. teismo posėdį, o iš esmės dėl to, kad dėl šios pareigos neįvykdymo jau ne pirmą kartą buvo atidedamas bylos nagrinėjamas, gaišinamas visų kitų proceso dalyvių ir teismo laikas, vilkinamas bylos išnagrinėjimas, t. y. piktnaudžiaujama procesine teise teikti prašymus dėl nuotolio. Apeliacinės instancijos teismas tinkamai aiškino proceso teisės normas ir teisingai nurodė, kad procesinės teisinės pasekmės byloje dalyvaujančiam asmeniui, piktnaudžiavusiam procesinėmis teisėmis, įtvirtintos CPK 95 straipsnyje. Piktnaudžiavimas procesinėmis teisėmis yra elgesys, kuris nustatomas remiantis objektyviais (išoriniais) jo pasireiškimo požymiais. Jeigu aplinkybių visuma suponuoja, kad dalyvaujantis byloje asmuo jam įstatymo suteikta procesine teise akivaizdžiai naudojasi ne pagal paskirtį, o siekdamas kitų tikslų (pavyzdžiui, sąmoningai sukelti nepatogumų kitai šaliai, užvilkinti proceso eigą), toks elgesys negali būti toleruojamas ar pateisinamas.</w:t>
      </w:r>
    </w:p>
    <w:p w14:paraId="4F0866C9" w14:textId="77777777" w:rsidR="003517E2" w:rsidRPr="00B90650" w:rsidRDefault="003517E2" w:rsidP="003517E2">
      <w:pPr>
        <w:numPr>
          <w:ilvl w:val="1"/>
          <w:numId w:val="1"/>
        </w:numPr>
        <w:spacing w:after="120" w:line="240" w:lineRule="auto"/>
        <w:ind w:left="788" w:hanging="431"/>
        <w:jc w:val="both"/>
        <w:rPr>
          <w:rFonts w:eastAsia="Times New Roman" w:cs="Times New Roman"/>
          <w:szCs w:val="24"/>
          <w:lang w:eastAsia="lt-LT"/>
        </w:rPr>
      </w:pPr>
      <w:r w:rsidRPr="00B90650">
        <w:rPr>
          <w:rFonts w:eastAsia="Times New Roman" w:cs="Times New Roman"/>
          <w:bCs/>
          <w:szCs w:val="24"/>
          <w:lang w:eastAsia="lt-LT" w:bidi="lt-LT"/>
        </w:rPr>
        <w:t xml:space="preserve">Pirmosios instancijos teismas, paskyręs </w:t>
      </w:r>
      <w:r w:rsidRPr="00B90650">
        <w:rPr>
          <w:rFonts w:eastAsia="Times New Roman" w:cs="Times New Roman"/>
          <w:szCs w:val="24"/>
          <w:lang w:eastAsia="lt-LT"/>
        </w:rPr>
        <w:t xml:space="preserve">ieškovei ir trečiajam asmeniui </w:t>
      </w:r>
      <w:r w:rsidRPr="00B90650">
        <w:rPr>
          <w:rFonts w:eastAsia="Times New Roman" w:cs="Times New Roman"/>
          <w:bCs/>
          <w:szCs w:val="24"/>
          <w:lang w:eastAsia="lt-LT" w:bidi="lt-LT"/>
        </w:rPr>
        <w:t xml:space="preserve"> baudą ir vėliau netenkinęs jų prašymų dėl baudos panaikinimo, pagrįstai įžvelgė </w:t>
      </w:r>
      <w:r w:rsidRPr="00B90650">
        <w:rPr>
          <w:rFonts w:eastAsia="Times New Roman" w:cs="Times New Roman"/>
          <w:szCs w:val="24"/>
          <w:lang w:eastAsia="lt-LT"/>
        </w:rPr>
        <w:t>ieškovės ir trečiojo asmens</w:t>
      </w:r>
      <w:r w:rsidRPr="00B90650">
        <w:rPr>
          <w:rFonts w:eastAsia="Times New Roman" w:cs="Times New Roman"/>
          <w:bCs/>
          <w:szCs w:val="24"/>
          <w:lang w:eastAsia="lt-LT" w:bidi="lt-LT"/>
        </w:rPr>
        <w:t xml:space="preserve"> piktnaudžiavimą procesinėmis teisėmis, apeliacinės instancijos teismas įvertino ir tai, kad nebuvo pateikta jokių įrodymų, kad </w:t>
      </w:r>
      <w:r w:rsidRPr="00B90650">
        <w:rPr>
          <w:rFonts w:eastAsia="Times New Roman" w:cs="Times New Roman"/>
          <w:szCs w:val="24"/>
          <w:lang w:eastAsia="lt-LT"/>
        </w:rPr>
        <w:t xml:space="preserve">ieškovė ir trečiasis asmuo </w:t>
      </w:r>
      <w:r w:rsidRPr="00B90650">
        <w:rPr>
          <w:rFonts w:eastAsia="Times New Roman" w:cs="Times New Roman"/>
          <w:bCs/>
          <w:szCs w:val="24"/>
          <w:lang w:eastAsia="lt-LT" w:bidi="lt-LT"/>
        </w:rPr>
        <w:t xml:space="preserve"> apskritai ketino atvykti į teismo posėdį. </w:t>
      </w:r>
    </w:p>
    <w:p w14:paraId="105C0DC1" w14:textId="0FBAA4B8" w:rsidR="003517E2" w:rsidRPr="00B90650" w:rsidRDefault="003517E2" w:rsidP="003517E2">
      <w:pPr>
        <w:numPr>
          <w:ilvl w:val="0"/>
          <w:numId w:val="1"/>
        </w:numPr>
        <w:spacing w:after="120" w:line="240" w:lineRule="auto"/>
        <w:ind w:left="357" w:hanging="357"/>
        <w:jc w:val="both"/>
        <w:rPr>
          <w:rFonts w:eastAsia="Times New Roman" w:cs="Times New Roman"/>
          <w:bCs/>
          <w:szCs w:val="24"/>
          <w:lang w:eastAsia="lt-LT" w:bidi="lt-LT"/>
        </w:rPr>
      </w:pPr>
      <w:r w:rsidRPr="00B90650">
        <w:rPr>
          <w:rFonts w:eastAsia="Times New Roman" w:cs="Times New Roman"/>
          <w:bCs/>
          <w:szCs w:val="24"/>
          <w:lang w:eastAsia="lt-LT" w:bidi="lt-LT"/>
        </w:rPr>
        <w:t>Atsakovas R. R</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atsiliepimu į ieškovės K. 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ir trečiojo asmens G.</w:t>
      </w:r>
      <w:r w:rsidR="00D71528" w:rsidRPr="00B90650">
        <w:rPr>
          <w:rFonts w:eastAsia="Times New Roman" w:cs="Times New Roman"/>
          <w:bCs/>
          <w:szCs w:val="24"/>
          <w:lang w:eastAsia="lt-LT" w:bidi="lt-LT"/>
        </w:rPr>
        <w:t> </w:t>
      </w:r>
      <w:r w:rsidRPr="00B90650">
        <w:rPr>
          <w:rFonts w:eastAsia="Times New Roman" w:cs="Times New Roman"/>
          <w:bCs/>
          <w:szCs w:val="24"/>
          <w:lang w:eastAsia="lt-LT" w:bidi="lt-LT"/>
        </w:rPr>
        <w:t>D</w:t>
      </w:r>
      <w:r w:rsidR="00873A07">
        <w:rPr>
          <w:rFonts w:eastAsia="Times New Roman" w:cs="Times New Roman"/>
          <w:bCs/>
          <w:szCs w:val="24"/>
          <w:lang w:eastAsia="lt-LT" w:bidi="lt-LT"/>
        </w:rPr>
        <w:t>.</w:t>
      </w:r>
      <w:r w:rsidRPr="00B90650">
        <w:rPr>
          <w:rFonts w:eastAsia="Times New Roman" w:cs="Times New Roman"/>
          <w:bCs/>
          <w:szCs w:val="24"/>
          <w:lang w:eastAsia="lt-LT" w:bidi="lt-LT"/>
        </w:rPr>
        <w:t xml:space="preserve"> kasacinį skundą prašo jį atmesti. Atsiliepimas į kasacinį skundą grindžiamas šiais esminiais argumentais:</w:t>
      </w:r>
    </w:p>
    <w:p w14:paraId="36886BB2" w14:textId="77777777" w:rsidR="003517E2" w:rsidRPr="00B90650" w:rsidRDefault="003517E2" w:rsidP="003517E2">
      <w:pPr>
        <w:numPr>
          <w:ilvl w:val="1"/>
          <w:numId w:val="1"/>
        </w:numPr>
        <w:spacing w:after="120" w:line="240" w:lineRule="auto"/>
        <w:ind w:left="788" w:hanging="431"/>
        <w:jc w:val="both"/>
        <w:rPr>
          <w:rFonts w:eastAsia="Times New Roman" w:cs="Times New Roman"/>
          <w:bCs/>
          <w:szCs w:val="24"/>
          <w:lang w:eastAsia="lt-LT" w:bidi="lt-LT"/>
        </w:rPr>
      </w:pPr>
      <w:r w:rsidRPr="00B90650">
        <w:rPr>
          <w:rFonts w:eastAsia="Times New Roman" w:cs="Times New Roman"/>
          <w:bCs/>
          <w:szCs w:val="24"/>
          <w:lang w:eastAsia="lt-LT" w:bidi="lt-LT"/>
        </w:rPr>
        <w:t>Pagal teisės normas, neatvykimo į teismo posėdį priežasčių svarbą įvertina teismas, atsižvelgdamas į bylos nagrinėjimo stadiją, ieškovo ir jo atstovo ankstesnį procesinį elgesį ir kitas svarbias aplinkybes. I</w:t>
      </w:r>
      <w:r w:rsidRPr="00B90650">
        <w:rPr>
          <w:rFonts w:eastAsia="Times New Roman" w:cs="Times New Roman"/>
          <w:szCs w:val="24"/>
          <w:lang w:eastAsia="lt-LT"/>
        </w:rPr>
        <w:t xml:space="preserve">eškovė ir trečiasis asmuo </w:t>
      </w:r>
      <w:r w:rsidRPr="00B90650">
        <w:rPr>
          <w:rFonts w:eastAsia="Times New Roman" w:cs="Times New Roman"/>
          <w:bCs/>
          <w:szCs w:val="24"/>
          <w:lang w:eastAsia="lt-LT" w:bidi="lt-LT"/>
        </w:rPr>
        <w:t xml:space="preserve"> nepateikė jokių objektyvių duomenų, kad jie proceso metu dėl pateisinamų, objektyvių priežasčių negalėjo atvykti į rengiamus teismo posėdžius, todėl bauda </w:t>
      </w:r>
      <w:r w:rsidRPr="00B90650">
        <w:rPr>
          <w:rFonts w:eastAsia="Times New Roman" w:cs="Times New Roman"/>
          <w:szCs w:val="24"/>
          <w:lang w:eastAsia="lt-LT"/>
        </w:rPr>
        <w:t xml:space="preserve">ieškovei ir trečiajam asmeniui </w:t>
      </w:r>
      <w:r w:rsidRPr="00B90650">
        <w:rPr>
          <w:rFonts w:eastAsia="Times New Roman" w:cs="Times New Roman"/>
          <w:bCs/>
          <w:szCs w:val="24"/>
          <w:lang w:eastAsia="lt-LT" w:bidi="lt-LT"/>
        </w:rPr>
        <w:t xml:space="preserve"> pagrįstai buvo paskirta už jų vengimą net penkis kartus iš eilės atvykti į teismo posėdį, t. y. piktybiškai nevykdant įsiteisėjusios teismo nutarties.</w:t>
      </w:r>
    </w:p>
    <w:p w14:paraId="4852CDAD" w14:textId="77777777" w:rsidR="00ED2FEB" w:rsidRPr="00B90650" w:rsidRDefault="003517E2" w:rsidP="00ED2FEB">
      <w:pPr>
        <w:numPr>
          <w:ilvl w:val="1"/>
          <w:numId w:val="1"/>
        </w:numPr>
        <w:spacing w:after="120" w:line="240" w:lineRule="auto"/>
        <w:ind w:left="788" w:hanging="431"/>
        <w:jc w:val="both"/>
        <w:rPr>
          <w:rFonts w:eastAsia="Times New Roman" w:cs="Times New Roman"/>
          <w:bCs/>
          <w:szCs w:val="24"/>
          <w:lang w:eastAsia="lt-LT" w:bidi="lt-LT"/>
        </w:rPr>
      </w:pPr>
      <w:r w:rsidRPr="00B90650">
        <w:rPr>
          <w:rFonts w:eastAsia="Times New Roman" w:cs="Times New Roman"/>
          <w:bCs/>
          <w:szCs w:val="24"/>
          <w:lang w:eastAsia="lt-LT" w:bidi="lt-LT"/>
        </w:rPr>
        <w:t xml:space="preserve">Nors ieškovei ir trečiajam asmeniui jau buvo paskirtos baudos, jie ir toliau nevykdė teismo nutarties ir nesant svarbių priežasčių neatvyko į 2024 m. rugpjūčio 26 d. vykusį teismo </w:t>
      </w:r>
      <w:r w:rsidRPr="00B90650">
        <w:rPr>
          <w:rFonts w:eastAsia="Times New Roman" w:cs="Times New Roman"/>
          <w:bCs/>
          <w:szCs w:val="24"/>
          <w:lang w:eastAsia="lt-LT" w:bidi="lt-LT"/>
        </w:rPr>
        <w:lastRenderedPageBreak/>
        <w:t>posėdį. Teismas, įvertinęs tai, jog jie neatvyko į teismo posėdį pakartotinai, net ir paskyrus kiekvienam po 100 Eur baudą, siekdamas, jog bauda, kaip poveikio priemonė, efektyviai skatintų šalis padėti teismui įgyvendinti civilinio proceso tikslus ir kuo greičiau atkurti tarp jų teisinę taiką, 2024 m. rugsėjo 2 d. nutartimi ieškovei ir trečiajam asmeniui dar kartą skyrė po 300 Eur baudą pagal CPK 246 straipsnio 3 dalį, tačiau šie asmenys ir toliau nevykdė teismo nurodymų ir neatvyko į 2024 m. rugsėjo 26 d. teismo posėdį. Šios aplinkybės leido teismui daryti neabejotiną išvadą, kad nurodyti proceso dalyviai sąmoningai vilkino byloje procesą.</w:t>
      </w:r>
    </w:p>
    <w:p w14:paraId="4CD8211F" w14:textId="46731754" w:rsidR="003517E2" w:rsidRPr="00B90650" w:rsidRDefault="003517E2" w:rsidP="00ED2FEB">
      <w:pPr>
        <w:numPr>
          <w:ilvl w:val="1"/>
          <w:numId w:val="1"/>
        </w:numPr>
        <w:spacing w:after="120" w:line="240" w:lineRule="auto"/>
        <w:ind w:left="788" w:hanging="431"/>
        <w:jc w:val="both"/>
        <w:rPr>
          <w:rFonts w:eastAsia="Times New Roman" w:cs="Times New Roman"/>
          <w:bCs/>
          <w:szCs w:val="24"/>
          <w:lang w:eastAsia="lt-LT" w:bidi="lt-LT"/>
        </w:rPr>
      </w:pPr>
      <w:r w:rsidRPr="00B90650">
        <w:rPr>
          <w:rFonts w:eastAsia="Times New Roman" w:cs="Times New Roman"/>
          <w:bCs/>
          <w:szCs w:val="24"/>
          <w:lang w:eastAsia="lt-LT" w:bidi="lt-LT"/>
        </w:rPr>
        <w:t>Apeliacinės instancijos teismas tinkamai aiškino proceso teisės normas ir tinkamai vertino faktines bylos aplinkybes. I</w:t>
      </w:r>
      <w:r w:rsidRPr="00B90650">
        <w:rPr>
          <w:rFonts w:eastAsia="Times New Roman" w:cs="Times New Roman"/>
          <w:szCs w:val="24"/>
          <w:lang w:eastAsia="lt-LT"/>
        </w:rPr>
        <w:t>eškovė ir trečiasis asmuo</w:t>
      </w:r>
      <w:r w:rsidRPr="00B90650">
        <w:rPr>
          <w:rFonts w:eastAsia="Times New Roman" w:cs="Times New Roman"/>
          <w:bCs/>
          <w:szCs w:val="24"/>
          <w:lang w:eastAsia="lt-LT" w:bidi="lt-LT"/>
        </w:rPr>
        <w:t xml:space="preserve"> yra atstovaujami profesionalių teisininkų, šiems turėjo būti žinoma, kad CPK 246 straipsnyje įstatymo leidėjo yra reglamentuotos šalių ir jų atstovų neatvykimo į teismo posėdį pasekmės. CPK 246 straipsnio 3 dalyje įtvirtintas baudos skyrimas vertintinas kaip procesinė sankcija, skiriama už tai, kad dėl šalies ar jos atstovo neatvykimo tenka atidėti bylos nagrinėjimą, t. y. taikyti tam tikras prievartos priemones, kai trikdomas teismo darbas, gaišinami kiti proceso dalyviai ir pan. Civilinio proceso įstatymas įpareigoja proceso dalyvius sąžiningai naudotis ir nepiktnaudžiauti jiems suteiktomis procesinėmis teisėmis (CPK 7 straipsnio 2 dalis), bendradarbiauti tarpusavyje ir su teismu (CPK 8 straipsnis), kad teismas kuo greičiau išspręstų ginčą ir priimtų teisingą materialiuoju požiūriu sprendimą. Teismas, spręsdamas baudos skyrimo klausimą, įvertino ieškovės, atsakovo ir trečiojo asmens elgesį ir pagrįstai baudą jiems skyrė kaip nesąžiningai besielgiantiems ir savo veiksmais vilkinantiems bylos nagrinėjimą byloje dalyvaujantiems asmenims.</w:t>
      </w:r>
    </w:p>
    <w:bookmarkEnd w:id="0"/>
    <w:bookmarkEnd w:id="2"/>
    <w:p w14:paraId="6CA7F9C1" w14:textId="77777777" w:rsidR="003517E2" w:rsidRPr="00B90650" w:rsidRDefault="003517E2" w:rsidP="00287CF2">
      <w:pPr>
        <w:spacing w:after="120" w:line="240" w:lineRule="auto"/>
        <w:ind w:left="357"/>
        <w:jc w:val="both"/>
        <w:rPr>
          <w:rFonts w:eastAsia="Times New Roman" w:cs="Times New Roman"/>
          <w:bCs/>
          <w:szCs w:val="24"/>
          <w:lang w:eastAsia="lt-LT" w:bidi="lt-LT"/>
        </w:rPr>
      </w:pPr>
    </w:p>
    <w:p w14:paraId="758B8209" w14:textId="63B3449E" w:rsidR="00AC00DC" w:rsidRPr="00B90650" w:rsidRDefault="00AC00DC" w:rsidP="00AC00DC">
      <w:pPr>
        <w:shd w:val="clear" w:color="auto" w:fill="FFFFFF"/>
        <w:spacing w:after="120" w:line="240" w:lineRule="auto"/>
        <w:ind w:right="19" w:firstLine="709"/>
        <w:jc w:val="both"/>
        <w:rPr>
          <w:rFonts w:eastAsia="Times New Roman" w:cs="Times New Roman"/>
          <w:szCs w:val="24"/>
          <w:lang w:eastAsia="lt-LT"/>
        </w:rPr>
      </w:pPr>
      <w:r w:rsidRPr="00B90650">
        <w:rPr>
          <w:rFonts w:eastAsia="Times New Roman" w:cs="Times New Roman"/>
          <w:szCs w:val="24"/>
          <w:lang w:eastAsia="lt-LT"/>
        </w:rPr>
        <w:t xml:space="preserve">Teisėjų kolegija </w:t>
      </w:r>
    </w:p>
    <w:p w14:paraId="04089546" w14:textId="77777777" w:rsidR="00AC00DC" w:rsidRPr="00B90650" w:rsidRDefault="00AC00DC" w:rsidP="00903B95">
      <w:pPr>
        <w:shd w:val="clear" w:color="auto" w:fill="FFFFFF"/>
        <w:spacing w:after="120" w:line="240" w:lineRule="auto"/>
        <w:ind w:right="17" w:firstLine="720"/>
        <w:jc w:val="both"/>
        <w:rPr>
          <w:rFonts w:eastAsia="Times New Roman" w:cs="Times New Roman"/>
          <w:szCs w:val="24"/>
          <w:lang w:eastAsia="lt-LT"/>
        </w:rPr>
      </w:pPr>
    </w:p>
    <w:p w14:paraId="58535799" w14:textId="77777777" w:rsidR="00AC00DC" w:rsidRPr="00B90650" w:rsidRDefault="00AC00DC" w:rsidP="00AC00DC">
      <w:p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 xml:space="preserve">k o n s t a t u o j a : </w:t>
      </w:r>
    </w:p>
    <w:p w14:paraId="10547921" w14:textId="77777777" w:rsidR="00AC00DC" w:rsidRPr="00B90650" w:rsidRDefault="00AC00DC" w:rsidP="00903B95">
      <w:pPr>
        <w:spacing w:after="120" w:line="240" w:lineRule="auto"/>
        <w:ind w:firstLine="720"/>
        <w:jc w:val="both"/>
        <w:rPr>
          <w:rFonts w:eastAsia="Times New Roman" w:cs="Times New Roman"/>
          <w:szCs w:val="24"/>
          <w:lang w:eastAsia="lt-LT"/>
        </w:rPr>
      </w:pPr>
    </w:p>
    <w:p w14:paraId="13B793B9" w14:textId="77777777" w:rsidR="00AC00DC" w:rsidRPr="00B90650" w:rsidRDefault="00AC00DC" w:rsidP="00AC00DC">
      <w:pPr>
        <w:spacing w:after="120" w:line="240" w:lineRule="auto"/>
        <w:ind w:left="357" w:hanging="357"/>
        <w:jc w:val="center"/>
        <w:rPr>
          <w:rFonts w:eastAsia="Times New Roman" w:cs="Times New Roman"/>
          <w:szCs w:val="24"/>
          <w:lang w:eastAsia="lt-LT"/>
        </w:rPr>
      </w:pPr>
      <w:r w:rsidRPr="00B90650">
        <w:rPr>
          <w:rFonts w:eastAsia="Times New Roman" w:cs="Times New Roman"/>
          <w:szCs w:val="24"/>
          <w:lang w:eastAsia="lt-LT"/>
        </w:rPr>
        <w:t>IV. Kasacinio teismo argumentai ir išaiškinimai</w:t>
      </w:r>
    </w:p>
    <w:p w14:paraId="0CCE60BC" w14:textId="77777777" w:rsidR="00FD0DC4" w:rsidRPr="00B90650" w:rsidRDefault="00FD0DC4" w:rsidP="00FD0DC4">
      <w:pPr>
        <w:spacing w:after="120" w:line="240" w:lineRule="auto"/>
        <w:ind w:firstLine="720"/>
        <w:jc w:val="both"/>
        <w:rPr>
          <w:rFonts w:eastAsia="Times New Roman" w:cs="Times New Roman"/>
          <w:i/>
          <w:iCs/>
          <w:szCs w:val="24"/>
          <w:lang w:eastAsia="lt-LT"/>
        </w:rPr>
      </w:pPr>
    </w:p>
    <w:p w14:paraId="7C26C01D" w14:textId="7522E08F" w:rsidR="00AC6C31" w:rsidRPr="00B90650" w:rsidRDefault="00AC6C31" w:rsidP="00AC6C31">
      <w:pPr>
        <w:spacing w:after="120" w:line="240" w:lineRule="auto"/>
        <w:ind w:firstLine="720"/>
        <w:jc w:val="both"/>
        <w:rPr>
          <w:rFonts w:eastAsia="Times New Roman" w:cs="Times New Roman"/>
          <w:i/>
          <w:iCs/>
          <w:szCs w:val="24"/>
          <w:lang w:eastAsia="lt-LT"/>
        </w:rPr>
      </w:pPr>
      <w:r w:rsidRPr="00B90650">
        <w:rPr>
          <w:rFonts w:eastAsia="Times New Roman" w:cs="Times New Roman"/>
          <w:i/>
          <w:iCs/>
          <w:szCs w:val="24"/>
          <w:lang w:eastAsia="lt-LT"/>
        </w:rPr>
        <w:t>Dėl naujų įrodymų</w:t>
      </w:r>
      <w:r w:rsidR="00ED2FEB" w:rsidRPr="00B90650">
        <w:rPr>
          <w:rFonts w:eastAsia="Times New Roman" w:cs="Times New Roman"/>
          <w:i/>
          <w:iCs/>
          <w:szCs w:val="24"/>
          <w:lang w:eastAsia="lt-LT"/>
        </w:rPr>
        <w:t xml:space="preserve"> ne</w:t>
      </w:r>
      <w:r w:rsidRPr="00B90650">
        <w:rPr>
          <w:rFonts w:eastAsia="Times New Roman" w:cs="Times New Roman"/>
          <w:i/>
          <w:iCs/>
          <w:szCs w:val="24"/>
          <w:lang w:eastAsia="lt-LT"/>
        </w:rPr>
        <w:t>priėmimo</w:t>
      </w:r>
    </w:p>
    <w:p w14:paraId="75A51CEE" w14:textId="77777777" w:rsidR="00AC6C31" w:rsidRPr="00B90650" w:rsidRDefault="00AC6C31" w:rsidP="00AC6C31">
      <w:pPr>
        <w:spacing w:after="120" w:line="240" w:lineRule="auto"/>
        <w:ind w:firstLine="720"/>
        <w:jc w:val="both"/>
        <w:rPr>
          <w:rFonts w:eastAsia="Times New Roman" w:cs="Times New Roman"/>
          <w:szCs w:val="24"/>
          <w:lang w:eastAsia="lt-LT"/>
        </w:rPr>
      </w:pPr>
    </w:p>
    <w:p w14:paraId="4946D384" w14:textId="40D988E5" w:rsidR="002D1509" w:rsidRPr="00B90650" w:rsidRDefault="00AC6C31" w:rsidP="00842802">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Atsakovas</w:t>
      </w:r>
      <w:r w:rsidR="00C95061" w:rsidRPr="00B90650">
        <w:rPr>
          <w:rFonts w:eastAsia="Times New Roman" w:cs="Times New Roman"/>
          <w:szCs w:val="24"/>
          <w:lang w:eastAsia="lt-LT"/>
        </w:rPr>
        <w:t xml:space="preserve"> R. R</w:t>
      </w:r>
      <w:r w:rsidR="00873A07">
        <w:rPr>
          <w:rFonts w:eastAsia="Times New Roman" w:cs="Times New Roman"/>
          <w:szCs w:val="24"/>
          <w:lang w:eastAsia="lt-LT"/>
        </w:rPr>
        <w:t>.</w:t>
      </w:r>
      <w:r w:rsidR="00C95061" w:rsidRPr="00B90650">
        <w:rPr>
          <w:rFonts w:eastAsia="Times New Roman" w:cs="Times New Roman"/>
          <w:szCs w:val="24"/>
          <w:lang w:eastAsia="lt-LT"/>
        </w:rPr>
        <w:t xml:space="preserve"> </w:t>
      </w:r>
      <w:r w:rsidRPr="00B90650">
        <w:rPr>
          <w:rFonts w:eastAsia="Times New Roman" w:cs="Times New Roman"/>
          <w:szCs w:val="24"/>
          <w:lang w:eastAsia="lt-LT"/>
        </w:rPr>
        <w:t>202</w:t>
      </w:r>
      <w:r w:rsidR="00C95061" w:rsidRPr="00B90650">
        <w:rPr>
          <w:rFonts w:eastAsia="Times New Roman" w:cs="Times New Roman"/>
          <w:szCs w:val="24"/>
          <w:lang w:eastAsia="lt-LT"/>
        </w:rPr>
        <w:t>5</w:t>
      </w:r>
      <w:r w:rsidRPr="00B90650">
        <w:rPr>
          <w:rFonts w:eastAsia="Times New Roman" w:cs="Times New Roman"/>
          <w:szCs w:val="24"/>
          <w:lang w:eastAsia="lt-LT"/>
        </w:rPr>
        <w:t xml:space="preserve"> m. </w:t>
      </w:r>
      <w:r w:rsidR="00C95061" w:rsidRPr="00B90650">
        <w:rPr>
          <w:rFonts w:eastAsia="Times New Roman" w:cs="Times New Roman"/>
          <w:szCs w:val="24"/>
          <w:lang w:eastAsia="lt-LT"/>
        </w:rPr>
        <w:t xml:space="preserve">birželio 12 </w:t>
      </w:r>
      <w:r w:rsidRPr="00B90650">
        <w:rPr>
          <w:rFonts w:eastAsia="Times New Roman" w:cs="Times New Roman"/>
          <w:szCs w:val="24"/>
          <w:lang w:eastAsia="lt-LT"/>
        </w:rPr>
        <w:t xml:space="preserve">d. kasaciniam teismui pateikė prašymą, kuriuo prašė pridėti prie bylos </w:t>
      </w:r>
      <w:r w:rsidR="00C95061" w:rsidRPr="00B90650">
        <w:rPr>
          <w:rFonts w:eastAsia="Times New Roman" w:cs="Times New Roman"/>
          <w:szCs w:val="24"/>
          <w:lang w:eastAsia="lt-LT"/>
        </w:rPr>
        <w:t>Vilniaus apygardos prokuratūros 2025 m. gegužės 21 d. nutarimą panaikinti nutarimą, kuriuo atsisakyta pradėti ikiteisminį tyrimą. Atsakovo teigimu, ši</w:t>
      </w:r>
      <w:r w:rsidR="002D1509" w:rsidRPr="00B90650">
        <w:rPr>
          <w:rFonts w:eastAsia="Times New Roman" w:cs="Times New Roman"/>
          <w:szCs w:val="24"/>
          <w:lang w:eastAsia="lt-LT"/>
        </w:rPr>
        <w:t>os faktinės aplinkybės gali būti svarbios vertinant ieškovės K. D</w:t>
      </w:r>
      <w:r w:rsidR="00873A07">
        <w:rPr>
          <w:rFonts w:eastAsia="Times New Roman" w:cs="Times New Roman"/>
          <w:szCs w:val="24"/>
          <w:lang w:eastAsia="lt-LT"/>
        </w:rPr>
        <w:t>.</w:t>
      </w:r>
      <w:r w:rsidR="002D1509" w:rsidRPr="00B90650">
        <w:rPr>
          <w:rFonts w:eastAsia="Times New Roman" w:cs="Times New Roman"/>
          <w:szCs w:val="24"/>
          <w:lang w:eastAsia="lt-LT"/>
        </w:rPr>
        <w:t xml:space="preserve"> ir trečiojo asmens G. D</w:t>
      </w:r>
      <w:r w:rsidR="00873A07">
        <w:rPr>
          <w:rFonts w:eastAsia="Times New Roman" w:cs="Times New Roman"/>
          <w:szCs w:val="24"/>
          <w:lang w:eastAsia="lt-LT"/>
        </w:rPr>
        <w:t>.</w:t>
      </w:r>
      <w:r w:rsidR="002D1509" w:rsidRPr="00B90650">
        <w:rPr>
          <w:rFonts w:eastAsia="Times New Roman" w:cs="Times New Roman"/>
          <w:szCs w:val="24"/>
          <w:lang w:eastAsia="lt-LT"/>
        </w:rPr>
        <w:t xml:space="preserve"> kasacinio skundo pagrįstumą</w:t>
      </w:r>
      <w:r w:rsidR="00842802" w:rsidRPr="00B90650">
        <w:rPr>
          <w:rFonts w:eastAsia="Times New Roman" w:cs="Times New Roman"/>
          <w:szCs w:val="24"/>
          <w:lang w:eastAsia="lt-LT"/>
        </w:rPr>
        <w:t>.</w:t>
      </w:r>
    </w:p>
    <w:p w14:paraId="047C3469" w14:textId="38D653F9" w:rsidR="00AC6C31" w:rsidRPr="00B90650" w:rsidRDefault="00AC6C31" w:rsidP="00842802">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Pagal CPK 347 straipsnio 2 dalį, kasaciniame skunde neleidžiama remtis naujais įrodymais bei aplinkybėmis, kurie nebuvo nagrinėti pirmosios ar apeliacinės instancijos teisme. Pagal CPK</w:t>
      </w:r>
      <w:r w:rsidR="00D71528" w:rsidRPr="00B90650">
        <w:rPr>
          <w:rFonts w:eastAsia="Times New Roman" w:cs="Times New Roman"/>
          <w:szCs w:val="24"/>
          <w:lang w:eastAsia="lt-LT"/>
        </w:rPr>
        <w:t> </w:t>
      </w:r>
      <w:r w:rsidRPr="00B90650">
        <w:rPr>
          <w:rFonts w:eastAsia="Times New Roman" w:cs="Times New Roman"/>
          <w:szCs w:val="24"/>
          <w:lang w:eastAsia="lt-LT"/>
        </w:rPr>
        <w:t>353</w:t>
      </w:r>
      <w:r w:rsidR="00C91199" w:rsidRPr="00B90650">
        <w:rPr>
          <w:rFonts w:eastAsia="Times New Roman" w:cs="Times New Roman"/>
          <w:szCs w:val="24"/>
          <w:lang w:eastAsia="lt-LT"/>
        </w:rPr>
        <w:t> </w:t>
      </w:r>
      <w:r w:rsidRPr="00B90650">
        <w:rPr>
          <w:rFonts w:eastAsia="Times New Roman" w:cs="Times New Roman"/>
          <w:szCs w:val="24"/>
          <w:lang w:eastAsia="lt-LT"/>
        </w:rPr>
        <w:t>straipsnio 1 dalį, kasacinis teismas, neperžengdamas kasacinio skundo ribų, patikrina apskųstus sprendimus ir (ar) nutartis teisės taikymo aspektu. Kasacinis teismas yra saistomas pirmosios ir apeliacinės instancijos teismų nustatytų aplinkybių.</w:t>
      </w:r>
    </w:p>
    <w:p w14:paraId="33207250" w14:textId="6C2165EF" w:rsidR="00AC6C31" w:rsidRPr="00B90650" w:rsidRDefault="00AC6C31" w:rsidP="00842802">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 xml:space="preserve">Taigi, kasacinis teismas netiria nei byloje jau esančių, nei naujų įrodymų, nenustato faktinių aplinkybių. Kasacinio proceso metu yra tikrinamas apeliacinės instancijos teismo procesinis sprendimas tik teisės taikymo aspektu, t. y. ar pagal byloje nustatytas faktines aplinkybes taikytinas įstatymas buvo teisingai išaiškintas ir pritaikytas, atsižvelgiant į spręstinų klausimų reikšmingumą vienodos teismų praktikos formavimui. Toks teisinis reguliavimas lemia išvadą, kad kasaciniame teisme negali būti teikiami nauji įrodymai, kurie nebuvo tiriami pirmosios ir </w:t>
      </w:r>
      <w:r w:rsidRPr="00B90650">
        <w:rPr>
          <w:rFonts w:eastAsia="Times New Roman" w:cs="Times New Roman"/>
          <w:szCs w:val="24"/>
          <w:lang w:eastAsia="lt-LT"/>
        </w:rPr>
        <w:lastRenderedPageBreak/>
        <w:t>apeliacinės instancijos teismuose, nepriklausomai nuo to, ar jie egzistavo bylos nagrinėjimo apeliacinės instancijos teisme metu (Lietuvos Aukščiausiojo Teismo 2023 m. lapkričio 23 d. nutartis civilinėje byloje Nr. e3K-3-305-611/2023, 27 punktas).</w:t>
      </w:r>
    </w:p>
    <w:p w14:paraId="16B62E95" w14:textId="24C29BD8" w:rsidR="00AC6C31" w:rsidRPr="00B90650" w:rsidRDefault="002D1509" w:rsidP="00842802">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Te</w:t>
      </w:r>
      <w:r w:rsidR="00AC6C31" w:rsidRPr="00B90650">
        <w:rPr>
          <w:rFonts w:eastAsia="Times New Roman" w:cs="Times New Roman"/>
          <w:szCs w:val="24"/>
          <w:lang w:eastAsia="lt-LT"/>
        </w:rPr>
        <w:t>isėjų kolegija, remdamasi pirmiau nurodytu teisiniu reguliavimu, atsisako priimti atsakovo pateiktą naują rašytinį įrodymą ir grąžina jį atsakovui.</w:t>
      </w:r>
    </w:p>
    <w:p w14:paraId="7FE84131" w14:textId="77777777" w:rsidR="00AC6C31" w:rsidRPr="00B90650" w:rsidRDefault="00AC6C31" w:rsidP="00FD0DC4">
      <w:pPr>
        <w:spacing w:after="120" w:line="240" w:lineRule="auto"/>
        <w:ind w:firstLine="720"/>
        <w:jc w:val="both"/>
        <w:rPr>
          <w:rFonts w:eastAsia="Times New Roman" w:cs="Times New Roman"/>
          <w:szCs w:val="24"/>
          <w:lang w:eastAsia="lt-LT"/>
        </w:rPr>
      </w:pPr>
    </w:p>
    <w:p w14:paraId="6CEAE27F" w14:textId="2FFFBD9A" w:rsidR="00F77BC2" w:rsidRPr="00B90650" w:rsidRDefault="00F77BC2" w:rsidP="005D3372">
      <w:pPr>
        <w:spacing w:after="120" w:line="240" w:lineRule="auto"/>
        <w:ind w:firstLine="720"/>
        <w:jc w:val="both"/>
        <w:rPr>
          <w:rFonts w:eastAsia="Times New Roman" w:cs="Times New Roman"/>
          <w:i/>
          <w:iCs/>
          <w:szCs w:val="24"/>
          <w:lang w:eastAsia="lt-LT"/>
        </w:rPr>
      </w:pPr>
      <w:r w:rsidRPr="00B90650">
        <w:rPr>
          <w:rFonts w:eastAsia="Times New Roman" w:cs="Times New Roman"/>
          <w:i/>
          <w:iCs/>
          <w:szCs w:val="24"/>
          <w:lang w:eastAsia="lt-LT"/>
        </w:rPr>
        <w:t>Dėl CPK 95 straipsnio, reglamentuojančio baudos skyrimą už piktnaudžiavimą procesinėmis teisėmis, aiškinimo ir taikymo</w:t>
      </w:r>
    </w:p>
    <w:p w14:paraId="32EF6659" w14:textId="77777777" w:rsidR="000E1BD2" w:rsidRPr="00B90650" w:rsidRDefault="000E1BD2" w:rsidP="000E1BD2">
      <w:pPr>
        <w:spacing w:after="120" w:line="240" w:lineRule="auto"/>
        <w:ind w:firstLine="720"/>
        <w:jc w:val="both"/>
        <w:rPr>
          <w:rFonts w:eastAsia="Times New Roman" w:cs="Times New Roman"/>
          <w:szCs w:val="24"/>
          <w:lang w:eastAsia="lt-LT"/>
        </w:rPr>
      </w:pPr>
    </w:p>
    <w:p w14:paraId="7304621B" w14:textId="46BF1540" w:rsidR="00814198" w:rsidRPr="00B90650" w:rsidRDefault="00814198"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Piktnaudžiavimo procesinėmis teisėmis pagrindai ir teisinės pasekmės nurodyti CPK</w:t>
      </w:r>
      <w:r w:rsidR="0077000C" w:rsidRPr="00B90650">
        <w:rPr>
          <w:rFonts w:eastAsia="Times New Roman" w:cs="Times New Roman"/>
          <w:szCs w:val="24"/>
          <w:lang w:eastAsia="lt-LT"/>
        </w:rPr>
        <w:t> </w:t>
      </w:r>
      <w:r w:rsidRPr="00B90650">
        <w:rPr>
          <w:rFonts w:eastAsia="Times New Roman" w:cs="Times New Roman"/>
          <w:szCs w:val="24"/>
          <w:lang w:eastAsia="lt-LT"/>
        </w:rPr>
        <w:t>95</w:t>
      </w:r>
      <w:r w:rsidR="00C91199" w:rsidRPr="00B90650">
        <w:rPr>
          <w:rFonts w:eastAsia="Times New Roman" w:cs="Times New Roman"/>
          <w:szCs w:val="24"/>
          <w:lang w:eastAsia="lt-LT"/>
        </w:rPr>
        <w:t> </w:t>
      </w:r>
      <w:r w:rsidRPr="00B90650">
        <w:rPr>
          <w:rFonts w:eastAsia="Times New Roman" w:cs="Times New Roman"/>
          <w:szCs w:val="24"/>
          <w:lang w:eastAsia="lt-LT"/>
        </w:rPr>
        <w:t>straipsnyje, pagal kurio 1 dalį, dalyvaujantis byloje asmuo, kuris nesąžiningai pareiškė nepagrįstą ieškinį (apeliacinį ar kasacinį skundą, prašymą atnaujinti procesą, pateikė kitą procesinį dokumentą) arba sąmoningai veikė prieš teisingą ir greitą bylos išnagrinėjimą ir išsprendimą, gali būti teismo įpareigotas atlyginti kitam dalyvaujančiam byloje asmeniui šio patirtus nuostolius. Šio straipsnio 2 dalyje įtvirtinta, kad teismas, nustatęs šio straipsnio 1 dalyje nustatytus piktnaudžiavimo atvejus, gali paskirti dalyvaujančiam byloje asmeniui iki penkių tūkstančių eurų baudą, iki 50 procentų iš šios baudos gali būti skiriama kitam dalyvaujančiam byloje asmeniui.</w:t>
      </w:r>
    </w:p>
    <w:p w14:paraId="3EC4CF0F" w14:textId="1BC649E9" w:rsidR="00814198" w:rsidRPr="00B90650" w:rsidRDefault="00814198"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Kasacinis teismas yra nurodęs, kad piktnaudžiavimas procesinėmis teisėmis CPK 95 straipsnio prasme yra siejamas su nesąžiningu nepagrįsto ieškinio ar kito procesinio dokumento pateikimu ir sąmoningu veikimu prieš teisingą ir greitą bylos išnagrinėjimą ir išsprendimą. Šie piktnaudžiavimo procesinėmis teisėmis pripažinimo pagrindai yra savarankiški, jie nėra būtinoji vienas kito taikymo sąlyga – piktnaudžiavimui konstatuoti pakanka vieno ar kito pagrindo. Proceso įstatymo nuostatos, reglamentuojančios piktnaudžiavimo procesinėmis teisėmis pasekmes, neapibrėžia objektyvių kriterijų, pagal kuriuos būtų galima nustatyti ir spręsti, ar atitinkamas šalies ar kito dalyvaujančio byloje asmens procesinis elgesys gali būti kvalifikuotas kaip piktnaudžiavimas procesinėmis teisėmis. Vadinasi, kiekvienu konkrečiu atveju, pasitelkus individualių aplinkybių vertinimą, turi būti sprendžiama dėl asmens elgesio atitikties piktnaudžiavimo požymiams, išskirtiems CPK 95 straipsnio 1 dalyje (Lietuvos Aukščiausiojo Teismo 2019 m. gegužės 8 d. nutartis civilinėje byloje Nr. e3K-3-67-969/2019, 18 punktas).</w:t>
      </w:r>
    </w:p>
    <w:p w14:paraId="5BC7966E" w14:textId="5F6B8910" w:rsidR="00814198" w:rsidRPr="00B90650" w:rsidRDefault="00814198"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 xml:space="preserve">Civilinis procesas, be kitų principų, yra grindžiamas proceso koncentracijos ir ekonomiškumo principais (CPK 7 straipsnis). Pažymėtina, kad realus ir efektyvus šių principų veikimas yra neatsiejamas nuo pareigų, nustatytų tiek teismui, nagrinėjančiam konkrečią civilinę bylą (pvz., CPK 7 straipsnio 1 dalis, </w:t>
      </w:r>
      <w:r w:rsidR="00ED2FEB" w:rsidRPr="00B90650">
        <w:rPr>
          <w:rFonts w:eastAsia="Times New Roman" w:cs="Times New Roman"/>
          <w:szCs w:val="24"/>
          <w:lang w:eastAsia="lt-LT"/>
        </w:rPr>
        <w:t>kuria</w:t>
      </w:r>
      <w:r w:rsidRPr="00B90650">
        <w:rPr>
          <w:rFonts w:eastAsia="Times New Roman" w:cs="Times New Roman"/>
          <w:szCs w:val="24"/>
          <w:lang w:eastAsia="lt-LT"/>
        </w:rPr>
        <w:t xml:space="preserve"> teismui nustatyta pareiga siekti bylą išnagrinėti operatyviai, o bylos nagrinėjimą atidėti tik esant svarbioms aplinkybėms, dėl kurių byla negali būti tinkamai išnagrinėjama), tiek bylos šalims ir kitiems dalyvaujantiems byloje asmenims, vykdymo. Dalyvaujančių byloje asmenų pareigos, susijusios su proceso koncentracijos ir ekonomiškumo principų įgyvendinimu, bendriausia prasme yra atskleistos CPK 7 straipsnio 2 dalyje. Ši proceso įstatymo norma nurodo, jog dalyvaujantys byloje asmenys privalo sąžiningai naudotis ir nepiktnaudžiauti jiems priklausančiomis procesinėmis teisėmis, rūpintis greitu bylos išnagrinėjimu, rūpestingai ir laiku, atsižvelgdami į proceso eigą, pateikti teismui įrodymus ir argumentus, kuriais grindžiami jų reikalavimai ar atsikirtimai. Pažymėtina, kad nustatant tokias pareigas dalyvaujantiems byloje asmenims ir reikalaujant jas vykdyti įstatymų leidėjo valia yra siekiama civilinio proceso tikslų, reglamentuotų CPK 2 straipsnyje, tinkamo įgyvendinimo. </w:t>
      </w:r>
    </w:p>
    <w:p w14:paraId="3B4E81FD" w14:textId="0DE52C4B" w:rsidR="00814198" w:rsidRPr="00B90650" w:rsidRDefault="00814198"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 xml:space="preserve">Kasacinio teismo praktikoje taip pat pažymima, kad neigiami piktnaudžiavimo </w:t>
      </w:r>
      <w:r w:rsidR="00035766" w:rsidRPr="00B90650">
        <w:rPr>
          <w:rFonts w:eastAsia="Times New Roman" w:cs="Times New Roman"/>
          <w:szCs w:val="24"/>
          <w:lang w:eastAsia="lt-LT"/>
        </w:rPr>
        <w:t xml:space="preserve">procesinėmis teisėmis </w:t>
      </w:r>
      <w:r w:rsidRPr="00B90650">
        <w:rPr>
          <w:rFonts w:eastAsia="Times New Roman" w:cs="Times New Roman"/>
          <w:szCs w:val="24"/>
          <w:lang w:eastAsia="lt-LT"/>
        </w:rPr>
        <w:t xml:space="preserve">padariniai gali pasireikšti ne tik turtine žala, bet ir normalios proceso eigos sutrikdymu, dėl kurio, pavyzdžiui, tenka atidėti teismo posėdį ar padaryti pertrauką, nepateisinamu teismo ir šalių laiko eikvojimu svarstant piktnaudžiaujant teise pateiktus prašymus, byloje dalyvaujančio asmens neigiamais išgyvenimais ir kita jo neturtine žala, atsirandančia dėl procesinio </w:t>
      </w:r>
      <w:r w:rsidRPr="00B90650">
        <w:rPr>
          <w:rFonts w:eastAsia="Times New Roman" w:cs="Times New Roman"/>
          <w:szCs w:val="24"/>
          <w:lang w:eastAsia="lt-LT"/>
        </w:rPr>
        <w:lastRenderedPageBreak/>
        <w:t>piktnaudžiavimo. Todėl toks elgesys negali būti toleruojamas nepriklausomai nuo juo padaromos žalos pobūdžio (pvz., Lietuvos Aukščiausiojo Teismo 2016 m. balandžio 28 d. nutartis civilinėje byloje Nr. e3K-3-256-915/2016</w:t>
      </w:r>
      <w:r w:rsidR="00035766" w:rsidRPr="00B90650">
        <w:rPr>
          <w:rFonts w:eastAsia="Times New Roman" w:cs="Times New Roman"/>
          <w:szCs w:val="24"/>
          <w:lang w:eastAsia="lt-LT"/>
        </w:rPr>
        <w:t>, 32 punktas</w:t>
      </w:r>
      <w:r w:rsidR="00667D72" w:rsidRPr="00B90650">
        <w:rPr>
          <w:rFonts w:eastAsia="Times New Roman" w:cs="Times New Roman"/>
          <w:szCs w:val="24"/>
          <w:lang w:eastAsia="lt-LT"/>
        </w:rPr>
        <w:t>; 2025 m. vasario 27 d. nutartis civilinėje byloje Nr.</w:t>
      </w:r>
      <w:r w:rsidR="0077000C" w:rsidRPr="00B90650">
        <w:rPr>
          <w:rFonts w:eastAsia="Times New Roman" w:cs="Times New Roman"/>
          <w:szCs w:val="24"/>
          <w:lang w:eastAsia="lt-LT"/>
        </w:rPr>
        <w:t> </w:t>
      </w:r>
      <w:r w:rsidR="00667D72" w:rsidRPr="00B90650">
        <w:rPr>
          <w:rFonts w:eastAsia="Times New Roman" w:cs="Times New Roman"/>
          <w:szCs w:val="24"/>
          <w:lang w:eastAsia="lt-LT"/>
        </w:rPr>
        <w:t>e3K-3-51-916/2025, 26 punktas</w:t>
      </w:r>
      <w:r w:rsidRPr="00B90650">
        <w:rPr>
          <w:rFonts w:eastAsia="Times New Roman" w:cs="Times New Roman"/>
          <w:szCs w:val="24"/>
          <w:lang w:eastAsia="lt-LT"/>
        </w:rPr>
        <w:t>). Taigi, sprendžiant dėl CPK 95 straipsnio ir jame nurodytų sankcijų byloje dalyvaujančiam asmeniui taikymo turi būti įvertintas šio asmens procesinis elgesys – asmens veiksmai (neveikimas) bylos nagrinėjimo teisme metu. Šalies procesinis elgesys laikomas tinkamu, jeigu ji sąžiningai naudojosi procesinėmis teisėmis ir sąžiningai atliko procesines pareigas (pvz., Lietuvos Aukščiausiojo Teismo 2020 m. spalio 29 d. nutartis civilinėje byloje Nr. 3K-3-279-684/2020).</w:t>
      </w:r>
    </w:p>
    <w:p w14:paraId="1E96C6BD" w14:textId="1050EA9C" w:rsidR="00831C19" w:rsidRPr="00B90650" w:rsidRDefault="007621C3"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Byloje nustatyta, kad 2023 m. birželio 2 d. gavęs ieškinį ir išsprendęs procesinius bylos klausimus, Vilniaus regiono apylinkės teismas 2024 m. vasario 9 d. nutartimi pripažino ieškovės K. D</w:t>
      </w:r>
      <w:r w:rsidR="00873A07">
        <w:rPr>
          <w:rFonts w:eastAsia="Times New Roman" w:cs="Times New Roman"/>
          <w:szCs w:val="24"/>
          <w:lang w:eastAsia="lt-LT"/>
        </w:rPr>
        <w:t>.</w:t>
      </w:r>
      <w:r w:rsidRPr="00B90650">
        <w:rPr>
          <w:rFonts w:eastAsia="Times New Roman" w:cs="Times New Roman"/>
          <w:szCs w:val="24"/>
          <w:lang w:eastAsia="lt-LT"/>
        </w:rPr>
        <w:t xml:space="preserve"> ir trečiojo asmens G. D</w:t>
      </w:r>
      <w:r w:rsidR="00873A07">
        <w:rPr>
          <w:rFonts w:eastAsia="Times New Roman" w:cs="Times New Roman"/>
          <w:szCs w:val="24"/>
          <w:lang w:eastAsia="lt-LT"/>
        </w:rPr>
        <w:t>.</w:t>
      </w:r>
      <w:r w:rsidRPr="00B90650">
        <w:rPr>
          <w:rFonts w:eastAsia="Times New Roman" w:cs="Times New Roman"/>
          <w:szCs w:val="24"/>
          <w:lang w:eastAsia="lt-LT"/>
        </w:rPr>
        <w:t xml:space="preserve"> dalyvavimą teismo posėdyje būtinu. 2024</w:t>
      </w:r>
      <w:r w:rsidR="0077000C" w:rsidRPr="00B90650">
        <w:rPr>
          <w:rFonts w:eastAsia="Times New Roman" w:cs="Times New Roman"/>
          <w:szCs w:val="24"/>
          <w:lang w:eastAsia="lt-LT"/>
        </w:rPr>
        <w:t> </w:t>
      </w:r>
      <w:r w:rsidRPr="00B90650">
        <w:rPr>
          <w:rFonts w:eastAsia="Times New Roman" w:cs="Times New Roman"/>
          <w:szCs w:val="24"/>
          <w:lang w:eastAsia="lt-LT"/>
        </w:rPr>
        <w:t>m. kovo 7 d. nurodyti asmenys į teismo posėdį neatvyko, buvo gautas šių asmenų prašymas bylą nagrinėti nuotoliniu būdu, tačiau, atsakovų atstovams su tuo nesutikus, teismas nutarė teismo posėdį atidėti ir bylą nagrinėti teismo posėdyje dalyvaujantiems byloje asmenims tiesiogiai dalyvaujant teismo posėdyje, nenaudojant informacinių ir elektroninių ryšių technologijų. 2024</w:t>
      </w:r>
      <w:r w:rsidR="0077000C" w:rsidRPr="00B90650">
        <w:rPr>
          <w:rFonts w:eastAsia="Times New Roman" w:cs="Times New Roman"/>
          <w:szCs w:val="24"/>
          <w:lang w:eastAsia="lt-LT"/>
        </w:rPr>
        <w:t> </w:t>
      </w:r>
      <w:r w:rsidRPr="00B90650">
        <w:rPr>
          <w:rFonts w:eastAsia="Times New Roman" w:cs="Times New Roman"/>
          <w:szCs w:val="24"/>
          <w:lang w:eastAsia="lt-LT"/>
        </w:rPr>
        <w:t>m. kovo 14 d. gautas ieškovės K. D</w:t>
      </w:r>
      <w:r w:rsidR="00873A07">
        <w:rPr>
          <w:rFonts w:eastAsia="Times New Roman" w:cs="Times New Roman"/>
          <w:szCs w:val="24"/>
          <w:lang w:eastAsia="lt-LT"/>
        </w:rPr>
        <w:t>.</w:t>
      </w:r>
      <w:r w:rsidRPr="00B90650">
        <w:rPr>
          <w:rFonts w:eastAsia="Times New Roman" w:cs="Times New Roman"/>
          <w:szCs w:val="24"/>
          <w:lang w:eastAsia="lt-LT"/>
        </w:rPr>
        <w:t xml:space="preserve"> prašymas 2024 m. balandžio 19 d. teismo posėdyje bylą nagrinėti nuotoliniu būdu, tačiau šis prašymas 2024 m. kovo 22 d. teisėjo rezoliucija buvo atmestas. Į 2024 m. balandžio 19 d. vykusį teismo posėdį ieškovė K. D</w:t>
      </w:r>
      <w:r w:rsidR="00873A07">
        <w:rPr>
          <w:rFonts w:eastAsia="Times New Roman" w:cs="Times New Roman"/>
          <w:szCs w:val="24"/>
          <w:lang w:eastAsia="lt-LT"/>
        </w:rPr>
        <w:t>.</w:t>
      </w:r>
      <w:r w:rsidRPr="00B90650">
        <w:rPr>
          <w:rFonts w:eastAsia="Times New Roman" w:cs="Times New Roman"/>
          <w:szCs w:val="24"/>
          <w:lang w:eastAsia="lt-LT"/>
        </w:rPr>
        <w:t xml:space="preserve"> ir trečiasis asmuo G. D</w:t>
      </w:r>
      <w:r w:rsidR="00873A07">
        <w:rPr>
          <w:rFonts w:eastAsia="Times New Roman" w:cs="Times New Roman"/>
          <w:szCs w:val="24"/>
          <w:lang w:eastAsia="lt-LT"/>
        </w:rPr>
        <w:t>.</w:t>
      </w:r>
      <w:r w:rsidRPr="00B90650">
        <w:rPr>
          <w:rFonts w:eastAsia="Times New Roman" w:cs="Times New Roman"/>
          <w:szCs w:val="24"/>
          <w:lang w:eastAsia="lt-LT"/>
        </w:rPr>
        <w:t xml:space="preserve"> neatvyko. 2024 m. birželio 18 d. gautas trečiojo asmens G.</w:t>
      </w:r>
      <w:r w:rsidR="0077000C" w:rsidRPr="00B90650">
        <w:rPr>
          <w:rFonts w:eastAsia="Times New Roman" w:cs="Times New Roman"/>
          <w:szCs w:val="24"/>
          <w:lang w:eastAsia="lt-LT"/>
        </w:rPr>
        <w:t> </w:t>
      </w:r>
      <w:r w:rsidRPr="00B90650">
        <w:rPr>
          <w:rFonts w:eastAsia="Times New Roman" w:cs="Times New Roman"/>
          <w:szCs w:val="24"/>
          <w:lang w:eastAsia="lt-LT"/>
        </w:rPr>
        <w:t>D</w:t>
      </w:r>
      <w:r w:rsidR="00873A07">
        <w:rPr>
          <w:rFonts w:eastAsia="Times New Roman" w:cs="Times New Roman"/>
          <w:szCs w:val="24"/>
          <w:lang w:eastAsia="lt-LT"/>
        </w:rPr>
        <w:t>.</w:t>
      </w:r>
      <w:r w:rsidRPr="00B90650">
        <w:rPr>
          <w:rFonts w:eastAsia="Times New Roman" w:cs="Times New Roman"/>
          <w:szCs w:val="24"/>
          <w:lang w:eastAsia="lt-LT"/>
        </w:rPr>
        <w:t>, o 2024 m. birželio 19 d. ieškovės K. D</w:t>
      </w:r>
      <w:r w:rsidR="00873A07">
        <w:rPr>
          <w:rFonts w:eastAsia="Times New Roman" w:cs="Times New Roman"/>
          <w:szCs w:val="24"/>
          <w:lang w:eastAsia="lt-LT"/>
        </w:rPr>
        <w:t>.</w:t>
      </w:r>
      <w:r w:rsidRPr="00B90650">
        <w:rPr>
          <w:rFonts w:eastAsia="Times New Roman" w:cs="Times New Roman"/>
          <w:szCs w:val="24"/>
          <w:lang w:eastAsia="lt-LT"/>
        </w:rPr>
        <w:t xml:space="preserve"> prašymas sudaryti jiems sąlygas nuotoliniu būdu dalyvauti 2024 m. birželio 20 d. paskirtame teismo posėdyje. Teismui 2024 m. birželio 20 d. protokoline nutartimi nutarus netenkinti šių asmenų prašymo buvo nutarta bylą nagrinėti dalyvaujantiems byloje asmenims tiesiogiai dalyvaujant teismo posėdyje, nenaudojant informacinių ir elektroninių ryšių technologijų, bylos nagrinėjimas atidėtas dėl proceso šalių, kurių dalyvavimas pripažintas būtinu, neatvykimo į teismo posėdį</w:t>
      </w:r>
      <w:r w:rsidR="00267FDE" w:rsidRPr="00B90650">
        <w:rPr>
          <w:rFonts w:eastAsia="Times New Roman" w:cs="Times New Roman"/>
          <w:szCs w:val="24"/>
          <w:lang w:eastAsia="lt-LT"/>
        </w:rPr>
        <w:t xml:space="preserve">. </w:t>
      </w:r>
    </w:p>
    <w:p w14:paraId="47CEEA7E" w14:textId="3D49198F" w:rsidR="00CB1315" w:rsidRPr="00B90650" w:rsidRDefault="00CB1315"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Vilniaus regiono apylinkės teismas, išnagrinėjęs atsakovo V. V</w:t>
      </w:r>
      <w:r w:rsidR="00873A07">
        <w:rPr>
          <w:rFonts w:eastAsia="Times New Roman" w:cs="Times New Roman"/>
          <w:szCs w:val="24"/>
          <w:lang w:eastAsia="lt-LT"/>
        </w:rPr>
        <w:t>.</w:t>
      </w:r>
      <w:r w:rsidRPr="00B90650">
        <w:rPr>
          <w:rFonts w:eastAsia="Times New Roman" w:cs="Times New Roman"/>
          <w:szCs w:val="24"/>
          <w:lang w:eastAsia="lt-LT"/>
        </w:rPr>
        <w:t xml:space="preserve"> ir atsakovo R. R</w:t>
      </w:r>
      <w:r w:rsidR="00873A07">
        <w:rPr>
          <w:rFonts w:eastAsia="Times New Roman" w:cs="Times New Roman"/>
          <w:szCs w:val="24"/>
          <w:lang w:eastAsia="lt-LT"/>
        </w:rPr>
        <w:t>.</w:t>
      </w:r>
      <w:r w:rsidRPr="00B90650">
        <w:rPr>
          <w:rFonts w:eastAsia="Times New Roman" w:cs="Times New Roman"/>
          <w:szCs w:val="24"/>
          <w:lang w:eastAsia="lt-LT"/>
        </w:rPr>
        <w:t xml:space="preserve"> prašymus skirti baudas K. D</w:t>
      </w:r>
      <w:r w:rsidR="00873A07">
        <w:rPr>
          <w:rFonts w:eastAsia="Times New Roman" w:cs="Times New Roman"/>
          <w:szCs w:val="24"/>
          <w:lang w:eastAsia="lt-LT"/>
        </w:rPr>
        <w:t>.</w:t>
      </w:r>
      <w:r w:rsidRPr="00B90650">
        <w:rPr>
          <w:rFonts w:eastAsia="Times New Roman" w:cs="Times New Roman"/>
          <w:szCs w:val="24"/>
          <w:lang w:eastAsia="lt-LT"/>
        </w:rPr>
        <w:t xml:space="preserve"> ir G. D</w:t>
      </w:r>
      <w:r w:rsidR="00873A07">
        <w:rPr>
          <w:rFonts w:eastAsia="Times New Roman" w:cs="Times New Roman"/>
          <w:szCs w:val="24"/>
          <w:lang w:eastAsia="lt-LT"/>
        </w:rPr>
        <w:t>.</w:t>
      </w:r>
      <w:r w:rsidRPr="00B90650">
        <w:rPr>
          <w:rFonts w:eastAsia="Times New Roman" w:cs="Times New Roman"/>
          <w:szCs w:val="24"/>
          <w:lang w:eastAsia="lt-LT"/>
        </w:rPr>
        <w:t xml:space="preserve"> už teismo įpareigojimų nevykdymą, 2024 m. birželio 27 d. nutartimi ieškovei K. D</w:t>
      </w:r>
      <w:r w:rsidR="00873A07">
        <w:rPr>
          <w:rFonts w:eastAsia="Times New Roman" w:cs="Times New Roman"/>
          <w:szCs w:val="24"/>
          <w:lang w:eastAsia="lt-LT"/>
        </w:rPr>
        <w:t>.</w:t>
      </w:r>
      <w:r w:rsidRPr="00B90650">
        <w:rPr>
          <w:rFonts w:eastAsia="Times New Roman" w:cs="Times New Roman"/>
          <w:szCs w:val="24"/>
          <w:lang w:eastAsia="lt-LT"/>
        </w:rPr>
        <w:t xml:space="preserve"> ir trečiajam asmeniui G. D</w:t>
      </w:r>
      <w:r w:rsidR="00873A07">
        <w:rPr>
          <w:rFonts w:eastAsia="Times New Roman" w:cs="Times New Roman"/>
          <w:szCs w:val="24"/>
          <w:lang w:eastAsia="lt-LT"/>
        </w:rPr>
        <w:t>.</w:t>
      </w:r>
      <w:r w:rsidRPr="00B90650">
        <w:rPr>
          <w:rFonts w:eastAsia="Times New Roman" w:cs="Times New Roman"/>
          <w:szCs w:val="24"/>
          <w:lang w:eastAsia="lt-LT"/>
        </w:rPr>
        <w:t xml:space="preserve"> paskyrė po 100 Eur baudą kiekvienam už šių asmenų neatvykimą į 2024 m. birželio 20 d. vykusį teismo posėdį be svarbių priežasčių. Kitas teismo posėdis buvo paskirtas 2024 m. rugpjūčio 26 d., tačiau K. D</w:t>
      </w:r>
      <w:r w:rsidR="00873A07">
        <w:rPr>
          <w:rFonts w:eastAsia="Times New Roman" w:cs="Times New Roman"/>
          <w:szCs w:val="24"/>
          <w:lang w:eastAsia="lt-LT"/>
        </w:rPr>
        <w:t>.</w:t>
      </w:r>
      <w:r w:rsidRPr="00B90650">
        <w:rPr>
          <w:rFonts w:eastAsia="Times New Roman" w:cs="Times New Roman"/>
          <w:szCs w:val="24"/>
          <w:lang w:eastAsia="lt-LT"/>
        </w:rPr>
        <w:t xml:space="preserve"> ir G. D</w:t>
      </w:r>
      <w:r w:rsidR="00873A07">
        <w:rPr>
          <w:rFonts w:eastAsia="Times New Roman" w:cs="Times New Roman"/>
          <w:szCs w:val="24"/>
          <w:lang w:eastAsia="lt-LT"/>
        </w:rPr>
        <w:t>.</w:t>
      </w:r>
      <w:r w:rsidRPr="00B90650">
        <w:rPr>
          <w:rFonts w:eastAsia="Times New Roman" w:cs="Times New Roman"/>
          <w:szCs w:val="24"/>
          <w:lang w:eastAsia="lt-LT"/>
        </w:rPr>
        <w:t xml:space="preserve"> į jį taip pat neatvyko. Dėl to Vilniaus regiono apylinkės teismas 2024 m. rugsėjo 2 d. nutartimi paskyrė K.</w:t>
      </w:r>
      <w:r w:rsidR="0077000C" w:rsidRPr="00B90650">
        <w:rPr>
          <w:rFonts w:eastAsia="Times New Roman" w:cs="Times New Roman"/>
          <w:szCs w:val="24"/>
          <w:lang w:eastAsia="lt-LT"/>
        </w:rPr>
        <w:t> </w:t>
      </w:r>
      <w:r w:rsidRPr="00B90650">
        <w:rPr>
          <w:rFonts w:eastAsia="Times New Roman" w:cs="Times New Roman"/>
          <w:szCs w:val="24"/>
          <w:lang w:eastAsia="lt-LT"/>
        </w:rPr>
        <w:t>D</w:t>
      </w:r>
      <w:r w:rsidR="00873A07">
        <w:rPr>
          <w:rFonts w:eastAsia="Times New Roman" w:cs="Times New Roman"/>
          <w:szCs w:val="24"/>
          <w:lang w:eastAsia="lt-LT"/>
        </w:rPr>
        <w:t>.</w:t>
      </w:r>
      <w:r w:rsidRPr="00B90650">
        <w:rPr>
          <w:rFonts w:eastAsia="Times New Roman" w:cs="Times New Roman"/>
          <w:szCs w:val="24"/>
          <w:lang w:eastAsia="lt-LT"/>
        </w:rPr>
        <w:t xml:space="preserve"> ir G. D</w:t>
      </w:r>
      <w:r w:rsidR="00873A07">
        <w:rPr>
          <w:rFonts w:eastAsia="Times New Roman" w:cs="Times New Roman"/>
          <w:szCs w:val="24"/>
          <w:lang w:eastAsia="lt-LT"/>
        </w:rPr>
        <w:t xml:space="preserve">. </w:t>
      </w:r>
      <w:r w:rsidRPr="00B90650">
        <w:rPr>
          <w:rFonts w:eastAsia="Times New Roman" w:cs="Times New Roman"/>
          <w:szCs w:val="24"/>
          <w:lang w:eastAsia="lt-LT"/>
        </w:rPr>
        <w:t>po 300 Eur baudą, kartu išaiškino, kad baudos paskyrimas neatleidžia nuo pareigos atvykti į kitą teismo posėdį, numatytą 2024 m. rugsėjo 26 d. 14.30 val. Ieškovė ir trečiasis asmuo 2024 m. rugsėjo 26 d. pateikė teismui prašymą leisti jiems teismo posėdyje dalyvauti nuotoliniu būdu, teismas šį prašymą tenkino, tačiau K. D</w:t>
      </w:r>
      <w:r w:rsidR="00873A07">
        <w:rPr>
          <w:rFonts w:eastAsia="Times New Roman" w:cs="Times New Roman"/>
          <w:szCs w:val="24"/>
          <w:lang w:eastAsia="lt-LT"/>
        </w:rPr>
        <w:t>.</w:t>
      </w:r>
      <w:r w:rsidRPr="00B90650">
        <w:rPr>
          <w:rFonts w:eastAsia="Times New Roman" w:cs="Times New Roman"/>
          <w:szCs w:val="24"/>
          <w:lang w:eastAsia="lt-LT"/>
        </w:rPr>
        <w:t xml:space="preserve"> ir G.</w:t>
      </w:r>
      <w:r w:rsidR="0077000C" w:rsidRPr="00B90650">
        <w:rPr>
          <w:rFonts w:eastAsia="Times New Roman" w:cs="Times New Roman"/>
          <w:szCs w:val="24"/>
          <w:lang w:eastAsia="lt-LT"/>
        </w:rPr>
        <w:t> </w:t>
      </w:r>
      <w:r w:rsidRPr="00B90650">
        <w:rPr>
          <w:rFonts w:eastAsia="Times New Roman" w:cs="Times New Roman"/>
          <w:szCs w:val="24"/>
          <w:lang w:eastAsia="lt-LT"/>
        </w:rPr>
        <w:t>D</w:t>
      </w:r>
      <w:r w:rsidR="00873A07">
        <w:rPr>
          <w:rFonts w:eastAsia="Times New Roman" w:cs="Times New Roman"/>
          <w:szCs w:val="24"/>
          <w:lang w:eastAsia="lt-LT"/>
        </w:rPr>
        <w:t>.</w:t>
      </w:r>
      <w:r w:rsidRPr="00B90650">
        <w:rPr>
          <w:rFonts w:eastAsia="Times New Roman" w:cs="Times New Roman"/>
          <w:szCs w:val="24"/>
          <w:lang w:eastAsia="lt-LT"/>
        </w:rPr>
        <w:t xml:space="preserve"> 2024 m. rugsėjo 26 d., 14.30 val. paskirtame teismo posėdyje nuotoliniu būdu nedalyvavo. Vilniaus regiono apylinkės teismas, įvertinęs, kad ieškovės ir trečiojo asmens elgesys yra netinkamas, pažeidžiantis CPK nustatytus kooperacijos (bendradarbiavimo), šalių procesinio lygiateisiškumo bei proceso koncentracijos principus, kad ieškovė ir trečiasis asmuo sąmoningai veikia prieš teisingą ir greitą bylos išnagrinėjimą, 2024 m. spalio 2 d. nutartimi K.</w:t>
      </w:r>
      <w:r w:rsidR="0077000C" w:rsidRPr="00B90650">
        <w:rPr>
          <w:rFonts w:eastAsia="Times New Roman" w:cs="Times New Roman"/>
          <w:szCs w:val="24"/>
          <w:lang w:eastAsia="lt-LT"/>
        </w:rPr>
        <w:t> </w:t>
      </w:r>
      <w:r w:rsidRPr="00B90650">
        <w:rPr>
          <w:rFonts w:eastAsia="Times New Roman" w:cs="Times New Roman"/>
          <w:szCs w:val="24"/>
          <w:lang w:eastAsia="lt-LT"/>
        </w:rPr>
        <w:t>D</w:t>
      </w:r>
      <w:r w:rsidR="00873A07">
        <w:rPr>
          <w:rFonts w:eastAsia="Times New Roman" w:cs="Times New Roman"/>
          <w:szCs w:val="24"/>
          <w:lang w:eastAsia="lt-LT"/>
        </w:rPr>
        <w:t>.</w:t>
      </w:r>
      <w:r w:rsidRPr="00B90650">
        <w:rPr>
          <w:rFonts w:eastAsia="Times New Roman" w:cs="Times New Roman"/>
          <w:szCs w:val="24"/>
          <w:lang w:eastAsia="lt-LT"/>
        </w:rPr>
        <w:t xml:space="preserve"> ir G. D</w:t>
      </w:r>
      <w:r w:rsidR="00873A07">
        <w:rPr>
          <w:rFonts w:eastAsia="Times New Roman" w:cs="Times New Roman"/>
          <w:szCs w:val="24"/>
          <w:lang w:eastAsia="lt-LT"/>
        </w:rPr>
        <w:t>.</w:t>
      </w:r>
      <w:r w:rsidRPr="00B90650">
        <w:rPr>
          <w:rFonts w:eastAsia="Times New Roman" w:cs="Times New Roman"/>
          <w:szCs w:val="24"/>
          <w:lang w:eastAsia="lt-LT"/>
        </w:rPr>
        <w:t xml:space="preserve"> už piktnaudžiavimą procesinėmis teisėmis paskyrė kiekvienam po 3600 Eur baudą, šios baudos 50 procentų – 1800 Eur – lygiomis dalimis (po 600 Eur kiekvienam) paskyrė R. R</w:t>
      </w:r>
      <w:r w:rsidR="00873A07">
        <w:rPr>
          <w:rFonts w:eastAsia="Times New Roman" w:cs="Times New Roman"/>
          <w:szCs w:val="24"/>
          <w:lang w:eastAsia="lt-LT"/>
        </w:rPr>
        <w:t>.</w:t>
      </w:r>
      <w:r w:rsidRPr="00B90650">
        <w:rPr>
          <w:rFonts w:eastAsia="Times New Roman" w:cs="Times New Roman"/>
          <w:szCs w:val="24"/>
          <w:lang w:eastAsia="lt-LT"/>
        </w:rPr>
        <w:t>, V. V</w:t>
      </w:r>
      <w:r w:rsidR="00873A07">
        <w:rPr>
          <w:rFonts w:eastAsia="Times New Roman" w:cs="Times New Roman"/>
          <w:szCs w:val="24"/>
          <w:lang w:eastAsia="lt-LT"/>
        </w:rPr>
        <w:t>.</w:t>
      </w:r>
      <w:r w:rsidRPr="00B90650">
        <w:rPr>
          <w:rFonts w:eastAsia="Times New Roman" w:cs="Times New Roman"/>
          <w:szCs w:val="24"/>
          <w:lang w:eastAsia="lt-LT"/>
        </w:rPr>
        <w:t>, R. V</w:t>
      </w:r>
      <w:r w:rsidR="00873A07">
        <w:rPr>
          <w:rFonts w:eastAsia="Times New Roman" w:cs="Times New Roman"/>
          <w:szCs w:val="24"/>
          <w:lang w:eastAsia="lt-LT"/>
        </w:rPr>
        <w:t>..</w:t>
      </w:r>
    </w:p>
    <w:p w14:paraId="2C97C6BF" w14:textId="62F75F6D" w:rsidR="001D2E6F" w:rsidRPr="00B90650" w:rsidRDefault="00267FDE"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Vertindama kasacinio skundo argumentus dėl teismo paskirtos baudos pagrįstumo, teisėjų kolegija atkreipia dėmesį į tai, kad ši byla nagrinėjama nuo 2023 m. birželio 2 d.</w:t>
      </w:r>
      <w:r w:rsidR="006C12D1" w:rsidRPr="00B90650">
        <w:rPr>
          <w:rFonts w:eastAsia="Times New Roman" w:cs="Times New Roman"/>
          <w:szCs w:val="24"/>
          <w:lang w:eastAsia="lt-LT"/>
        </w:rPr>
        <w:t xml:space="preserve">, </w:t>
      </w:r>
      <w:r w:rsidRPr="00B90650">
        <w:rPr>
          <w:rFonts w:eastAsia="Times New Roman" w:cs="Times New Roman"/>
          <w:szCs w:val="24"/>
          <w:lang w:eastAsia="lt-LT"/>
        </w:rPr>
        <w:t>pirmosios instancijos teisme buvo paskirti net 5 posėdžiai</w:t>
      </w:r>
      <w:r w:rsidR="00C010EF" w:rsidRPr="00B90650">
        <w:rPr>
          <w:rFonts w:eastAsia="Times New Roman" w:cs="Times New Roman"/>
          <w:szCs w:val="24"/>
          <w:lang w:eastAsia="lt-LT"/>
        </w:rPr>
        <w:t xml:space="preserve"> (paskutinis </w:t>
      </w:r>
      <w:r w:rsidR="006C12D1" w:rsidRPr="00B90650">
        <w:rPr>
          <w:rFonts w:eastAsia="Times New Roman" w:cs="Times New Roman"/>
          <w:szCs w:val="24"/>
          <w:lang w:eastAsia="lt-LT"/>
        </w:rPr>
        <w:t xml:space="preserve">posėdis </w:t>
      </w:r>
      <w:r w:rsidR="00C010EF" w:rsidRPr="00B90650">
        <w:rPr>
          <w:rFonts w:eastAsia="Times New Roman" w:cs="Times New Roman"/>
          <w:szCs w:val="24"/>
          <w:lang w:eastAsia="lt-LT"/>
        </w:rPr>
        <w:t>ir nuotoliniu būdu)</w:t>
      </w:r>
      <w:r w:rsidRPr="00B90650">
        <w:rPr>
          <w:rFonts w:eastAsia="Times New Roman" w:cs="Times New Roman"/>
          <w:szCs w:val="24"/>
          <w:lang w:eastAsia="lt-LT"/>
        </w:rPr>
        <w:t xml:space="preserve">, kuriuose byla turėjo būti nagrinėjama iš esmės, tačiau </w:t>
      </w:r>
      <w:r w:rsidR="001D2E6F" w:rsidRPr="00B90650">
        <w:rPr>
          <w:rFonts w:eastAsia="Times New Roman" w:cs="Times New Roman"/>
          <w:szCs w:val="24"/>
          <w:lang w:eastAsia="lt-LT"/>
        </w:rPr>
        <w:t>ieškovė K. D</w:t>
      </w:r>
      <w:r w:rsidR="00873A07">
        <w:rPr>
          <w:rFonts w:eastAsia="Times New Roman" w:cs="Times New Roman"/>
          <w:szCs w:val="24"/>
          <w:lang w:eastAsia="lt-LT"/>
        </w:rPr>
        <w:t>.</w:t>
      </w:r>
      <w:r w:rsidR="001D2E6F" w:rsidRPr="00B90650">
        <w:rPr>
          <w:rFonts w:eastAsia="Times New Roman" w:cs="Times New Roman"/>
          <w:szCs w:val="24"/>
          <w:lang w:eastAsia="lt-LT"/>
        </w:rPr>
        <w:t xml:space="preserve"> ir trečiasis asmuo G.</w:t>
      </w:r>
      <w:r w:rsidR="00C91199" w:rsidRPr="00B90650">
        <w:rPr>
          <w:rFonts w:eastAsia="Times New Roman" w:cs="Times New Roman"/>
          <w:szCs w:val="24"/>
          <w:lang w:eastAsia="lt-LT"/>
        </w:rPr>
        <w:t> </w:t>
      </w:r>
      <w:r w:rsidR="001D2E6F" w:rsidRPr="00B90650">
        <w:rPr>
          <w:rFonts w:eastAsia="Times New Roman" w:cs="Times New Roman"/>
          <w:szCs w:val="24"/>
          <w:lang w:eastAsia="lt-LT"/>
        </w:rPr>
        <w:t>D</w:t>
      </w:r>
      <w:r w:rsidR="00873A07">
        <w:rPr>
          <w:rFonts w:eastAsia="Times New Roman" w:cs="Times New Roman"/>
          <w:szCs w:val="24"/>
          <w:lang w:eastAsia="lt-LT"/>
        </w:rPr>
        <w:t>.</w:t>
      </w:r>
      <w:r w:rsidR="001D2E6F" w:rsidRPr="00B90650">
        <w:rPr>
          <w:rFonts w:eastAsia="Times New Roman" w:cs="Times New Roman"/>
          <w:szCs w:val="24"/>
          <w:lang w:eastAsia="lt-LT"/>
        </w:rPr>
        <w:t xml:space="preserve"> </w:t>
      </w:r>
      <w:r w:rsidR="006C12D1" w:rsidRPr="00B90650">
        <w:rPr>
          <w:rFonts w:eastAsia="Times New Roman" w:cs="Times New Roman"/>
          <w:szCs w:val="24"/>
          <w:lang w:eastAsia="lt-LT"/>
        </w:rPr>
        <w:t xml:space="preserve">be svarbių priežasčių </w:t>
      </w:r>
      <w:r w:rsidRPr="00B90650">
        <w:rPr>
          <w:rFonts w:eastAsia="Times New Roman" w:cs="Times New Roman"/>
          <w:szCs w:val="24"/>
          <w:lang w:eastAsia="lt-LT"/>
        </w:rPr>
        <w:t xml:space="preserve">nė viename jų nedalyvavo. </w:t>
      </w:r>
      <w:r w:rsidR="001D2E6F" w:rsidRPr="00B90650">
        <w:rPr>
          <w:rFonts w:eastAsia="Times New Roman" w:cs="Times New Roman"/>
          <w:szCs w:val="24"/>
          <w:lang w:eastAsia="lt-LT"/>
        </w:rPr>
        <w:t xml:space="preserve">Nors šie asmenys, prašydami teismo panaikinti paskirtą baudą, pateikė </w:t>
      </w:r>
      <w:r w:rsidRPr="00B90650">
        <w:rPr>
          <w:rFonts w:eastAsia="Times New Roman" w:cs="Times New Roman"/>
          <w:szCs w:val="24"/>
          <w:lang w:eastAsia="lt-LT"/>
        </w:rPr>
        <w:t xml:space="preserve">į bylą </w:t>
      </w:r>
      <w:r w:rsidR="001D2E6F" w:rsidRPr="00B90650">
        <w:rPr>
          <w:rFonts w:eastAsia="Times New Roman" w:cs="Times New Roman"/>
          <w:szCs w:val="24"/>
          <w:lang w:eastAsia="lt-LT"/>
        </w:rPr>
        <w:t>įrodymus</w:t>
      </w:r>
      <w:r w:rsidR="00760607" w:rsidRPr="00B90650">
        <w:rPr>
          <w:rFonts w:eastAsia="Times New Roman" w:cs="Times New Roman"/>
          <w:szCs w:val="24"/>
          <w:lang w:eastAsia="lt-LT"/>
        </w:rPr>
        <w:t xml:space="preserve"> dėl </w:t>
      </w:r>
      <w:r w:rsidR="001D2E6F" w:rsidRPr="00B90650">
        <w:rPr>
          <w:rFonts w:eastAsia="Times New Roman" w:cs="Times New Roman"/>
          <w:szCs w:val="24"/>
          <w:lang w:eastAsia="lt-LT"/>
        </w:rPr>
        <w:t>ieškovės sveikat</w:t>
      </w:r>
      <w:r w:rsidR="00760607" w:rsidRPr="00B90650">
        <w:rPr>
          <w:rFonts w:eastAsia="Times New Roman" w:cs="Times New Roman"/>
          <w:szCs w:val="24"/>
          <w:lang w:eastAsia="lt-LT"/>
        </w:rPr>
        <w:t>os būklės</w:t>
      </w:r>
      <w:r w:rsidR="006C12D1" w:rsidRPr="00B90650">
        <w:rPr>
          <w:rFonts w:eastAsia="Times New Roman" w:cs="Times New Roman"/>
          <w:szCs w:val="24"/>
          <w:lang w:eastAsia="lt-LT"/>
        </w:rPr>
        <w:t xml:space="preserve"> teismo posėdžio, vykusio 2024 m. rugsėjo 26 d., metu,</w:t>
      </w:r>
      <w:r w:rsidR="001D2E6F" w:rsidRPr="00B90650">
        <w:rPr>
          <w:rFonts w:eastAsia="Times New Roman" w:cs="Times New Roman"/>
          <w:szCs w:val="24"/>
          <w:lang w:eastAsia="lt-LT"/>
        </w:rPr>
        <w:t xml:space="preserve"> tačiau </w:t>
      </w:r>
      <w:r w:rsidR="006C12D1" w:rsidRPr="00B90650">
        <w:rPr>
          <w:rFonts w:eastAsia="Times New Roman" w:cs="Times New Roman"/>
          <w:szCs w:val="24"/>
          <w:lang w:eastAsia="lt-LT"/>
        </w:rPr>
        <w:t xml:space="preserve">byloje </w:t>
      </w:r>
      <w:r w:rsidR="001D2E6F" w:rsidRPr="00B90650">
        <w:rPr>
          <w:rFonts w:eastAsia="Times New Roman" w:cs="Times New Roman"/>
          <w:szCs w:val="24"/>
          <w:lang w:eastAsia="lt-LT"/>
        </w:rPr>
        <w:t>nebuvo įrodyta ir pagrįsta, jog ieškovės</w:t>
      </w:r>
      <w:r w:rsidRPr="00B90650">
        <w:rPr>
          <w:rFonts w:eastAsia="Times New Roman" w:cs="Times New Roman"/>
          <w:szCs w:val="24"/>
          <w:lang w:eastAsia="lt-LT"/>
        </w:rPr>
        <w:t xml:space="preserve"> sveikatos būklė </w:t>
      </w:r>
      <w:r w:rsidR="001D2E6F" w:rsidRPr="00B90650">
        <w:rPr>
          <w:rFonts w:eastAsia="Times New Roman" w:cs="Times New Roman"/>
          <w:szCs w:val="24"/>
          <w:lang w:eastAsia="lt-LT"/>
        </w:rPr>
        <w:t xml:space="preserve">buvo </w:t>
      </w:r>
      <w:r w:rsidRPr="00B90650">
        <w:rPr>
          <w:rFonts w:eastAsia="Times New Roman" w:cs="Times New Roman"/>
          <w:szCs w:val="24"/>
          <w:lang w:eastAsia="lt-LT"/>
        </w:rPr>
        <w:t xml:space="preserve">iš tiesų </w:t>
      </w:r>
      <w:r w:rsidR="001D2E6F" w:rsidRPr="00B90650">
        <w:rPr>
          <w:rFonts w:eastAsia="Times New Roman" w:cs="Times New Roman"/>
          <w:szCs w:val="24"/>
          <w:lang w:eastAsia="lt-LT"/>
        </w:rPr>
        <w:t xml:space="preserve">tokia, kad </w:t>
      </w:r>
      <w:r w:rsidRPr="00B90650">
        <w:rPr>
          <w:rFonts w:eastAsia="Times New Roman" w:cs="Times New Roman"/>
          <w:szCs w:val="24"/>
          <w:lang w:eastAsia="lt-LT"/>
        </w:rPr>
        <w:t>trukd</w:t>
      </w:r>
      <w:r w:rsidR="001D2E6F" w:rsidRPr="00B90650">
        <w:rPr>
          <w:rFonts w:eastAsia="Times New Roman" w:cs="Times New Roman"/>
          <w:szCs w:val="24"/>
          <w:lang w:eastAsia="lt-LT"/>
        </w:rPr>
        <w:t>ė</w:t>
      </w:r>
      <w:r w:rsidRPr="00B90650">
        <w:rPr>
          <w:rFonts w:eastAsia="Times New Roman" w:cs="Times New Roman"/>
          <w:szCs w:val="24"/>
          <w:lang w:eastAsia="lt-LT"/>
        </w:rPr>
        <w:t xml:space="preserve"> </w:t>
      </w:r>
      <w:r w:rsidR="00510086" w:rsidRPr="00B90650">
        <w:rPr>
          <w:rFonts w:eastAsia="Times New Roman" w:cs="Times New Roman"/>
          <w:szCs w:val="24"/>
          <w:lang w:eastAsia="lt-LT"/>
        </w:rPr>
        <w:t>ieškovei</w:t>
      </w:r>
      <w:r w:rsidRPr="00B90650">
        <w:rPr>
          <w:rFonts w:eastAsia="Times New Roman" w:cs="Times New Roman"/>
          <w:szCs w:val="24"/>
          <w:lang w:eastAsia="lt-LT"/>
        </w:rPr>
        <w:t xml:space="preserve"> </w:t>
      </w:r>
      <w:r w:rsidR="001D2E6F" w:rsidRPr="00B90650">
        <w:rPr>
          <w:rFonts w:eastAsia="Times New Roman" w:cs="Times New Roman"/>
          <w:szCs w:val="24"/>
          <w:lang w:eastAsia="lt-LT"/>
        </w:rPr>
        <w:t xml:space="preserve">bent trumpam prisijungti ir </w:t>
      </w:r>
      <w:r w:rsidRPr="00B90650">
        <w:rPr>
          <w:rFonts w:eastAsia="Times New Roman" w:cs="Times New Roman"/>
          <w:szCs w:val="24"/>
          <w:lang w:eastAsia="lt-LT"/>
        </w:rPr>
        <w:t xml:space="preserve">dalyvauti teismo posėdyje nuotoliniu būdu. </w:t>
      </w:r>
      <w:r w:rsidR="00CB1315" w:rsidRPr="00B90650">
        <w:rPr>
          <w:rFonts w:eastAsia="Times New Roman" w:cs="Times New Roman"/>
          <w:szCs w:val="24"/>
          <w:lang w:eastAsia="lt-LT"/>
        </w:rPr>
        <w:t>T</w:t>
      </w:r>
      <w:r w:rsidR="001D2E6F" w:rsidRPr="00B90650">
        <w:rPr>
          <w:rFonts w:eastAsia="Times New Roman" w:cs="Times New Roman"/>
          <w:szCs w:val="24"/>
          <w:lang w:eastAsia="lt-LT"/>
        </w:rPr>
        <w:t>rečiojo asmens pateikti įrodymai pagrind</w:t>
      </w:r>
      <w:r w:rsidR="00760607" w:rsidRPr="00B90650">
        <w:rPr>
          <w:rFonts w:eastAsia="Times New Roman" w:cs="Times New Roman"/>
          <w:szCs w:val="24"/>
          <w:lang w:eastAsia="lt-LT"/>
        </w:rPr>
        <w:t>ė</w:t>
      </w:r>
      <w:r w:rsidR="001D2E6F" w:rsidRPr="00B90650">
        <w:rPr>
          <w:rFonts w:eastAsia="Times New Roman" w:cs="Times New Roman"/>
          <w:szCs w:val="24"/>
          <w:lang w:eastAsia="lt-LT"/>
        </w:rPr>
        <w:t xml:space="preserve"> aplinkybę tik dėl vaiko gimimo fakto, tačiau </w:t>
      </w:r>
      <w:r w:rsidR="001D2E6F" w:rsidRPr="00B90650">
        <w:rPr>
          <w:rFonts w:eastAsia="Times New Roman" w:cs="Times New Roman"/>
          <w:szCs w:val="24"/>
          <w:lang w:eastAsia="lt-LT"/>
        </w:rPr>
        <w:lastRenderedPageBreak/>
        <w:t xml:space="preserve">trečiojo asmens argumentai, kad jis </w:t>
      </w:r>
      <w:r w:rsidR="006C12D1" w:rsidRPr="00B90650">
        <w:rPr>
          <w:rFonts w:eastAsia="Times New Roman" w:cs="Times New Roman"/>
          <w:szCs w:val="24"/>
          <w:lang w:eastAsia="lt-LT"/>
        </w:rPr>
        <w:t xml:space="preserve">2024 m. rugsėjo 26 d. </w:t>
      </w:r>
      <w:r w:rsidR="001D2E6F" w:rsidRPr="00B90650">
        <w:rPr>
          <w:rFonts w:eastAsia="Times New Roman" w:cs="Times New Roman"/>
          <w:szCs w:val="24"/>
          <w:lang w:eastAsia="lt-LT"/>
        </w:rPr>
        <w:t>po 14</w:t>
      </w:r>
      <w:r w:rsidR="00C91199" w:rsidRPr="00B90650">
        <w:rPr>
          <w:rFonts w:eastAsia="Times New Roman" w:cs="Times New Roman"/>
          <w:szCs w:val="24"/>
          <w:lang w:eastAsia="lt-LT"/>
        </w:rPr>
        <w:t>.</w:t>
      </w:r>
      <w:r w:rsidR="001D2E6F" w:rsidRPr="00B90650">
        <w:rPr>
          <w:rFonts w:eastAsia="Times New Roman" w:cs="Times New Roman"/>
          <w:szCs w:val="24"/>
          <w:lang w:eastAsia="lt-LT"/>
        </w:rPr>
        <w:t xml:space="preserve">30 val. būtų apklaustas paskutinis, </w:t>
      </w:r>
      <w:r w:rsidR="006C12D1" w:rsidRPr="00B90650">
        <w:rPr>
          <w:rFonts w:eastAsia="Times New Roman" w:cs="Times New Roman"/>
          <w:szCs w:val="24"/>
          <w:lang w:eastAsia="lt-LT"/>
        </w:rPr>
        <w:t>jis nerado</w:t>
      </w:r>
      <w:r w:rsidR="001D2E6F" w:rsidRPr="00B90650">
        <w:rPr>
          <w:rFonts w:eastAsia="Times New Roman" w:cs="Times New Roman"/>
          <w:szCs w:val="24"/>
          <w:lang w:eastAsia="lt-LT"/>
        </w:rPr>
        <w:t xml:space="preserve"> tuščios patalpos, </w:t>
      </w:r>
      <w:r w:rsidR="006C12D1" w:rsidRPr="00B90650">
        <w:rPr>
          <w:rFonts w:eastAsia="Times New Roman" w:cs="Times New Roman"/>
          <w:szCs w:val="24"/>
          <w:lang w:eastAsia="lt-LT"/>
        </w:rPr>
        <w:t xml:space="preserve">kur būtų galėjęs prisijungti </w:t>
      </w:r>
      <w:r w:rsidR="005E2B3B" w:rsidRPr="00B90650">
        <w:rPr>
          <w:rFonts w:eastAsia="Times New Roman" w:cs="Times New Roman"/>
          <w:szCs w:val="24"/>
          <w:lang w:eastAsia="lt-LT"/>
        </w:rPr>
        <w:t>prie</w:t>
      </w:r>
      <w:r w:rsidR="006C12D1" w:rsidRPr="00B90650">
        <w:rPr>
          <w:rFonts w:eastAsia="Times New Roman" w:cs="Times New Roman"/>
          <w:szCs w:val="24"/>
          <w:lang w:eastAsia="lt-LT"/>
        </w:rPr>
        <w:t xml:space="preserve"> nuotolin</w:t>
      </w:r>
      <w:r w:rsidR="005E2B3B" w:rsidRPr="00B90650">
        <w:rPr>
          <w:rFonts w:eastAsia="Times New Roman" w:cs="Times New Roman"/>
          <w:szCs w:val="24"/>
          <w:lang w:eastAsia="lt-LT"/>
        </w:rPr>
        <w:t>io</w:t>
      </w:r>
      <w:r w:rsidR="006C12D1" w:rsidRPr="00B90650">
        <w:rPr>
          <w:rFonts w:eastAsia="Times New Roman" w:cs="Times New Roman"/>
          <w:szCs w:val="24"/>
          <w:lang w:eastAsia="lt-LT"/>
        </w:rPr>
        <w:t xml:space="preserve"> teismo posėd</w:t>
      </w:r>
      <w:r w:rsidR="005E2B3B" w:rsidRPr="00B90650">
        <w:rPr>
          <w:rFonts w:eastAsia="Times New Roman" w:cs="Times New Roman"/>
          <w:szCs w:val="24"/>
          <w:lang w:eastAsia="lt-LT"/>
        </w:rPr>
        <w:t>žio</w:t>
      </w:r>
      <w:r w:rsidR="006C12D1" w:rsidRPr="00B90650">
        <w:rPr>
          <w:rFonts w:eastAsia="Times New Roman" w:cs="Times New Roman"/>
          <w:szCs w:val="24"/>
          <w:lang w:eastAsia="lt-LT"/>
        </w:rPr>
        <w:t xml:space="preserve">, </w:t>
      </w:r>
      <w:r w:rsidR="00760607" w:rsidRPr="00B90650">
        <w:rPr>
          <w:rFonts w:eastAsia="Times New Roman" w:cs="Times New Roman"/>
          <w:szCs w:val="24"/>
          <w:lang w:eastAsia="lt-LT"/>
        </w:rPr>
        <w:t xml:space="preserve">realiai </w:t>
      </w:r>
      <w:r w:rsidR="001D2E6F" w:rsidRPr="00B90650">
        <w:rPr>
          <w:rFonts w:eastAsia="Times New Roman" w:cs="Times New Roman"/>
          <w:szCs w:val="24"/>
          <w:lang w:eastAsia="lt-LT"/>
        </w:rPr>
        <w:t>yra paremti tik prielaidomis ir trečiojo asmens samprotavimais.</w:t>
      </w:r>
      <w:r w:rsidR="00CB1315" w:rsidRPr="00B90650">
        <w:t xml:space="preserve"> </w:t>
      </w:r>
      <w:r w:rsidR="00CB1315" w:rsidRPr="00B90650">
        <w:rPr>
          <w:rFonts w:eastAsia="Times New Roman" w:cs="Times New Roman"/>
          <w:szCs w:val="24"/>
          <w:lang w:eastAsia="lt-LT"/>
        </w:rPr>
        <w:t>Teisėjų kolegijos vertinimu, pirmosios ir apeliacinės instancijos teismai tinkamai įvertino tiek ieškovės, tiek trečiojo asmens pateiktus įrodymus dėl priežasčių, užkirtusių kelią jiems dalyvauti 2024 m. rugsėjo 26 d. teismo posėdyje, ir pagrįstai šių priežasčių nelaikė svarbiomis (CPK 246 straipsnio 3 dalis, 347 straipsnio 3 dalis). Vertinant tokį ieškovės ir trečiojo asmens procesinį elgesį reikšminga laikytina ir ta aplinkybė, jog tokias priežastis jie nurodė ir jas patvirtinančius įrodymus pateikė tik teismui pateiktame prašyme panaikinti jiems paskirtas baudas. Toks elgesys taip pat patvirtina jų sąmoningą veikimą prieš teisingą ir greitą bylos išnagrinėjimą.</w:t>
      </w:r>
    </w:p>
    <w:p w14:paraId="760B1074" w14:textId="1E114AD8" w:rsidR="008472BE" w:rsidRPr="00B90650" w:rsidRDefault="001D2E6F"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 xml:space="preserve">Pažymėtina, kad </w:t>
      </w:r>
      <w:r w:rsidR="00267FDE" w:rsidRPr="00B90650">
        <w:rPr>
          <w:rFonts w:eastAsia="Times New Roman" w:cs="Times New Roman"/>
          <w:szCs w:val="24"/>
          <w:lang w:eastAsia="lt-LT"/>
        </w:rPr>
        <w:t>teismo posėdžiai vyko tiek nuotoliniu, tiek mišriu būdu</w:t>
      </w:r>
      <w:r w:rsidRPr="00B90650">
        <w:rPr>
          <w:rFonts w:eastAsia="Times New Roman" w:cs="Times New Roman"/>
          <w:szCs w:val="24"/>
          <w:lang w:eastAsia="lt-LT"/>
        </w:rPr>
        <w:t xml:space="preserve">, sudarant įvairias galimybes </w:t>
      </w:r>
      <w:r w:rsidR="00CB1315" w:rsidRPr="00B90650">
        <w:rPr>
          <w:rFonts w:eastAsia="Times New Roman" w:cs="Times New Roman"/>
          <w:szCs w:val="24"/>
          <w:lang w:eastAsia="lt-LT"/>
        </w:rPr>
        <w:t xml:space="preserve">dalyvaujantiems byloje </w:t>
      </w:r>
      <w:r w:rsidRPr="00B90650">
        <w:rPr>
          <w:rFonts w:eastAsia="Times New Roman" w:cs="Times New Roman"/>
          <w:szCs w:val="24"/>
          <w:lang w:eastAsia="lt-LT"/>
        </w:rPr>
        <w:t>asmenims juose dalyvauti</w:t>
      </w:r>
      <w:r w:rsidR="006C12D1" w:rsidRPr="00B90650">
        <w:rPr>
          <w:rFonts w:eastAsia="Times New Roman" w:cs="Times New Roman"/>
          <w:szCs w:val="24"/>
          <w:lang w:eastAsia="lt-LT"/>
        </w:rPr>
        <w:t xml:space="preserve">, </w:t>
      </w:r>
      <w:r w:rsidR="008472BE" w:rsidRPr="00B90650">
        <w:rPr>
          <w:rFonts w:eastAsia="Times New Roman" w:cs="Times New Roman"/>
          <w:szCs w:val="24"/>
          <w:lang w:eastAsia="lt-LT"/>
        </w:rPr>
        <w:t xml:space="preserve">byla buvo užvesta būtent ieškovės iniciatyva, o per daugiau nei metus teismas 4 kartus atidėjo bylos nagrinėjimą būtent dėl jos ir kitų jos pusėje byloje dalyvaujančių asmenų neatvykimo į teismo posėdį, </w:t>
      </w:r>
      <w:r w:rsidR="006C12D1" w:rsidRPr="00B90650">
        <w:rPr>
          <w:rFonts w:eastAsia="Times New Roman" w:cs="Times New Roman"/>
          <w:szCs w:val="24"/>
          <w:lang w:eastAsia="lt-LT"/>
        </w:rPr>
        <w:t xml:space="preserve">ieškovė ir trečiasis asmuo buvo tinkamai informuoti apie visus teismo posėdžius, tačiau iki teismo posėdžių pradžios teismui nepateikė prašymų atidėti teismo posėdžius, nenurodė jokių aplinkybių, dėl kurių objektyviai negalėtų dalyvauti ar prisijungti prie teismo posėdžio nuotoliniu būdu, o pateikti neatvykimą pateisinantys dokumentai nepagrindžia šių asmenų teiginių, kad jie veikė už koncentruotą (greitą) ir ekonomišką procesą. Esant tokioms aplinkybėms, atsižvelgiant į bylos nagrinėjimo trukmę, į šalių procesinį elgesį, </w:t>
      </w:r>
      <w:r w:rsidR="005E2B3B" w:rsidRPr="00B90650">
        <w:rPr>
          <w:rFonts w:eastAsia="Times New Roman" w:cs="Times New Roman"/>
          <w:szCs w:val="24"/>
          <w:lang w:eastAsia="lt-LT"/>
        </w:rPr>
        <w:t>taip pat</w:t>
      </w:r>
      <w:r w:rsidR="008472BE" w:rsidRPr="00B90650">
        <w:rPr>
          <w:rFonts w:eastAsia="Times New Roman" w:cs="Times New Roman"/>
          <w:szCs w:val="24"/>
          <w:lang w:eastAsia="lt-LT"/>
        </w:rPr>
        <w:t xml:space="preserve"> </w:t>
      </w:r>
      <w:r w:rsidR="006C12D1" w:rsidRPr="00B90650">
        <w:rPr>
          <w:rFonts w:eastAsia="Times New Roman" w:cs="Times New Roman"/>
          <w:szCs w:val="24"/>
          <w:lang w:eastAsia="lt-LT"/>
        </w:rPr>
        <w:t xml:space="preserve">į tai, kad visi teismo posėdžiai buvo atidėti ir neįvyko būtent dėl asmenų, kurių dalyvavimas teismo posėdyje buvo pripažintas būtinu teismo nutartimi, o 2024 m. rugsėjo 26 d. teismo posėdis buvo suorganizuotas ir nuotoliniu būdu, prieš tai ieškovei ir trečiajam asmeniui jau buvo skirtos baudos už jų neatvykimą į teismo posėdžius, vertintina, kad </w:t>
      </w:r>
      <w:r w:rsidR="008472BE" w:rsidRPr="00B90650">
        <w:rPr>
          <w:rFonts w:eastAsia="Times New Roman" w:cs="Times New Roman"/>
          <w:szCs w:val="24"/>
          <w:lang w:eastAsia="lt-LT"/>
        </w:rPr>
        <w:t xml:space="preserve">šioje byloje teismų išvada dėl ieškovės ir trečiojo asmens piktnaudžiavimo procesinėmis teisėmis ir baudos, nustatytos CPK 95 straipsnio 2 dalyje, jiems skyrimo padaryta tinkamai įvertinus visus faktinius bylos duomenis. </w:t>
      </w:r>
    </w:p>
    <w:p w14:paraId="0E0EEA0E" w14:textId="77777777" w:rsidR="00D633DB" w:rsidRPr="00B90650" w:rsidRDefault="008472BE"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 xml:space="preserve">Kasaciniame skunde dėstomi argumentai dėl </w:t>
      </w:r>
      <w:r w:rsidR="00D633DB" w:rsidRPr="00B90650">
        <w:rPr>
          <w:rFonts w:eastAsia="Times New Roman" w:cs="Times New Roman"/>
          <w:szCs w:val="24"/>
          <w:lang w:eastAsia="lt-LT"/>
        </w:rPr>
        <w:t xml:space="preserve">CPK 95 straipsnio ir 246 straipsnio 3 dalies taikymo ypatumų nesudaro pagrindo spręsti, kad teismai baudą ieškovei ir trečiajam asmeniui nepagrįstai skyrė vadovaudamiesi CPK 95 straipsniu. </w:t>
      </w:r>
    </w:p>
    <w:p w14:paraId="5CEA6435" w14:textId="3C07F679" w:rsidR="00CB7668" w:rsidRPr="00B90650" w:rsidRDefault="00CB7668"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Kasacinio teismo praktikoje nurodoma, kad CPK 95 straipsnis yra skirtas teisingo ir greito bylos išnagrinėjimo ir išsprendimo procesui užtikrinti ribojant dalyvaujančio byloje asmens nesąžiningą elgesį, kai savanaudiškai, piktnaudžiaujant gali būti veikiama prieš teisingą ir greitą bylos išnagrinėjimą (Lietuvos Aukščiausiojo Teismo 2023 m. kovo 3 d. nutartis civilinėje byloje Nr.</w:t>
      </w:r>
      <w:r w:rsidR="005E2B3B" w:rsidRPr="00B90650">
        <w:rPr>
          <w:rFonts w:eastAsia="Times New Roman" w:cs="Times New Roman"/>
          <w:szCs w:val="24"/>
          <w:lang w:eastAsia="lt-LT"/>
        </w:rPr>
        <w:t> </w:t>
      </w:r>
      <w:r w:rsidRPr="00B90650">
        <w:rPr>
          <w:rFonts w:eastAsia="Times New Roman" w:cs="Times New Roman"/>
          <w:szCs w:val="24"/>
          <w:lang w:eastAsia="lt-LT"/>
        </w:rPr>
        <w:t>e3K-3-15-421/2023, 28 punktas).</w:t>
      </w:r>
    </w:p>
    <w:p w14:paraId="27132BFC" w14:textId="1E64CC8C" w:rsidR="00CB7668" w:rsidRPr="00B90650" w:rsidRDefault="00757E1B"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R</w:t>
      </w:r>
      <w:r w:rsidR="00CB7668" w:rsidRPr="00B90650">
        <w:rPr>
          <w:rFonts w:eastAsia="Times New Roman" w:cs="Times New Roman"/>
          <w:szCs w:val="24"/>
          <w:lang w:eastAsia="lt-LT"/>
        </w:rPr>
        <w:t>emiantis CPK 246 straipsnio 3 dalimi</w:t>
      </w:r>
      <w:r w:rsidR="005E2B3B" w:rsidRPr="00B90650">
        <w:rPr>
          <w:rFonts w:eastAsia="Times New Roman" w:cs="Times New Roman"/>
          <w:szCs w:val="24"/>
          <w:lang w:eastAsia="lt-LT"/>
        </w:rPr>
        <w:t>,</w:t>
      </w:r>
      <w:r w:rsidR="00CB7668" w:rsidRPr="00B90650">
        <w:rPr>
          <w:rFonts w:eastAsia="Times New Roman" w:cs="Times New Roman"/>
          <w:szCs w:val="24"/>
          <w:lang w:eastAsia="lt-LT"/>
        </w:rPr>
        <w:t xml:space="preserve"> bauda skiriama už procesinės pareigos </w:t>
      </w:r>
      <w:r w:rsidR="00ED2FEB" w:rsidRPr="00B90650">
        <w:rPr>
          <w:rFonts w:eastAsia="Times New Roman" w:cs="Times New Roman"/>
          <w:szCs w:val="24"/>
          <w:lang w:eastAsia="lt-LT"/>
        </w:rPr>
        <w:t xml:space="preserve">nevykdymą </w:t>
      </w:r>
      <w:r w:rsidR="00CB7668" w:rsidRPr="00B90650">
        <w:rPr>
          <w:rFonts w:eastAsia="Times New Roman" w:cs="Times New Roman"/>
          <w:szCs w:val="24"/>
          <w:lang w:eastAsia="lt-LT"/>
        </w:rPr>
        <w:t xml:space="preserve">(neatvykimą į teismo posėdį), t. y. teismas, atidėdamas bylos nagrinėjimą, turi teisę neatvykusiai šaliai paskirti iki trijų šimtų eurų baudą, jeigu įstatymai nustato šios šalies pareigą dalyvauti teismo posėdyje arba teismas pripažįsta šalies dalyvavimą teismo posėdyje būtinu ir negalima sprendimo priimti už akių. </w:t>
      </w:r>
    </w:p>
    <w:p w14:paraId="7F5DC328" w14:textId="3AD9D117" w:rsidR="00CB7668" w:rsidRPr="00B90650" w:rsidRDefault="00CB7668"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CPK 95 straipsnis</w:t>
      </w:r>
      <w:r w:rsidR="00842802" w:rsidRPr="00B90650">
        <w:rPr>
          <w:rFonts w:eastAsia="Times New Roman" w:cs="Times New Roman"/>
          <w:szCs w:val="24"/>
          <w:lang w:eastAsia="lt-LT"/>
        </w:rPr>
        <w:t xml:space="preserve"> ir </w:t>
      </w:r>
      <w:r w:rsidRPr="00B90650">
        <w:rPr>
          <w:rFonts w:eastAsia="Times New Roman" w:cs="Times New Roman"/>
          <w:szCs w:val="24"/>
          <w:lang w:eastAsia="lt-LT"/>
        </w:rPr>
        <w:t xml:space="preserve">246 straipsnio 3 dalis reglamentuoja </w:t>
      </w:r>
      <w:r w:rsidR="00CB1315" w:rsidRPr="00B90650">
        <w:rPr>
          <w:rFonts w:eastAsia="Times New Roman" w:cs="Times New Roman"/>
          <w:szCs w:val="24"/>
          <w:lang w:eastAsia="lt-LT"/>
        </w:rPr>
        <w:t>procesines teisines pasekmes, nustačius, kad dalyvaujantys byloje asmenys nesąžiningai atlieka tam tikrus procesinius veiksmus, nevykdo procesinių pareigų arba sąmoningai veikia prieš teisingą ir greitą bylos išnagrinėjimą ir išsprendimą</w:t>
      </w:r>
      <w:r w:rsidRPr="00B90650">
        <w:rPr>
          <w:rFonts w:eastAsia="Times New Roman" w:cs="Times New Roman"/>
          <w:szCs w:val="24"/>
          <w:lang w:eastAsia="lt-LT"/>
        </w:rPr>
        <w:t xml:space="preserve">. CPK 95 straipsnis taikomas ir bauda skiriama, kai nustatomas piktnaudžiavimas procesinėmis teisėmis arba veikimas prieš </w:t>
      </w:r>
      <w:r w:rsidR="00CB1315" w:rsidRPr="00B90650">
        <w:rPr>
          <w:rFonts w:eastAsia="Times New Roman" w:cs="Times New Roman"/>
          <w:szCs w:val="24"/>
          <w:lang w:eastAsia="lt-LT"/>
        </w:rPr>
        <w:t xml:space="preserve">teisingą ir </w:t>
      </w:r>
      <w:r w:rsidRPr="00B90650">
        <w:rPr>
          <w:rFonts w:eastAsia="Times New Roman" w:cs="Times New Roman"/>
          <w:szCs w:val="24"/>
          <w:lang w:eastAsia="lt-LT"/>
        </w:rPr>
        <w:t xml:space="preserve">greitą bylos </w:t>
      </w:r>
      <w:r w:rsidR="00CB1315" w:rsidRPr="00B90650">
        <w:rPr>
          <w:rFonts w:eastAsia="Times New Roman" w:cs="Times New Roman"/>
          <w:szCs w:val="24"/>
          <w:lang w:eastAsia="lt-LT"/>
        </w:rPr>
        <w:t>iš</w:t>
      </w:r>
      <w:r w:rsidRPr="00B90650">
        <w:rPr>
          <w:rFonts w:eastAsia="Times New Roman" w:cs="Times New Roman"/>
          <w:szCs w:val="24"/>
          <w:lang w:eastAsia="lt-LT"/>
        </w:rPr>
        <w:t>nagrinėjimą</w:t>
      </w:r>
      <w:r w:rsidR="00CB1315" w:rsidRPr="00B90650">
        <w:rPr>
          <w:rFonts w:eastAsia="Times New Roman" w:cs="Times New Roman"/>
          <w:szCs w:val="24"/>
          <w:lang w:eastAsia="lt-LT"/>
        </w:rPr>
        <w:t xml:space="preserve"> ir išsprendimą</w:t>
      </w:r>
      <w:r w:rsidRPr="00B90650">
        <w:rPr>
          <w:rFonts w:eastAsia="Times New Roman" w:cs="Times New Roman"/>
          <w:szCs w:val="24"/>
          <w:lang w:eastAsia="lt-LT"/>
        </w:rPr>
        <w:t>. CPK 246 straipsnio 3 dalis taikoma, kai neįvykdoma konkreti teismo nurodyta pareiga šaliai, kurios dalyvavimas teismo posėdyje pripažintas būtinu, dalyvauti teismo posėdyje</w:t>
      </w:r>
      <w:r w:rsidR="00B95DA6" w:rsidRPr="00B90650">
        <w:rPr>
          <w:rFonts w:eastAsia="Times New Roman" w:cs="Times New Roman"/>
          <w:szCs w:val="24"/>
          <w:lang w:eastAsia="lt-LT"/>
        </w:rPr>
        <w:t xml:space="preserve"> (žr., pvz., Lietuvos Aukščiausiojo Teismo 2025 m. vasario 27 d. nutart</w:t>
      </w:r>
      <w:r w:rsidR="005E2B3B" w:rsidRPr="00B90650">
        <w:rPr>
          <w:rFonts w:eastAsia="Times New Roman" w:cs="Times New Roman"/>
          <w:szCs w:val="24"/>
          <w:lang w:eastAsia="lt-LT"/>
        </w:rPr>
        <w:t>ies</w:t>
      </w:r>
      <w:r w:rsidR="00B95DA6" w:rsidRPr="00B90650">
        <w:rPr>
          <w:rFonts w:eastAsia="Times New Roman" w:cs="Times New Roman"/>
          <w:szCs w:val="24"/>
          <w:lang w:eastAsia="lt-LT"/>
        </w:rPr>
        <w:t xml:space="preserve"> civilinėje byloje Nr.</w:t>
      </w:r>
      <w:r w:rsidR="005E2B3B" w:rsidRPr="00B90650">
        <w:rPr>
          <w:rFonts w:eastAsia="Times New Roman" w:cs="Times New Roman"/>
          <w:szCs w:val="24"/>
          <w:lang w:eastAsia="lt-LT"/>
        </w:rPr>
        <w:t> </w:t>
      </w:r>
      <w:r w:rsidR="00B95DA6" w:rsidRPr="00B90650">
        <w:rPr>
          <w:rFonts w:eastAsia="Times New Roman" w:cs="Times New Roman"/>
          <w:szCs w:val="24"/>
          <w:lang w:eastAsia="lt-LT"/>
        </w:rPr>
        <w:t>e3K-3-51-916/2025 32 punktą)</w:t>
      </w:r>
      <w:r w:rsidRPr="00B90650">
        <w:rPr>
          <w:rFonts w:eastAsia="Times New Roman" w:cs="Times New Roman"/>
          <w:szCs w:val="24"/>
          <w:lang w:eastAsia="lt-LT"/>
        </w:rPr>
        <w:t>.</w:t>
      </w:r>
      <w:r w:rsidR="00CB1315" w:rsidRPr="00B90650">
        <w:t xml:space="preserve"> </w:t>
      </w:r>
      <w:r w:rsidR="00CB1315" w:rsidRPr="00B90650">
        <w:rPr>
          <w:rFonts w:eastAsia="Times New Roman" w:cs="Times New Roman"/>
          <w:szCs w:val="24"/>
          <w:lang w:eastAsia="lt-LT"/>
        </w:rPr>
        <w:t xml:space="preserve">Teisėjų kolegijos vertinimu, nurodytose proceso teisės normose įtvirtintos teisinės pasekmės gali būti taikomos nustačius jų taikymui reikšmingus kriterijus. Paprastai už pavienius neatvykimus į teismo posėdį dalyvaujantiems byloje asmenims taikoma bauda </w:t>
      </w:r>
      <w:r w:rsidR="00CB1315" w:rsidRPr="00B90650">
        <w:rPr>
          <w:rFonts w:eastAsia="Times New Roman" w:cs="Times New Roman"/>
          <w:szCs w:val="24"/>
          <w:lang w:eastAsia="lt-LT"/>
        </w:rPr>
        <w:lastRenderedPageBreak/>
        <w:t>(CPK</w:t>
      </w:r>
      <w:r w:rsidR="0077000C" w:rsidRPr="00B90650">
        <w:rPr>
          <w:rFonts w:eastAsia="Times New Roman" w:cs="Times New Roman"/>
          <w:szCs w:val="24"/>
          <w:lang w:eastAsia="lt-LT"/>
        </w:rPr>
        <w:t> </w:t>
      </w:r>
      <w:r w:rsidR="00CB1315" w:rsidRPr="00B90650">
        <w:rPr>
          <w:rFonts w:eastAsia="Times New Roman" w:cs="Times New Roman"/>
          <w:szCs w:val="24"/>
          <w:lang w:eastAsia="lt-LT"/>
        </w:rPr>
        <w:t>246 straipsnio 3 dalis, 247 straipsnio 3 dalis), tačiau nustačius, jog dalyvaujančių asmenų neatvykimas į teismo posėdžius yra pasikartojantis, tokie asmenys vengia atvykti į teismo posėdžius net ir teismui taikius procesines sankcijas (baudas pagal CPK 246 ir 247 straipsnį), priežasčių, trukdančių jiems atvykti į teismo posėdžius nenurodymas, jas patvirtinančių įrodymų nepateikimas arba pavėluotas pateikimas, gali būti pagrindas tokį dalyvaujančių asmenų elgesį vertinti kaip piktnaudžiavimą procesu – sąmoningą veikimą prieš teisingą ir greitą bylos išnagrinėjimą ir išsprendimą.</w:t>
      </w:r>
    </w:p>
    <w:p w14:paraId="49FD2B75" w14:textId="7CDF9013" w:rsidR="001B5994" w:rsidRPr="00B90650" w:rsidRDefault="00CB1315"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I</w:t>
      </w:r>
      <w:r w:rsidR="00CB7668" w:rsidRPr="00B90650">
        <w:rPr>
          <w:rFonts w:eastAsia="Times New Roman" w:cs="Times New Roman"/>
          <w:szCs w:val="24"/>
          <w:lang w:eastAsia="lt-LT"/>
        </w:rPr>
        <w:t>eškovei K. D</w:t>
      </w:r>
      <w:r w:rsidR="00873A07">
        <w:rPr>
          <w:rFonts w:eastAsia="Times New Roman" w:cs="Times New Roman"/>
          <w:szCs w:val="24"/>
          <w:lang w:eastAsia="lt-LT"/>
        </w:rPr>
        <w:t>.</w:t>
      </w:r>
      <w:r w:rsidR="00CB7668" w:rsidRPr="00B90650">
        <w:rPr>
          <w:rFonts w:eastAsia="Times New Roman" w:cs="Times New Roman"/>
          <w:szCs w:val="24"/>
          <w:lang w:eastAsia="lt-LT"/>
        </w:rPr>
        <w:t xml:space="preserve"> ir </w:t>
      </w:r>
      <w:r w:rsidR="00510086" w:rsidRPr="00B90650">
        <w:rPr>
          <w:rFonts w:eastAsia="Times New Roman" w:cs="Times New Roman"/>
          <w:szCs w:val="24"/>
          <w:lang w:eastAsia="lt-LT"/>
        </w:rPr>
        <w:t xml:space="preserve">trečiajam asmeniui </w:t>
      </w:r>
      <w:r w:rsidR="00CB7668" w:rsidRPr="00B90650">
        <w:rPr>
          <w:rFonts w:eastAsia="Times New Roman" w:cs="Times New Roman"/>
          <w:szCs w:val="24"/>
          <w:lang w:eastAsia="lt-LT"/>
        </w:rPr>
        <w:t>G. D</w:t>
      </w:r>
      <w:r w:rsidR="00873A07">
        <w:rPr>
          <w:rFonts w:eastAsia="Times New Roman" w:cs="Times New Roman"/>
          <w:szCs w:val="24"/>
          <w:lang w:eastAsia="lt-LT"/>
        </w:rPr>
        <w:t>.</w:t>
      </w:r>
      <w:r w:rsidR="00CB7668" w:rsidRPr="00B90650">
        <w:rPr>
          <w:rFonts w:eastAsia="Times New Roman" w:cs="Times New Roman"/>
          <w:szCs w:val="24"/>
          <w:lang w:eastAsia="lt-LT"/>
        </w:rPr>
        <w:t xml:space="preserve"> </w:t>
      </w:r>
      <w:r w:rsidR="00D633DB" w:rsidRPr="00B90650">
        <w:rPr>
          <w:rFonts w:eastAsia="Times New Roman" w:cs="Times New Roman"/>
          <w:szCs w:val="24"/>
          <w:lang w:eastAsia="lt-LT"/>
        </w:rPr>
        <w:t xml:space="preserve">bauda </w:t>
      </w:r>
      <w:r w:rsidR="00CB7668" w:rsidRPr="00B90650">
        <w:rPr>
          <w:rFonts w:eastAsia="Times New Roman" w:cs="Times New Roman"/>
          <w:szCs w:val="24"/>
          <w:lang w:eastAsia="lt-LT"/>
        </w:rPr>
        <w:t xml:space="preserve">Vilniaus regiono apylinkės teismo 2024 m. spalio 2 d. nutartimi buvo </w:t>
      </w:r>
      <w:r w:rsidR="00D633DB" w:rsidRPr="00B90650">
        <w:rPr>
          <w:rFonts w:eastAsia="Times New Roman" w:cs="Times New Roman"/>
          <w:szCs w:val="24"/>
          <w:lang w:eastAsia="lt-LT"/>
        </w:rPr>
        <w:t xml:space="preserve">paskirta ne dėl </w:t>
      </w:r>
      <w:r w:rsidR="00CB7668" w:rsidRPr="00B90650">
        <w:rPr>
          <w:rFonts w:eastAsia="Times New Roman" w:cs="Times New Roman"/>
          <w:szCs w:val="24"/>
          <w:lang w:eastAsia="lt-LT"/>
        </w:rPr>
        <w:t xml:space="preserve">šių asmenų </w:t>
      </w:r>
      <w:r w:rsidR="00D633DB" w:rsidRPr="00B90650">
        <w:rPr>
          <w:rFonts w:eastAsia="Times New Roman" w:cs="Times New Roman"/>
          <w:szCs w:val="24"/>
          <w:lang w:eastAsia="lt-LT"/>
        </w:rPr>
        <w:t xml:space="preserve">neatvykimo į </w:t>
      </w:r>
      <w:r w:rsidRPr="00B90650">
        <w:rPr>
          <w:rFonts w:eastAsia="Times New Roman" w:cs="Times New Roman"/>
          <w:szCs w:val="24"/>
          <w:lang w:eastAsia="lt-LT"/>
        </w:rPr>
        <w:t>2024</w:t>
      </w:r>
      <w:r w:rsidR="0077000C" w:rsidRPr="00B90650">
        <w:rPr>
          <w:rFonts w:eastAsia="Times New Roman" w:cs="Times New Roman"/>
          <w:szCs w:val="24"/>
          <w:lang w:eastAsia="lt-LT"/>
        </w:rPr>
        <w:t> </w:t>
      </w:r>
      <w:r w:rsidRPr="00B90650">
        <w:rPr>
          <w:rFonts w:eastAsia="Times New Roman" w:cs="Times New Roman"/>
          <w:szCs w:val="24"/>
          <w:lang w:eastAsia="lt-LT"/>
        </w:rPr>
        <w:t xml:space="preserve">m. rugsėjo 26 d. </w:t>
      </w:r>
      <w:r w:rsidR="00D633DB" w:rsidRPr="00B90650">
        <w:rPr>
          <w:rFonts w:eastAsia="Times New Roman" w:cs="Times New Roman"/>
          <w:szCs w:val="24"/>
          <w:lang w:eastAsia="lt-LT"/>
        </w:rPr>
        <w:t xml:space="preserve">teismo posėdį, </w:t>
      </w:r>
      <w:r w:rsidRPr="00B90650">
        <w:rPr>
          <w:rFonts w:eastAsia="Times New Roman" w:cs="Times New Roman"/>
          <w:szCs w:val="24"/>
          <w:lang w:eastAsia="lt-LT"/>
        </w:rPr>
        <w:t>bet dėl jų sąmoningo v</w:t>
      </w:r>
      <w:r w:rsidR="00D633DB" w:rsidRPr="00B90650">
        <w:rPr>
          <w:rFonts w:eastAsia="Times New Roman" w:cs="Times New Roman"/>
          <w:szCs w:val="24"/>
          <w:lang w:eastAsia="lt-LT"/>
        </w:rPr>
        <w:t xml:space="preserve">eikimo prieš </w:t>
      </w:r>
      <w:r w:rsidRPr="00B90650">
        <w:rPr>
          <w:rFonts w:eastAsia="Times New Roman" w:cs="Times New Roman"/>
          <w:szCs w:val="24"/>
          <w:lang w:eastAsia="lt-LT"/>
        </w:rPr>
        <w:t xml:space="preserve">teisingą ir greitą bylos </w:t>
      </w:r>
      <w:r w:rsidR="00D633DB" w:rsidRPr="00B90650">
        <w:rPr>
          <w:rFonts w:eastAsia="Times New Roman" w:cs="Times New Roman"/>
          <w:szCs w:val="24"/>
          <w:lang w:eastAsia="lt-LT"/>
        </w:rPr>
        <w:t>išnagrinėjimą</w:t>
      </w:r>
      <w:r w:rsidRPr="00B90650">
        <w:rPr>
          <w:rFonts w:eastAsia="Times New Roman" w:cs="Times New Roman"/>
          <w:szCs w:val="24"/>
          <w:lang w:eastAsia="lt-LT"/>
        </w:rPr>
        <w:t xml:space="preserve"> ir išsprendimą</w:t>
      </w:r>
      <w:r w:rsidR="00D633DB" w:rsidRPr="00B90650">
        <w:rPr>
          <w:rFonts w:eastAsia="Times New Roman" w:cs="Times New Roman"/>
          <w:szCs w:val="24"/>
          <w:lang w:eastAsia="lt-LT"/>
        </w:rPr>
        <w:t xml:space="preserve">. Byloje paskyrus keletą teismo posėdžių, ieškovė ir trečiasis asmuo sąmoningai nevykdė teismo jiems nustatytos pareigos dalyvauti teismo posėdžiuose, už tokios pareigos nevykdymą asmenims </w:t>
      </w:r>
      <w:r w:rsidR="00CB7668" w:rsidRPr="00B90650">
        <w:rPr>
          <w:rFonts w:eastAsia="Times New Roman" w:cs="Times New Roman"/>
          <w:szCs w:val="24"/>
          <w:lang w:eastAsia="lt-LT"/>
        </w:rPr>
        <w:t xml:space="preserve">kelis kartus jau </w:t>
      </w:r>
      <w:r w:rsidR="00D633DB" w:rsidRPr="00B90650">
        <w:rPr>
          <w:rFonts w:eastAsia="Times New Roman" w:cs="Times New Roman"/>
          <w:szCs w:val="24"/>
          <w:lang w:eastAsia="lt-LT"/>
        </w:rPr>
        <w:t xml:space="preserve">buvo skirtos baudos vadovaujantis </w:t>
      </w:r>
      <w:r w:rsidR="00C0247F" w:rsidRPr="00B90650">
        <w:rPr>
          <w:rFonts w:eastAsia="Times New Roman" w:cs="Times New Roman"/>
          <w:szCs w:val="24"/>
          <w:lang w:eastAsia="lt-LT"/>
        </w:rPr>
        <w:t>CPK</w:t>
      </w:r>
      <w:r w:rsidR="0077000C" w:rsidRPr="00B90650">
        <w:rPr>
          <w:rFonts w:eastAsia="Times New Roman" w:cs="Times New Roman"/>
          <w:szCs w:val="24"/>
          <w:lang w:eastAsia="lt-LT"/>
        </w:rPr>
        <w:t> </w:t>
      </w:r>
      <w:r w:rsidR="00C0247F" w:rsidRPr="00B90650">
        <w:rPr>
          <w:rFonts w:eastAsia="Times New Roman" w:cs="Times New Roman"/>
          <w:szCs w:val="24"/>
          <w:lang w:eastAsia="lt-LT"/>
        </w:rPr>
        <w:t>246</w:t>
      </w:r>
      <w:r w:rsidR="0077000C" w:rsidRPr="00B90650">
        <w:rPr>
          <w:rFonts w:eastAsia="Times New Roman" w:cs="Times New Roman"/>
          <w:szCs w:val="24"/>
          <w:lang w:eastAsia="lt-LT"/>
        </w:rPr>
        <w:t> </w:t>
      </w:r>
      <w:r w:rsidR="00C0247F" w:rsidRPr="00B90650">
        <w:rPr>
          <w:rFonts w:eastAsia="Times New Roman" w:cs="Times New Roman"/>
          <w:szCs w:val="24"/>
          <w:lang w:eastAsia="lt-LT"/>
        </w:rPr>
        <w:t>straipsnio 3 dalies ir 247 straipsnio 3 dalies nuostatomis, tačiau tokios procesinės sankcijos nebuvo veiksmingos. I</w:t>
      </w:r>
      <w:r w:rsidR="00D633DB" w:rsidRPr="00B90650">
        <w:rPr>
          <w:rFonts w:eastAsia="Times New Roman" w:cs="Times New Roman"/>
          <w:szCs w:val="24"/>
          <w:lang w:eastAsia="lt-LT"/>
        </w:rPr>
        <w:t>eškov</w:t>
      </w:r>
      <w:r w:rsidR="00C0247F" w:rsidRPr="00B90650">
        <w:rPr>
          <w:rFonts w:eastAsia="Times New Roman" w:cs="Times New Roman"/>
          <w:szCs w:val="24"/>
          <w:lang w:eastAsia="lt-LT"/>
        </w:rPr>
        <w:t>ė</w:t>
      </w:r>
      <w:r w:rsidR="00D633DB" w:rsidRPr="00B90650">
        <w:rPr>
          <w:rFonts w:eastAsia="Times New Roman" w:cs="Times New Roman"/>
          <w:szCs w:val="24"/>
          <w:lang w:eastAsia="lt-LT"/>
        </w:rPr>
        <w:t xml:space="preserve"> ir trečia</w:t>
      </w:r>
      <w:r w:rsidR="00C0247F" w:rsidRPr="00B90650">
        <w:rPr>
          <w:rFonts w:eastAsia="Times New Roman" w:cs="Times New Roman"/>
          <w:szCs w:val="24"/>
          <w:lang w:eastAsia="lt-LT"/>
        </w:rPr>
        <w:t>sis</w:t>
      </w:r>
      <w:r w:rsidR="00D633DB" w:rsidRPr="00B90650">
        <w:rPr>
          <w:rFonts w:eastAsia="Times New Roman" w:cs="Times New Roman"/>
          <w:szCs w:val="24"/>
          <w:lang w:eastAsia="lt-LT"/>
        </w:rPr>
        <w:t xml:space="preserve"> asm</w:t>
      </w:r>
      <w:r w:rsidR="00C0247F" w:rsidRPr="00B90650">
        <w:rPr>
          <w:rFonts w:eastAsia="Times New Roman" w:cs="Times New Roman"/>
          <w:szCs w:val="24"/>
          <w:lang w:eastAsia="lt-LT"/>
        </w:rPr>
        <w:t>uo</w:t>
      </w:r>
      <w:r w:rsidR="00D633DB" w:rsidRPr="00B90650">
        <w:rPr>
          <w:rFonts w:eastAsia="Times New Roman" w:cs="Times New Roman"/>
          <w:szCs w:val="24"/>
          <w:lang w:eastAsia="lt-LT"/>
        </w:rPr>
        <w:t xml:space="preserve"> </w:t>
      </w:r>
      <w:r w:rsidR="00C0247F" w:rsidRPr="00B90650">
        <w:rPr>
          <w:rFonts w:eastAsia="Times New Roman" w:cs="Times New Roman"/>
          <w:szCs w:val="24"/>
          <w:lang w:eastAsia="lt-LT"/>
        </w:rPr>
        <w:t xml:space="preserve">pakartotinai </w:t>
      </w:r>
      <w:r w:rsidR="00D633DB" w:rsidRPr="00B90650">
        <w:rPr>
          <w:rFonts w:eastAsia="Times New Roman" w:cs="Times New Roman"/>
          <w:szCs w:val="24"/>
          <w:lang w:eastAsia="lt-LT"/>
        </w:rPr>
        <w:t>neatvyk</w:t>
      </w:r>
      <w:r w:rsidR="00C0247F" w:rsidRPr="00B90650">
        <w:rPr>
          <w:rFonts w:eastAsia="Times New Roman" w:cs="Times New Roman"/>
          <w:szCs w:val="24"/>
          <w:lang w:eastAsia="lt-LT"/>
        </w:rPr>
        <w:t>o</w:t>
      </w:r>
      <w:r w:rsidR="00D633DB" w:rsidRPr="00B90650">
        <w:rPr>
          <w:rFonts w:eastAsia="Times New Roman" w:cs="Times New Roman"/>
          <w:szCs w:val="24"/>
          <w:lang w:eastAsia="lt-LT"/>
        </w:rPr>
        <w:t xml:space="preserve"> į teismo posėd</w:t>
      </w:r>
      <w:r w:rsidR="001B5994" w:rsidRPr="00B90650">
        <w:rPr>
          <w:rFonts w:eastAsia="Times New Roman" w:cs="Times New Roman"/>
          <w:szCs w:val="24"/>
          <w:lang w:eastAsia="lt-LT"/>
        </w:rPr>
        <w:t>žius</w:t>
      </w:r>
      <w:r w:rsidR="00D633DB" w:rsidRPr="00B90650">
        <w:rPr>
          <w:rFonts w:eastAsia="Times New Roman" w:cs="Times New Roman"/>
          <w:szCs w:val="24"/>
          <w:lang w:eastAsia="lt-LT"/>
        </w:rPr>
        <w:t xml:space="preserve"> be sv</w:t>
      </w:r>
      <w:r w:rsidR="001B5994" w:rsidRPr="00B90650">
        <w:rPr>
          <w:rFonts w:eastAsia="Times New Roman" w:cs="Times New Roman"/>
          <w:szCs w:val="24"/>
          <w:lang w:eastAsia="lt-LT"/>
        </w:rPr>
        <w:t>a</w:t>
      </w:r>
      <w:r w:rsidR="00D633DB" w:rsidRPr="00B90650">
        <w:rPr>
          <w:rFonts w:eastAsia="Times New Roman" w:cs="Times New Roman"/>
          <w:szCs w:val="24"/>
          <w:lang w:eastAsia="lt-LT"/>
        </w:rPr>
        <w:t xml:space="preserve">rbių priežasčių, taip pat net ir tenkinus jų prašymą dėl teismo posėdžio vykdymo </w:t>
      </w:r>
      <w:r w:rsidR="00C0247F" w:rsidRPr="00B90650">
        <w:rPr>
          <w:rFonts w:eastAsia="Times New Roman" w:cs="Times New Roman"/>
          <w:szCs w:val="24"/>
          <w:lang w:eastAsia="lt-LT"/>
        </w:rPr>
        <w:t xml:space="preserve">jiems priimtinu – </w:t>
      </w:r>
      <w:r w:rsidR="00D633DB" w:rsidRPr="00B90650">
        <w:rPr>
          <w:rFonts w:eastAsia="Times New Roman" w:cs="Times New Roman"/>
          <w:szCs w:val="24"/>
          <w:lang w:eastAsia="lt-LT"/>
        </w:rPr>
        <w:t>nuotoliniu</w:t>
      </w:r>
      <w:r w:rsidR="00C0247F" w:rsidRPr="00B90650">
        <w:rPr>
          <w:rFonts w:eastAsia="Times New Roman" w:cs="Times New Roman"/>
          <w:szCs w:val="24"/>
          <w:lang w:eastAsia="lt-LT"/>
        </w:rPr>
        <w:t xml:space="preserve"> – </w:t>
      </w:r>
      <w:r w:rsidR="00D633DB" w:rsidRPr="00B90650">
        <w:rPr>
          <w:rFonts w:eastAsia="Times New Roman" w:cs="Times New Roman"/>
          <w:szCs w:val="24"/>
          <w:lang w:eastAsia="lt-LT"/>
        </w:rPr>
        <w:t xml:space="preserve">būdu, </w:t>
      </w:r>
      <w:r w:rsidR="005E2B3B" w:rsidRPr="00B90650">
        <w:rPr>
          <w:rFonts w:eastAsia="Times New Roman" w:cs="Times New Roman"/>
          <w:szCs w:val="24"/>
          <w:lang w:eastAsia="lt-LT"/>
        </w:rPr>
        <w:t>b</w:t>
      </w:r>
      <w:r w:rsidR="00C0247F" w:rsidRPr="00B90650">
        <w:rPr>
          <w:rFonts w:eastAsia="Times New Roman" w:cs="Times New Roman"/>
          <w:szCs w:val="24"/>
          <w:lang w:eastAsia="lt-LT"/>
        </w:rPr>
        <w:t>et ir po tokios galimybės sudarymo, jie teismo posėdyje nedalyvavo, svarbių priežasčių, užkirtusių kelią jiems dalyvauti teismo posėdyje, ir jas patvirtinančių dokumentų iki teismo posėdžio pradžios nepateikė. To</w:t>
      </w:r>
      <w:r w:rsidR="00D633DB" w:rsidRPr="00B90650">
        <w:rPr>
          <w:rFonts w:eastAsia="Times New Roman" w:cs="Times New Roman"/>
          <w:szCs w:val="24"/>
          <w:lang w:eastAsia="lt-LT"/>
        </w:rPr>
        <w:t xml:space="preserve">ks </w:t>
      </w:r>
      <w:r w:rsidR="00C0247F" w:rsidRPr="00B90650">
        <w:rPr>
          <w:rFonts w:eastAsia="Times New Roman" w:cs="Times New Roman"/>
          <w:szCs w:val="24"/>
          <w:lang w:eastAsia="lt-LT"/>
        </w:rPr>
        <w:t>d</w:t>
      </w:r>
      <w:r w:rsidR="001B5994" w:rsidRPr="00B90650">
        <w:rPr>
          <w:rFonts w:eastAsia="Times New Roman" w:cs="Times New Roman"/>
          <w:szCs w:val="24"/>
          <w:lang w:eastAsia="lt-LT"/>
        </w:rPr>
        <w:t xml:space="preserve">alyvaujančių </w:t>
      </w:r>
      <w:r w:rsidR="00C0247F" w:rsidRPr="00B90650">
        <w:rPr>
          <w:rFonts w:eastAsia="Times New Roman" w:cs="Times New Roman"/>
          <w:szCs w:val="24"/>
          <w:lang w:eastAsia="lt-LT"/>
        </w:rPr>
        <w:t xml:space="preserve">byloje </w:t>
      </w:r>
      <w:r w:rsidR="001B5994" w:rsidRPr="00B90650">
        <w:rPr>
          <w:rFonts w:eastAsia="Times New Roman" w:cs="Times New Roman"/>
          <w:szCs w:val="24"/>
          <w:lang w:eastAsia="lt-LT"/>
        </w:rPr>
        <w:t xml:space="preserve">asmenų </w:t>
      </w:r>
      <w:r w:rsidR="00D633DB" w:rsidRPr="00B90650">
        <w:rPr>
          <w:rFonts w:eastAsia="Times New Roman" w:cs="Times New Roman"/>
          <w:szCs w:val="24"/>
          <w:lang w:eastAsia="lt-LT"/>
        </w:rPr>
        <w:t xml:space="preserve">elgesys </w:t>
      </w:r>
      <w:r w:rsidR="00C0247F" w:rsidRPr="00B90650">
        <w:rPr>
          <w:rFonts w:eastAsia="Times New Roman" w:cs="Times New Roman"/>
          <w:szCs w:val="24"/>
          <w:lang w:eastAsia="lt-LT"/>
        </w:rPr>
        <w:t xml:space="preserve">pirmosios ir apeliacinės instancijos </w:t>
      </w:r>
      <w:r w:rsidR="00CB7668" w:rsidRPr="00B90650">
        <w:rPr>
          <w:rFonts w:eastAsia="Times New Roman" w:cs="Times New Roman"/>
          <w:szCs w:val="24"/>
          <w:lang w:eastAsia="lt-LT"/>
        </w:rPr>
        <w:t xml:space="preserve">teismų </w:t>
      </w:r>
      <w:r w:rsidR="00C0247F" w:rsidRPr="00B90650">
        <w:rPr>
          <w:rFonts w:eastAsia="Times New Roman" w:cs="Times New Roman"/>
          <w:szCs w:val="24"/>
          <w:lang w:eastAsia="lt-LT"/>
        </w:rPr>
        <w:t xml:space="preserve">pagrįstai buvo </w:t>
      </w:r>
      <w:r w:rsidR="00ED2FEB" w:rsidRPr="00B90650">
        <w:rPr>
          <w:rFonts w:eastAsia="Times New Roman" w:cs="Times New Roman"/>
          <w:szCs w:val="24"/>
          <w:lang w:eastAsia="lt-LT"/>
        </w:rPr>
        <w:t xml:space="preserve">pripažintas </w:t>
      </w:r>
      <w:r w:rsidR="00D633DB" w:rsidRPr="00B90650">
        <w:rPr>
          <w:rFonts w:eastAsia="Times New Roman" w:cs="Times New Roman"/>
          <w:szCs w:val="24"/>
          <w:lang w:eastAsia="lt-LT"/>
        </w:rPr>
        <w:t>piktnaudžiavim</w:t>
      </w:r>
      <w:r w:rsidR="00C0247F" w:rsidRPr="00B90650">
        <w:rPr>
          <w:rFonts w:eastAsia="Times New Roman" w:cs="Times New Roman"/>
          <w:szCs w:val="24"/>
          <w:lang w:eastAsia="lt-LT"/>
        </w:rPr>
        <w:t>u</w:t>
      </w:r>
      <w:r w:rsidR="00D633DB" w:rsidRPr="00B90650">
        <w:rPr>
          <w:rFonts w:eastAsia="Times New Roman" w:cs="Times New Roman"/>
          <w:szCs w:val="24"/>
          <w:lang w:eastAsia="lt-LT"/>
        </w:rPr>
        <w:t xml:space="preserve"> procesinėmis teisėmis, t. y. </w:t>
      </w:r>
      <w:r w:rsidR="00C0247F" w:rsidRPr="00B90650">
        <w:rPr>
          <w:rFonts w:eastAsia="Times New Roman" w:cs="Times New Roman"/>
          <w:szCs w:val="24"/>
          <w:lang w:eastAsia="lt-LT"/>
        </w:rPr>
        <w:t>jų sąmoningu veikimu prieš teisingą ir greitą bylos išnagrinėjimą ir išsprendimą (CPK 95 straipsnio 1 dalis)</w:t>
      </w:r>
      <w:r w:rsidR="00D633DB" w:rsidRPr="00B90650">
        <w:rPr>
          <w:rFonts w:eastAsia="Times New Roman" w:cs="Times New Roman"/>
          <w:szCs w:val="24"/>
          <w:lang w:eastAsia="lt-LT"/>
        </w:rPr>
        <w:t xml:space="preserve">. </w:t>
      </w:r>
    </w:p>
    <w:p w14:paraId="4F213599" w14:textId="77777777" w:rsidR="008472BE" w:rsidRPr="00B90650" w:rsidRDefault="008472BE" w:rsidP="00267FDE">
      <w:pPr>
        <w:spacing w:after="120" w:line="240" w:lineRule="auto"/>
        <w:ind w:firstLine="720"/>
        <w:jc w:val="both"/>
        <w:rPr>
          <w:rFonts w:eastAsia="Times New Roman" w:cs="Times New Roman"/>
          <w:i/>
          <w:iCs/>
          <w:szCs w:val="24"/>
          <w:lang w:eastAsia="lt-LT"/>
        </w:rPr>
      </w:pPr>
    </w:p>
    <w:p w14:paraId="746FCECF" w14:textId="77777777" w:rsidR="00BC392D" w:rsidRPr="00B90650" w:rsidRDefault="00BC392D" w:rsidP="00BC392D">
      <w:pPr>
        <w:spacing w:after="120" w:line="240" w:lineRule="auto"/>
        <w:ind w:firstLine="720"/>
        <w:jc w:val="both"/>
        <w:rPr>
          <w:rFonts w:eastAsia="Times New Roman" w:cs="Times New Roman"/>
          <w:i/>
          <w:iCs/>
          <w:szCs w:val="24"/>
          <w:lang w:eastAsia="lt-LT"/>
        </w:rPr>
      </w:pPr>
      <w:r w:rsidRPr="00B90650">
        <w:rPr>
          <w:rFonts w:eastAsia="Times New Roman" w:cs="Times New Roman"/>
          <w:i/>
          <w:iCs/>
          <w:szCs w:val="24"/>
          <w:lang w:eastAsia="lt-LT"/>
        </w:rPr>
        <w:t xml:space="preserve">Dėl bylos procesinės baigties  </w:t>
      </w:r>
    </w:p>
    <w:p w14:paraId="1F777B5A" w14:textId="77777777" w:rsidR="00BC392D" w:rsidRPr="00B90650" w:rsidRDefault="00BC392D" w:rsidP="00267FDE">
      <w:pPr>
        <w:spacing w:after="120" w:line="240" w:lineRule="auto"/>
        <w:ind w:firstLine="720"/>
        <w:jc w:val="both"/>
        <w:rPr>
          <w:rFonts w:eastAsia="Times New Roman" w:cs="Times New Roman"/>
          <w:i/>
          <w:iCs/>
          <w:szCs w:val="24"/>
          <w:lang w:eastAsia="lt-LT"/>
        </w:rPr>
      </w:pPr>
    </w:p>
    <w:p w14:paraId="6FC521E9" w14:textId="53ED0122" w:rsidR="00BC392D" w:rsidRPr="00B90650" w:rsidRDefault="00C0247F"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 xml:space="preserve">Teisėjų kolegija, apibendrindama nutartyje nurodytus motyvus, konstatuoja, kad bylą nagrinėję pirmosios ir apeliacinės instancijos teismai tinkamai įvertino ieškovės ir trečiojo asmens procesinį elgesį, padarė pagrįstą išvadą apie sąmoningą ieškovės ir trečiojo asmens veikimą prieš teisingą ir greitą bylos išnagrinėjimą ir išsprendimą (CPK 95 straipsnio 1 dalis), ir pagrįstai jiems skyrė </w:t>
      </w:r>
      <w:r w:rsidR="00910326" w:rsidRPr="00B90650">
        <w:rPr>
          <w:rFonts w:eastAsia="Times New Roman" w:cs="Times New Roman"/>
          <w:szCs w:val="24"/>
          <w:lang w:eastAsia="lt-LT"/>
        </w:rPr>
        <w:t>bauda</w:t>
      </w:r>
      <w:r w:rsidRPr="00B90650">
        <w:rPr>
          <w:rFonts w:eastAsia="Times New Roman" w:cs="Times New Roman"/>
          <w:szCs w:val="24"/>
          <w:lang w:eastAsia="lt-LT"/>
        </w:rPr>
        <w:t>s</w:t>
      </w:r>
      <w:r w:rsidR="00BC392D" w:rsidRPr="00B90650">
        <w:rPr>
          <w:rFonts w:eastAsia="Times New Roman" w:cs="Times New Roman"/>
          <w:szCs w:val="24"/>
          <w:lang w:eastAsia="lt-LT"/>
        </w:rPr>
        <w:t>.</w:t>
      </w:r>
    </w:p>
    <w:p w14:paraId="533E53E4" w14:textId="393A0607" w:rsidR="00910326" w:rsidRPr="00B90650" w:rsidRDefault="00BC392D" w:rsidP="00F4075D">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Teisėjų kolegija, teisės taikymo aspektu patikrinusi apskųstą apeliacinės instancijos teismo nutartį, konstatuoja, kad pagrindo ją pakeisti ar panaikinti remiantis kasacinio skundo argumentais nenustatyta, todėl apeliacinės instancijos teismo nutartis paliktina nepakeista (CPK 346 straipsnis, 359 straipsnio 1 dalies 1 punktas).</w:t>
      </w:r>
    </w:p>
    <w:p w14:paraId="41DB12DD" w14:textId="096585BF" w:rsidR="00910326" w:rsidRPr="00B90650" w:rsidRDefault="00910326" w:rsidP="00267FDE">
      <w:pPr>
        <w:spacing w:after="120" w:line="240" w:lineRule="auto"/>
        <w:ind w:firstLine="720"/>
        <w:jc w:val="both"/>
        <w:rPr>
          <w:rFonts w:eastAsia="Times New Roman" w:cs="Times New Roman"/>
          <w:szCs w:val="24"/>
          <w:lang w:eastAsia="lt-LT"/>
        </w:rPr>
      </w:pPr>
    </w:p>
    <w:p w14:paraId="1D6AEFA2" w14:textId="7320BE53" w:rsidR="00D07781" w:rsidRPr="00B90650" w:rsidRDefault="00D07781" w:rsidP="00D07781">
      <w:pPr>
        <w:spacing w:after="120" w:line="240" w:lineRule="auto"/>
        <w:ind w:firstLine="720"/>
        <w:jc w:val="both"/>
        <w:rPr>
          <w:rFonts w:eastAsia="Times New Roman" w:cs="Times New Roman"/>
          <w:i/>
          <w:iCs/>
          <w:szCs w:val="24"/>
          <w:lang w:eastAsia="lt-LT"/>
        </w:rPr>
      </w:pPr>
      <w:r w:rsidRPr="00B90650">
        <w:rPr>
          <w:rFonts w:eastAsia="Times New Roman" w:cs="Times New Roman"/>
          <w:i/>
          <w:iCs/>
          <w:szCs w:val="24"/>
          <w:lang w:eastAsia="lt-LT"/>
        </w:rPr>
        <w:t xml:space="preserve">Dėl bylinėjimosi išlaidų atlyginimo  </w:t>
      </w:r>
    </w:p>
    <w:p w14:paraId="2A77E502" w14:textId="77777777" w:rsidR="00D07781" w:rsidRPr="00B90650" w:rsidRDefault="00D07781" w:rsidP="00D07781">
      <w:pPr>
        <w:spacing w:after="120" w:line="240" w:lineRule="auto"/>
        <w:ind w:firstLine="720"/>
        <w:jc w:val="both"/>
        <w:rPr>
          <w:rFonts w:eastAsia="Times New Roman" w:cs="Times New Roman"/>
          <w:szCs w:val="24"/>
          <w:lang w:eastAsia="lt-LT"/>
        </w:rPr>
      </w:pPr>
    </w:p>
    <w:p w14:paraId="3FCDDAC0" w14:textId="60996225" w:rsidR="00D07781" w:rsidRPr="00B90650" w:rsidRDefault="00D96067" w:rsidP="00743073">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Atmetus ieškovės K. D</w:t>
      </w:r>
      <w:r w:rsidR="00873A07">
        <w:rPr>
          <w:rFonts w:eastAsia="Times New Roman" w:cs="Times New Roman"/>
          <w:szCs w:val="24"/>
          <w:lang w:eastAsia="lt-LT"/>
        </w:rPr>
        <w:t>.</w:t>
      </w:r>
      <w:r w:rsidRPr="00B90650">
        <w:rPr>
          <w:rFonts w:eastAsia="Times New Roman" w:cs="Times New Roman"/>
          <w:szCs w:val="24"/>
          <w:lang w:eastAsia="lt-LT"/>
        </w:rPr>
        <w:t xml:space="preserve"> ir trečiojo asmens G. D</w:t>
      </w:r>
      <w:r w:rsidR="00873A07">
        <w:rPr>
          <w:rFonts w:eastAsia="Times New Roman" w:cs="Times New Roman"/>
          <w:szCs w:val="24"/>
          <w:lang w:eastAsia="lt-LT"/>
        </w:rPr>
        <w:t xml:space="preserve">. </w:t>
      </w:r>
      <w:r w:rsidRPr="00B90650">
        <w:rPr>
          <w:rFonts w:eastAsia="Times New Roman" w:cs="Times New Roman"/>
          <w:szCs w:val="24"/>
          <w:lang w:eastAsia="lt-LT"/>
        </w:rPr>
        <w:t>kasacinį skundą, jų patirtos bylinėjimosi išlaidos kasaciniame teisme neatlyginamos. Atsiliepimą</w:t>
      </w:r>
      <w:r w:rsidR="00743073" w:rsidRPr="00B90650">
        <w:rPr>
          <w:rFonts w:eastAsia="Times New Roman" w:cs="Times New Roman"/>
          <w:szCs w:val="24"/>
          <w:lang w:eastAsia="lt-LT"/>
        </w:rPr>
        <w:t xml:space="preserve"> </w:t>
      </w:r>
      <w:r w:rsidRPr="00B90650">
        <w:rPr>
          <w:rFonts w:eastAsia="Times New Roman" w:cs="Times New Roman"/>
          <w:szCs w:val="24"/>
          <w:lang w:eastAsia="lt-LT"/>
        </w:rPr>
        <w:t>į kasacinį skundą pateikę atsakovai R. R</w:t>
      </w:r>
      <w:r w:rsidR="00873A07">
        <w:rPr>
          <w:rFonts w:eastAsia="Times New Roman" w:cs="Times New Roman"/>
          <w:szCs w:val="24"/>
          <w:lang w:eastAsia="lt-LT"/>
        </w:rPr>
        <w:t>.</w:t>
      </w:r>
      <w:r w:rsidRPr="00B90650">
        <w:rPr>
          <w:rFonts w:eastAsia="Times New Roman" w:cs="Times New Roman"/>
          <w:szCs w:val="24"/>
          <w:lang w:eastAsia="lt-LT"/>
        </w:rPr>
        <w:t xml:space="preserve"> ir V. V</w:t>
      </w:r>
      <w:r w:rsidR="00873A07">
        <w:rPr>
          <w:rFonts w:eastAsia="Times New Roman" w:cs="Times New Roman"/>
          <w:szCs w:val="24"/>
          <w:lang w:eastAsia="lt-LT"/>
        </w:rPr>
        <w:t>.</w:t>
      </w:r>
      <w:r w:rsidRPr="00B90650">
        <w:rPr>
          <w:rFonts w:eastAsia="Times New Roman" w:cs="Times New Roman"/>
          <w:szCs w:val="24"/>
          <w:lang w:eastAsia="lt-LT"/>
        </w:rPr>
        <w:t xml:space="preserve"> neprašo priteisti bylinėjimosi išlaidų atlyginimo, todėl šis klausimas nespręstinas.</w:t>
      </w:r>
    </w:p>
    <w:p w14:paraId="6DAD7BCA" w14:textId="358656D2" w:rsidR="00D52F62" w:rsidRPr="00B90650" w:rsidRDefault="00D07781" w:rsidP="00762B17">
      <w:pPr>
        <w:numPr>
          <w:ilvl w:val="0"/>
          <w:numId w:val="1"/>
        </w:numPr>
        <w:spacing w:after="120" w:line="240" w:lineRule="auto"/>
        <w:ind w:left="357" w:hanging="357"/>
        <w:jc w:val="both"/>
        <w:rPr>
          <w:rFonts w:eastAsia="Times New Roman" w:cs="Times New Roman"/>
          <w:szCs w:val="24"/>
          <w:lang w:eastAsia="lt-LT"/>
        </w:rPr>
      </w:pPr>
      <w:r w:rsidRPr="00B90650">
        <w:rPr>
          <w:rFonts w:eastAsia="Times New Roman" w:cs="Times New Roman"/>
          <w:szCs w:val="24"/>
          <w:lang w:eastAsia="lt-LT"/>
        </w:rPr>
        <w:t>Kasaciniame teisme išlaidų, susijusių su procesinių dokumentų įteikimu, nepatirta.</w:t>
      </w:r>
    </w:p>
    <w:p w14:paraId="053DC28A" w14:textId="77777777" w:rsidR="00D07781" w:rsidRPr="00B90650" w:rsidRDefault="00D07781" w:rsidP="00D07781">
      <w:pPr>
        <w:spacing w:after="120" w:line="240" w:lineRule="auto"/>
        <w:ind w:firstLine="720"/>
        <w:jc w:val="both"/>
        <w:rPr>
          <w:rFonts w:eastAsia="Times New Roman" w:cs="Times New Roman"/>
          <w:szCs w:val="24"/>
          <w:lang w:eastAsia="lt-LT"/>
        </w:rPr>
      </w:pPr>
    </w:p>
    <w:p w14:paraId="2D5CD46B" w14:textId="59ED057B" w:rsidR="00D07781" w:rsidRPr="00B90650" w:rsidRDefault="00D07781" w:rsidP="00D07781">
      <w:pPr>
        <w:spacing w:after="120" w:line="240" w:lineRule="auto"/>
        <w:ind w:firstLine="720"/>
        <w:jc w:val="both"/>
        <w:rPr>
          <w:rFonts w:eastAsia="Times New Roman" w:cs="Times New Roman"/>
          <w:szCs w:val="24"/>
          <w:lang w:eastAsia="lt-LT"/>
        </w:rPr>
      </w:pPr>
      <w:r w:rsidRPr="00B90650">
        <w:rPr>
          <w:rFonts w:eastAsia="Times New Roman" w:cs="Times New Roman"/>
          <w:szCs w:val="24"/>
          <w:lang w:eastAsia="lt-LT"/>
        </w:rPr>
        <w:t>Lietuvos Aukščiausiojo Teismo Civilinių bylų skyriaus teisėjų kolegija, vadovaudamasi Lietuvos Respublikos civilinio proceso kodekso</w:t>
      </w:r>
      <w:r w:rsidR="005B583F" w:rsidRPr="00B90650">
        <w:t xml:space="preserve"> </w:t>
      </w:r>
      <w:r w:rsidRPr="00B90650">
        <w:rPr>
          <w:rFonts w:eastAsia="Times New Roman" w:cs="Times New Roman"/>
          <w:szCs w:val="24"/>
          <w:lang w:eastAsia="lt-LT"/>
        </w:rPr>
        <w:t xml:space="preserve">359 straipsnio 1 dalies </w:t>
      </w:r>
      <w:r w:rsidR="00084749" w:rsidRPr="00B90650">
        <w:rPr>
          <w:rFonts w:eastAsia="Times New Roman" w:cs="Times New Roman"/>
          <w:szCs w:val="24"/>
          <w:lang w:eastAsia="lt-LT"/>
        </w:rPr>
        <w:t>1</w:t>
      </w:r>
      <w:r w:rsidR="003F47FA" w:rsidRPr="00B90650">
        <w:rPr>
          <w:rFonts w:eastAsia="Times New Roman" w:cs="Times New Roman"/>
          <w:szCs w:val="24"/>
          <w:lang w:eastAsia="lt-LT"/>
        </w:rPr>
        <w:t> </w:t>
      </w:r>
      <w:r w:rsidRPr="00B90650">
        <w:rPr>
          <w:rFonts w:eastAsia="Times New Roman" w:cs="Times New Roman"/>
          <w:szCs w:val="24"/>
          <w:lang w:eastAsia="lt-LT"/>
        </w:rPr>
        <w:t>punktu, 362 straipsnio 1</w:t>
      </w:r>
      <w:r w:rsidR="005E2B3B" w:rsidRPr="00B90650">
        <w:rPr>
          <w:rFonts w:eastAsia="Times New Roman" w:cs="Times New Roman"/>
          <w:szCs w:val="24"/>
          <w:lang w:eastAsia="lt-LT"/>
        </w:rPr>
        <w:t> </w:t>
      </w:r>
      <w:r w:rsidRPr="00B90650">
        <w:rPr>
          <w:rFonts w:eastAsia="Times New Roman" w:cs="Times New Roman"/>
          <w:szCs w:val="24"/>
          <w:lang w:eastAsia="lt-LT"/>
        </w:rPr>
        <w:t>dalimi,</w:t>
      </w:r>
    </w:p>
    <w:p w14:paraId="5D4DCDC2" w14:textId="77777777" w:rsidR="00D07781" w:rsidRPr="00B90650" w:rsidRDefault="00D07781" w:rsidP="00423772">
      <w:pPr>
        <w:spacing w:after="0" w:line="240" w:lineRule="auto"/>
        <w:ind w:firstLine="720"/>
        <w:jc w:val="both"/>
        <w:rPr>
          <w:rFonts w:eastAsia="Times New Roman" w:cs="Times New Roman"/>
          <w:szCs w:val="24"/>
          <w:lang w:eastAsia="lt-LT"/>
        </w:rPr>
      </w:pPr>
    </w:p>
    <w:p w14:paraId="0CDB70DC" w14:textId="77777777" w:rsidR="00D07781" w:rsidRPr="00B90650" w:rsidRDefault="00D07781" w:rsidP="00423772">
      <w:pPr>
        <w:spacing w:after="0" w:line="240" w:lineRule="auto"/>
        <w:ind w:firstLine="720"/>
        <w:jc w:val="both"/>
        <w:rPr>
          <w:rFonts w:eastAsia="Times New Roman" w:cs="Times New Roman"/>
          <w:szCs w:val="24"/>
          <w:lang w:eastAsia="lt-LT"/>
        </w:rPr>
      </w:pPr>
      <w:r w:rsidRPr="00B90650">
        <w:rPr>
          <w:rFonts w:eastAsia="Times New Roman" w:cs="Times New Roman"/>
          <w:szCs w:val="24"/>
          <w:lang w:eastAsia="lt-LT"/>
        </w:rPr>
        <w:t>n u t a r i a :</w:t>
      </w:r>
    </w:p>
    <w:p w14:paraId="5985522E" w14:textId="77777777" w:rsidR="00D07781" w:rsidRPr="00B90650" w:rsidRDefault="00D07781" w:rsidP="00423772">
      <w:pPr>
        <w:spacing w:after="0" w:line="240" w:lineRule="auto"/>
        <w:ind w:firstLine="720"/>
        <w:jc w:val="both"/>
        <w:rPr>
          <w:rFonts w:eastAsia="Times New Roman" w:cs="Times New Roman"/>
          <w:szCs w:val="24"/>
          <w:lang w:eastAsia="lt-LT"/>
        </w:rPr>
      </w:pPr>
    </w:p>
    <w:p w14:paraId="612FF538" w14:textId="707CBD40" w:rsidR="002D1509" w:rsidRPr="00B90650" w:rsidRDefault="002D1509" w:rsidP="009F34F1">
      <w:pPr>
        <w:spacing w:after="0" w:line="240" w:lineRule="auto"/>
        <w:ind w:firstLine="720"/>
        <w:jc w:val="both"/>
        <w:rPr>
          <w:rFonts w:eastAsia="Times New Roman" w:cs="Times New Roman"/>
          <w:szCs w:val="24"/>
          <w:lang w:eastAsia="lt-LT"/>
        </w:rPr>
      </w:pPr>
      <w:r w:rsidRPr="00B90650">
        <w:rPr>
          <w:rFonts w:eastAsia="Times New Roman" w:cs="Times New Roman"/>
          <w:szCs w:val="24"/>
          <w:lang w:eastAsia="lt-LT"/>
        </w:rPr>
        <w:t>Atsisakyti priimti atsakovo R</w:t>
      </w:r>
      <w:r w:rsidR="00873A07">
        <w:rPr>
          <w:rFonts w:eastAsia="Times New Roman" w:cs="Times New Roman"/>
          <w:szCs w:val="24"/>
          <w:lang w:eastAsia="lt-LT"/>
        </w:rPr>
        <w:t>.</w:t>
      </w:r>
      <w:r w:rsidRPr="00B90650">
        <w:rPr>
          <w:rFonts w:eastAsia="Times New Roman" w:cs="Times New Roman"/>
          <w:szCs w:val="24"/>
          <w:lang w:eastAsia="lt-LT"/>
        </w:rPr>
        <w:t xml:space="preserve"> R</w:t>
      </w:r>
      <w:r w:rsidR="00873A07">
        <w:rPr>
          <w:rFonts w:eastAsia="Times New Roman" w:cs="Times New Roman"/>
          <w:szCs w:val="24"/>
          <w:lang w:eastAsia="lt-LT"/>
        </w:rPr>
        <w:t>.</w:t>
      </w:r>
      <w:r w:rsidRPr="00B90650">
        <w:rPr>
          <w:rFonts w:eastAsia="Times New Roman" w:cs="Times New Roman"/>
          <w:szCs w:val="24"/>
          <w:lang w:eastAsia="lt-LT"/>
        </w:rPr>
        <w:t xml:space="preserve"> pateiktą naują įrodymą ir grąžinti šį įrodymą jį pateikusiam asmeniui. </w:t>
      </w:r>
    </w:p>
    <w:p w14:paraId="1391D7AA" w14:textId="36471CFD" w:rsidR="009E59FB" w:rsidRPr="00B90650" w:rsidRDefault="000638FD" w:rsidP="009F34F1">
      <w:pPr>
        <w:spacing w:after="0" w:line="240" w:lineRule="auto"/>
        <w:ind w:firstLine="720"/>
        <w:jc w:val="both"/>
        <w:rPr>
          <w:rFonts w:eastAsia="Times New Roman" w:cs="Times New Roman"/>
          <w:szCs w:val="24"/>
          <w:lang w:eastAsia="lt-LT"/>
        </w:rPr>
      </w:pPr>
      <w:r w:rsidRPr="00B90650">
        <w:rPr>
          <w:rFonts w:eastAsia="Times New Roman" w:cs="Times New Roman"/>
          <w:szCs w:val="24"/>
          <w:lang w:eastAsia="lt-LT"/>
        </w:rPr>
        <w:t xml:space="preserve">Vilniaus apygardos teismo 2025 m. sausio 23 d. nutartį </w:t>
      </w:r>
      <w:r w:rsidR="00084749" w:rsidRPr="00B90650">
        <w:rPr>
          <w:rFonts w:eastAsia="Times New Roman" w:cs="Times New Roman"/>
          <w:szCs w:val="24"/>
          <w:lang w:eastAsia="lt-LT"/>
        </w:rPr>
        <w:t>palikti nepakeistą</w:t>
      </w:r>
      <w:r w:rsidR="00FD00C4" w:rsidRPr="00B90650">
        <w:rPr>
          <w:rFonts w:eastAsia="Times New Roman" w:cs="Times New Roman"/>
          <w:szCs w:val="24"/>
          <w:lang w:eastAsia="lt-LT"/>
        </w:rPr>
        <w:t>.</w:t>
      </w:r>
    </w:p>
    <w:p w14:paraId="25640769" w14:textId="77777777" w:rsidR="00D07781" w:rsidRPr="00B90650" w:rsidRDefault="00D07781" w:rsidP="009F34F1">
      <w:pPr>
        <w:spacing w:after="0" w:line="240" w:lineRule="auto"/>
        <w:ind w:firstLine="720"/>
        <w:jc w:val="both"/>
        <w:rPr>
          <w:rFonts w:eastAsia="Times New Roman" w:cs="Times New Roman"/>
          <w:szCs w:val="24"/>
          <w:lang w:eastAsia="lt-LT"/>
        </w:rPr>
      </w:pPr>
      <w:r w:rsidRPr="00B90650">
        <w:rPr>
          <w:rFonts w:eastAsia="Times New Roman" w:cs="Times New Roman"/>
          <w:szCs w:val="24"/>
          <w:lang w:eastAsia="lt-LT"/>
        </w:rPr>
        <w:t>Ši Lietuvos Aukščiausiojo Teismo nutartis yra galutinė, neskundžiama ir įsiteisėja nuo priėmimo dienos.</w:t>
      </w:r>
    </w:p>
    <w:p w14:paraId="097D0FAE" w14:textId="77777777" w:rsidR="00D07781" w:rsidRPr="00B90650" w:rsidRDefault="00D07781" w:rsidP="00D07781">
      <w:pPr>
        <w:spacing w:after="120" w:line="240" w:lineRule="auto"/>
        <w:ind w:firstLine="720"/>
        <w:jc w:val="both"/>
        <w:rPr>
          <w:rFonts w:eastAsia="Times New Roman" w:cs="Times New Roman"/>
          <w:szCs w:val="24"/>
          <w:lang w:eastAsia="lt-LT"/>
        </w:rPr>
      </w:pPr>
    </w:p>
    <w:p w14:paraId="0BC1DCF1" w14:textId="30763ABD" w:rsidR="00C02BAC" w:rsidRPr="00B90650" w:rsidRDefault="00C02BAC" w:rsidP="00C02BAC">
      <w:pPr>
        <w:rPr>
          <w:szCs w:val="24"/>
        </w:rPr>
      </w:pPr>
      <w:bookmarkStart w:id="3" w:name="_Hlk72834038"/>
      <w:r w:rsidRPr="00B90650">
        <w:rPr>
          <w:szCs w:val="24"/>
        </w:rPr>
        <w:t>Teisėj</w:t>
      </w:r>
      <w:r w:rsidR="004B4D61" w:rsidRPr="00B90650">
        <w:rPr>
          <w:szCs w:val="24"/>
        </w:rPr>
        <w:t xml:space="preserve">ai </w:t>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r>
      <w:r w:rsidRPr="00B90650">
        <w:rPr>
          <w:szCs w:val="24"/>
        </w:rPr>
        <w:tab/>
        <w:t>Goda Ambrasaitė-Balynienė</w:t>
      </w:r>
    </w:p>
    <w:p w14:paraId="2745B78F" w14:textId="77777777" w:rsidR="00C02BAC" w:rsidRPr="00B90650" w:rsidRDefault="00C02BAC" w:rsidP="00C02BAC">
      <w:pPr>
        <w:rPr>
          <w:szCs w:val="24"/>
        </w:rPr>
      </w:pPr>
    </w:p>
    <w:p w14:paraId="17E63B9C" w14:textId="77777777" w:rsidR="002266DA" w:rsidRPr="00B90650" w:rsidRDefault="002266DA" w:rsidP="00C02BAC">
      <w:pPr>
        <w:ind w:left="6480"/>
        <w:rPr>
          <w:szCs w:val="24"/>
        </w:rPr>
      </w:pPr>
      <w:r w:rsidRPr="00B90650">
        <w:rPr>
          <w:szCs w:val="24"/>
        </w:rPr>
        <w:t>Donatas Šernas</w:t>
      </w:r>
    </w:p>
    <w:p w14:paraId="1548112B" w14:textId="77777777" w:rsidR="002266DA" w:rsidRPr="00B90650" w:rsidRDefault="002266DA" w:rsidP="00C02BAC">
      <w:pPr>
        <w:ind w:left="6480"/>
        <w:rPr>
          <w:szCs w:val="24"/>
        </w:rPr>
      </w:pPr>
    </w:p>
    <w:p w14:paraId="27D4087A" w14:textId="5AF2D71B" w:rsidR="00C02BAC" w:rsidRPr="00E96226" w:rsidRDefault="002266DA" w:rsidP="00C02BAC">
      <w:pPr>
        <w:ind w:left="6480"/>
        <w:rPr>
          <w:szCs w:val="24"/>
        </w:rPr>
      </w:pPr>
      <w:r w:rsidRPr="00B90650">
        <w:rPr>
          <w:szCs w:val="24"/>
        </w:rPr>
        <w:t>Egidija Tamošiūnienė</w:t>
      </w:r>
      <w:bookmarkEnd w:id="3"/>
    </w:p>
    <w:sectPr w:rsidR="00C02BAC" w:rsidRPr="00E96226" w:rsidSect="00AC0779">
      <w:headerReference w:type="default" r:id="rId9"/>
      <w:headerReference w:type="first" r:id="rId10"/>
      <w:pgSz w:w="11907" w:h="16839" w:code="9"/>
      <w:pgMar w:top="1134" w:right="567" w:bottom="1134" w:left="1701"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874A9" w14:textId="77777777" w:rsidR="007F6D22" w:rsidRDefault="007F6D22">
      <w:pPr>
        <w:spacing w:after="0" w:line="240" w:lineRule="auto"/>
      </w:pPr>
      <w:r>
        <w:separator/>
      </w:r>
    </w:p>
  </w:endnote>
  <w:endnote w:type="continuationSeparator" w:id="0">
    <w:p w14:paraId="4B66A310" w14:textId="77777777" w:rsidR="007F6D22" w:rsidRDefault="007F6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5D774" w14:textId="77777777" w:rsidR="007F6D22" w:rsidRDefault="007F6D22">
      <w:pPr>
        <w:spacing w:after="0" w:line="240" w:lineRule="auto"/>
      </w:pPr>
      <w:r>
        <w:separator/>
      </w:r>
    </w:p>
  </w:footnote>
  <w:footnote w:type="continuationSeparator" w:id="0">
    <w:p w14:paraId="76F7611A" w14:textId="77777777" w:rsidR="007F6D22" w:rsidRDefault="007F6D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rPr>
      <w:id w:val="1331555188"/>
      <w:docPartObj>
        <w:docPartGallery w:val="Page Numbers (Top of Page)"/>
        <w:docPartUnique/>
      </w:docPartObj>
    </w:sdtPr>
    <w:sdtEndPr>
      <w:rPr>
        <w:rFonts w:ascii="Times New Roman" w:hAnsi="Times New Roman"/>
        <w:sz w:val="24"/>
      </w:rPr>
    </w:sdtEndPr>
    <w:sdtContent>
      <w:p w14:paraId="4000F3DD" w14:textId="4CE382C8" w:rsidR="007D0988" w:rsidRDefault="00C52A2E" w:rsidP="00AC0779">
        <w:pPr>
          <w:tabs>
            <w:tab w:val="center" w:pos="4819"/>
            <w:tab w:val="right" w:pos="9638"/>
          </w:tabs>
          <w:spacing w:after="0" w:line="240" w:lineRule="auto"/>
          <w:jc w:val="center"/>
        </w:pPr>
        <w:r w:rsidRPr="00A869C8">
          <w:rPr>
            <w:rFonts w:cs="Times New Roman"/>
            <w:szCs w:val="24"/>
          </w:rPr>
          <w:fldChar w:fldCharType="begin"/>
        </w:r>
        <w:r w:rsidRPr="00A869C8">
          <w:rPr>
            <w:rFonts w:cs="Times New Roman"/>
            <w:szCs w:val="24"/>
          </w:rPr>
          <w:instrText>PAGE   \* MERGEFORMAT</w:instrText>
        </w:r>
        <w:r w:rsidRPr="00A869C8">
          <w:rPr>
            <w:rFonts w:cs="Times New Roman"/>
            <w:szCs w:val="24"/>
          </w:rPr>
          <w:fldChar w:fldCharType="separate"/>
        </w:r>
        <w:r w:rsidR="00D726EA">
          <w:rPr>
            <w:rFonts w:cs="Times New Roman"/>
            <w:noProof/>
            <w:szCs w:val="24"/>
          </w:rPr>
          <w:t>2</w:t>
        </w:r>
        <w:r w:rsidRPr="00A869C8">
          <w:rPr>
            <w:rFonts w:cs="Times New Roman"/>
            <w:szCs w:val="24"/>
          </w:rPr>
          <w:fldChar w:fldCharType="end"/>
        </w:r>
        <w:r>
          <w:t xml:space="preserve">                                             </w:t>
        </w:r>
      </w:p>
    </w:sdtContent>
  </w:sdt>
  <w:p w14:paraId="7F9830A9" w14:textId="77777777" w:rsidR="007D0988" w:rsidRDefault="007D098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2E82E" w14:textId="77777777" w:rsidR="007D0988" w:rsidRDefault="007D0988">
    <w:pPr>
      <w:pStyle w:val="Antrats1"/>
      <w:jc w:val="center"/>
    </w:pPr>
  </w:p>
  <w:p w14:paraId="419DD05B" w14:textId="77777777" w:rsidR="007D0988" w:rsidRDefault="007D0988">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722B2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80380E"/>
    <w:multiLevelType w:val="multilevel"/>
    <w:tmpl w:val="5C80EE2A"/>
    <w:lvl w:ilvl="0">
      <w:start w:val="2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6EB0304"/>
    <w:multiLevelType w:val="hybridMultilevel"/>
    <w:tmpl w:val="7F28BA92"/>
    <w:lvl w:ilvl="0" w:tplc="2DF8FD1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3" w15:restartNumberingAfterBreak="0">
    <w:nsid w:val="06F46063"/>
    <w:multiLevelType w:val="multilevel"/>
    <w:tmpl w:val="2272D4B8"/>
    <w:lvl w:ilvl="0">
      <w:start w:val="1"/>
      <w:numFmt w:val="decimal"/>
      <w:lvlText w:val="%1."/>
      <w:lvlJc w:val="left"/>
      <w:pPr>
        <w:tabs>
          <w:tab w:val="left" w:pos="0"/>
        </w:tabs>
        <w:ind w:left="360" w:hanging="360"/>
      </w:pPr>
      <w:rPr>
        <w:rFonts w:ascii="Times New Roman" w:hAnsi="Times New Roman"/>
        <w:b w:val="0"/>
        <w:bCs w:val="0"/>
        <w:i w:val="0"/>
        <w:color w:val="000000" w:themeColor="text1"/>
        <w:sz w:val="24"/>
        <w:szCs w:val="24"/>
      </w:rPr>
    </w:lvl>
    <w:lvl w:ilvl="1">
      <w:start w:val="1"/>
      <w:numFmt w:val="decimal"/>
      <w:lvlText w:val="%1.%2."/>
      <w:lvlJc w:val="left"/>
      <w:pPr>
        <w:tabs>
          <w:tab w:val="left" w:pos="-1135"/>
        </w:tabs>
        <w:ind w:left="480" w:hanging="480"/>
      </w:pPr>
      <w:rPr>
        <w:color w:val="000000"/>
        <w:sz w:val="24"/>
        <w:szCs w:val="24"/>
      </w:rPr>
    </w:lvl>
    <w:lvl w:ilvl="2">
      <w:start w:val="1"/>
      <w:numFmt w:val="decimal"/>
      <w:lvlText w:val="%1.%2.%3."/>
      <w:lvlJc w:val="left"/>
      <w:pPr>
        <w:tabs>
          <w:tab w:val="left" w:pos="0"/>
        </w:tabs>
        <w:ind w:left="1440" w:hanging="720"/>
      </w:pPr>
      <w:rPr>
        <w:color w:val="000000"/>
      </w:rPr>
    </w:lvl>
    <w:lvl w:ilvl="3">
      <w:start w:val="1"/>
      <w:numFmt w:val="decimal"/>
      <w:lvlText w:val="%1.%2.%3.%4."/>
      <w:lvlJc w:val="left"/>
      <w:pPr>
        <w:tabs>
          <w:tab w:val="left" w:pos="0"/>
        </w:tabs>
        <w:ind w:left="1800" w:hanging="720"/>
      </w:pPr>
      <w:rPr>
        <w:color w:val="000000"/>
      </w:rPr>
    </w:lvl>
    <w:lvl w:ilvl="4">
      <w:start w:val="1"/>
      <w:numFmt w:val="decimal"/>
      <w:lvlText w:val="%1.%2.%3.%4.%5."/>
      <w:lvlJc w:val="left"/>
      <w:pPr>
        <w:tabs>
          <w:tab w:val="left" w:pos="0"/>
        </w:tabs>
        <w:ind w:left="2520" w:hanging="1080"/>
      </w:pPr>
      <w:rPr>
        <w:color w:val="000000"/>
      </w:rPr>
    </w:lvl>
    <w:lvl w:ilvl="5">
      <w:start w:val="1"/>
      <w:numFmt w:val="decimal"/>
      <w:lvlText w:val="%1.%2.%3.%4.%5.%6."/>
      <w:lvlJc w:val="left"/>
      <w:pPr>
        <w:tabs>
          <w:tab w:val="left" w:pos="0"/>
        </w:tabs>
        <w:ind w:left="2880" w:hanging="1080"/>
      </w:pPr>
      <w:rPr>
        <w:color w:val="000000"/>
      </w:rPr>
    </w:lvl>
    <w:lvl w:ilvl="6">
      <w:start w:val="1"/>
      <w:numFmt w:val="decimal"/>
      <w:lvlText w:val="%1.%2.%3.%4.%5.%6.%7."/>
      <w:lvlJc w:val="left"/>
      <w:pPr>
        <w:tabs>
          <w:tab w:val="left" w:pos="0"/>
        </w:tabs>
        <w:ind w:left="3600" w:hanging="1440"/>
      </w:pPr>
      <w:rPr>
        <w:color w:val="000000"/>
      </w:rPr>
    </w:lvl>
    <w:lvl w:ilvl="7">
      <w:start w:val="1"/>
      <w:numFmt w:val="decimal"/>
      <w:lvlText w:val="%1.%2.%3.%4.%5.%6.%7.%8."/>
      <w:lvlJc w:val="left"/>
      <w:pPr>
        <w:tabs>
          <w:tab w:val="left" w:pos="0"/>
        </w:tabs>
        <w:ind w:left="3960" w:hanging="1440"/>
      </w:pPr>
      <w:rPr>
        <w:color w:val="000000"/>
      </w:rPr>
    </w:lvl>
    <w:lvl w:ilvl="8">
      <w:start w:val="1"/>
      <w:numFmt w:val="decimal"/>
      <w:lvlText w:val="%1.%2.%3.%4.%5.%6.%7.%8.%9."/>
      <w:lvlJc w:val="left"/>
      <w:pPr>
        <w:tabs>
          <w:tab w:val="left" w:pos="0"/>
        </w:tabs>
        <w:ind w:left="4680" w:hanging="1800"/>
      </w:pPr>
      <w:rPr>
        <w:color w:val="000000"/>
      </w:rPr>
    </w:lvl>
  </w:abstractNum>
  <w:abstractNum w:abstractNumId="4" w15:restartNumberingAfterBreak="0">
    <w:nsid w:val="0B6E27EF"/>
    <w:multiLevelType w:val="multilevel"/>
    <w:tmpl w:val="D77A17B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852BB6"/>
    <w:multiLevelType w:val="multilevel"/>
    <w:tmpl w:val="134A6582"/>
    <w:lvl w:ilvl="0">
      <w:start w:val="1"/>
      <w:numFmt w:val="decimal"/>
      <w:lvlText w:val="%1."/>
      <w:lvlJc w:val="left"/>
      <w:pPr>
        <w:ind w:left="420" w:hanging="420"/>
      </w:pPr>
    </w:lvl>
    <w:lvl w:ilvl="1">
      <w:start w:val="1"/>
      <w:numFmt w:val="decimal"/>
      <w:lvlText w:val="%1.%2."/>
      <w:lvlJc w:val="left"/>
      <w:pPr>
        <w:ind w:left="846" w:hanging="42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7" w15:restartNumberingAfterBreak="0">
    <w:nsid w:val="1BD8548B"/>
    <w:multiLevelType w:val="multilevel"/>
    <w:tmpl w:val="04270029"/>
    <w:lvl w:ilvl="0">
      <w:start w:val="1"/>
      <w:numFmt w:val="decimal"/>
      <w:pStyle w:val="Heading1"/>
      <w:suff w:val="space"/>
      <w:lvlText w:val="%1 skyrius"/>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15:restartNumberingAfterBreak="0">
    <w:nsid w:val="1C1C1743"/>
    <w:multiLevelType w:val="hybridMultilevel"/>
    <w:tmpl w:val="3274DC6E"/>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00059FD"/>
    <w:multiLevelType w:val="multilevel"/>
    <w:tmpl w:val="1D08285C"/>
    <w:lvl w:ilvl="0">
      <w:start w:val="1"/>
      <w:numFmt w:val="decimal"/>
      <w:lvlText w:val="%1."/>
      <w:lvlJc w:val="left"/>
      <w:pPr>
        <w:ind w:left="4187" w:hanging="360"/>
      </w:pPr>
      <w:rPr>
        <w:i w:val="0"/>
      </w:rPr>
    </w:lvl>
    <w:lvl w:ilvl="1">
      <w:start w:val="1"/>
      <w:numFmt w:val="decimal"/>
      <w:lvlText w:val="%1.%2."/>
      <w:lvlJc w:val="left"/>
      <w:pPr>
        <w:ind w:left="5677"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10" w15:restartNumberingAfterBreak="0">
    <w:nsid w:val="27DC55EF"/>
    <w:multiLevelType w:val="hybridMultilevel"/>
    <w:tmpl w:val="115A2626"/>
    <w:lvl w:ilvl="0" w:tplc="04270011">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30835036"/>
    <w:multiLevelType w:val="multilevel"/>
    <w:tmpl w:val="30835036"/>
    <w:lvl w:ilvl="0">
      <w:start w:val="1"/>
      <w:numFmt w:val="upperRoman"/>
      <w:lvlText w:val="%1."/>
      <w:lvlJc w:val="right"/>
      <w:pPr>
        <w:tabs>
          <w:tab w:val="left" w:pos="720"/>
        </w:tabs>
        <w:ind w:left="720" w:hanging="360"/>
      </w:pPr>
    </w:lvl>
    <w:lvl w:ilvl="1">
      <w:numFmt w:val="bullet"/>
      <w:lvlText w:val=""/>
      <w:lvlJc w:val="left"/>
      <w:pPr>
        <w:tabs>
          <w:tab w:val="left" w:pos="0"/>
        </w:tabs>
        <w:ind w:left="1440" w:hanging="360"/>
      </w:pPr>
      <w:rPr>
        <w:rFonts w:ascii="Symbol" w:hAnsi="Symbol" w:cs="Symbol" w:hint="default"/>
      </w:rPr>
    </w:lvl>
    <w:lvl w:ilvl="2">
      <w:start w:val="1"/>
      <w:numFmt w:val="upperRoman"/>
      <w:lvlText w:val="%3."/>
      <w:lvlJc w:val="right"/>
      <w:pPr>
        <w:tabs>
          <w:tab w:val="left" w:pos="2160"/>
        </w:tabs>
        <w:ind w:left="2160" w:hanging="360"/>
      </w:pPr>
    </w:lvl>
    <w:lvl w:ilvl="3">
      <w:start w:val="1"/>
      <w:numFmt w:val="upperRoman"/>
      <w:lvlText w:val="%4."/>
      <w:lvlJc w:val="right"/>
      <w:pPr>
        <w:tabs>
          <w:tab w:val="left" w:pos="2880"/>
        </w:tabs>
        <w:ind w:left="2880" w:hanging="360"/>
      </w:pPr>
    </w:lvl>
    <w:lvl w:ilvl="4">
      <w:start w:val="1"/>
      <w:numFmt w:val="upperRoman"/>
      <w:lvlText w:val="%5."/>
      <w:lvlJc w:val="right"/>
      <w:pPr>
        <w:tabs>
          <w:tab w:val="left" w:pos="3600"/>
        </w:tabs>
        <w:ind w:left="3600" w:hanging="360"/>
      </w:pPr>
    </w:lvl>
    <w:lvl w:ilvl="5">
      <w:start w:val="1"/>
      <w:numFmt w:val="upperRoman"/>
      <w:lvlText w:val="%6."/>
      <w:lvlJc w:val="right"/>
      <w:pPr>
        <w:tabs>
          <w:tab w:val="left" w:pos="4320"/>
        </w:tabs>
        <w:ind w:left="4320" w:hanging="360"/>
      </w:pPr>
    </w:lvl>
    <w:lvl w:ilvl="6">
      <w:start w:val="1"/>
      <w:numFmt w:val="upperRoman"/>
      <w:lvlText w:val="%7."/>
      <w:lvlJc w:val="right"/>
      <w:pPr>
        <w:tabs>
          <w:tab w:val="left" w:pos="5040"/>
        </w:tabs>
        <w:ind w:left="5040" w:hanging="360"/>
      </w:pPr>
    </w:lvl>
    <w:lvl w:ilvl="7">
      <w:start w:val="1"/>
      <w:numFmt w:val="upperRoman"/>
      <w:lvlText w:val="%8."/>
      <w:lvlJc w:val="right"/>
      <w:pPr>
        <w:tabs>
          <w:tab w:val="left" w:pos="5760"/>
        </w:tabs>
        <w:ind w:left="5760" w:hanging="360"/>
      </w:pPr>
    </w:lvl>
    <w:lvl w:ilvl="8">
      <w:start w:val="1"/>
      <w:numFmt w:val="upperRoman"/>
      <w:lvlText w:val="%9."/>
      <w:lvlJc w:val="right"/>
      <w:pPr>
        <w:tabs>
          <w:tab w:val="left" w:pos="6480"/>
        </w:tabs>
        <w:ind w:left="6480" w:hanging="360"/>
      </w:pPr>
    </w:lvl>
  </w:abstractNum>
  <w:abstractNum w:abstractNumId="12" w15:restartNumberingAfterBreak="0">
    <w:nsid w:val="3C095382"/>
    <w:multiLevelType w:val="multilevel"/>
    <w:tmpl w:val="C9CAE94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443858CA"/>
    <w:multiLevelType w:val="hybridMultilevel"/>
    <w:tmpl w:val="F12A6B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F4AEA"/>
    <w:multiLevelType w:val="hybridMultilevel"/>
    <w:tmpl w:val="72BE682A"/>
    <w:lvl w:ilvl="0" w:tplc="04270011">
      <w:start w:val="1"/>
      <w:numFmt w:val="decimal"/>
      <w:lvlText w:val="%1)"/>
      <w:lvlJc w:val="left"/>
      <w:pPr>
        <w:ind w:left="1429" w:hanging="360"/>
      </w:pPr>
    </w:lvl>
    <w:lvl w:ilvl="1" w:tplc="04270011">
      <w:start w:val="1"/>
      <w:numFmt w:val="decimal"/>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5" w15:restartNumberingAfterBreak="0">
    <w:nsid w:val="561A7B94"/>
    <w:multiLevelType w:val="hybridMultilevel"/>
    <w:tmpl w:val="E9B432C2"/>
    <w:lvl w:ilvl="0" w:tplc="04270011">
      <w:start w:val="1"/>
      <w:numFmt w:val="decimal"/>
      <w:lvlText w:val="%1)"/>
      <w:lvlJc w:val="left"/>
      <w:pPr>
        <w:ind w:left="1429" w:hanging="360"/>
      </w:pPr>
    </w:lvl>
    <w:lvl w:ilvl="1" w:tplc="C8609356">
      <w:start w:val="2"/>
      <w:numFmt w:val="bullet"/>
      <w:lvlText w:val="-"/>
      <w:lvlJc w:val="left"/>
      <w:pPr>
        <w:ind w:left="2674" w:hanging="885"/>
      </w:pPr>
      <w:rPr>
        <w:rFonts w:ascii="Times New Roman" w:eastAsiaTheme="minorHAnsi" w:hAnsi="Times New Roman" w:cs="Times New Roman" w:hint="default"/>
      </w:r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6" w15:restartNumberingAfterBreak="0">
    <w:nsid w:val="562C0F0C"/>
    <w:multiLevelType w:val="multilevel"/>
    <w:tmpl w:val="E6BA1A44"/>
    <w:numStyleLink w:val="Nutartis"/>
  </w:abstractNum>
  <w:abstractNum w:abstractNumId="17" w15:restartNumberingAfterBreak="0">
    <w:nsid w:val="598B6223"/>
    <w:multiLevelType w:val="multilevel"/>
    <w:tmpl w:val="2E4454F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CFF6304"/>
    <w:multiLevelType w:val="multilevel"/>
    <w:tmpl w:val="96CC7B4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63B7421B"/>
    <w:multiLevelType w:val="hybridMultilevel"/>
    <w:tmpl w:val="74623820"/>
    <w:lvl w:ilvl="0" w:tplc="04270011">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0"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648B6B7E"/>
    <w:multiLevelType w:val="hybridMultilevel"/>
    <w:tmpl w:val="3AA64628"/>
    <w:lvl w:ilvl="0" w:tplc="04270011">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65471E95"/>
    <w:multiLevelType w:val="hybridMultilevel"/>
    <w:tmpl w:val="AD2E493C"/>
    <w:lvl w:ilvl="0" w:tplc="463862AC">
      <w:start w:val="1"/>
      <w:numFmt w:val="upperRoman"/>
      <w:lvlText w:val="%1."/>
      <w:lvlJc w:val="left"/>
      <w:pPr>
        <w:ind w:left="720" w:hanging="72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3" w15:restartNumberingAfterBreak="0">
    <w:nsid w:val="7A7C4247"/>
    <w:multiLevelType w:val="multilevel"/>
    <w:tmpl w:val="519E7942"/>
    <w:lvl w:ilvl="0">
      <w:start w:val="1"/>
      <w:numFmt w:val="decimal"/>
      <w:lvlText w:val="%1."/>
      <w:lvlJc w:val="left"/>
      <w:pPr>
        <w:ind w:left="360" w:hanging="360"/>
      </w:pPr>
      <w:rPr>
        <w:rFonts w:cs="Times New Roman"/>
        <w:i w:val="0"/>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932128074">
    <w:abstractNumId w:val="9"/>
  </w:num>
  <w:num w:numId="2" w16cid:durableId="769548028">
    <w:abstractNumId w:val="6"/>
  </w:num>
  <w:num w:numId="3" w16cid:durableId="758604990">
    <w:abstractNumId w:val="0"/>
  </w:num>
  <w:num w:numId="4" w16cid:durableId="1507397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0659879">
    <w:abstractNumId w:val="12"/>
  </w:num>
  <w:num w:numId="6" w16cid:durableId="1978682664">
    <w:abstractNumId w:val="18"/>
  </w:num>
  <w:num w:numId="7" w16cid:durableId="8320639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4126399">
    <w:abstractNumId w:val="23"/>
  </w:num>
  <w:num w:numId="9" w16cid:durableId="1067875144">
    <w:abstractNumId w:val="1"/>
  </w:num>
  <w:num w:numId="10" w16cid:durableId="1104229033">
    <w:abstractNumId w:val="13"/>
  </w:num>
  <w:num w:numId="11" w16cid:durableId="2145652638">
    <w:abstractNumId w:val="20"/>
  </w:num>
  <w:num w:numId="12" w16cid:durableId="1916090487">
    <w:abstractNumId w:val="16"/>
  </w:num>
  <w:num w:numId="13" w16cid:durableId="162359061">
    <w:abstractNumId w:val="5"/>
  </w:num>
  <w:num w:numId="14" w16cid:durableId="1744259630">
    <w:abstractNumId w:val="4"/>
  </w:num>
  <w:num w:numId="15" w16cid:durableId="2664722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66116484">
    <w:abstractNumId w:val="11"/>
  </w:num>
  <w:num w:numId="17" w16cid:durableId="1477718253">
    <w:abstractNumId w:val="3"/>
  </w:num>
  <w:num w:numId="18" w16cid:durableId="1614552151">
    <w:abstractNumId w:val="17"/>
  </w:num>
  <w:num w:numId="19" w16cid:durableId="289171462">
    <w:abstractNumId w:val="15"/>
  </w:num>
  <w:num w:numId="20" w16cid:durableId="504982089">
    <w:abstractNumId w:val="19"/>
  </w:num>
  <w:num w:numId="21" w16cid:durableId="942956979">
    <w:abstractNumId w:val="14"/>
  </w:num>
  <w:num w:numId="22" w16cid:durableId="1775781081">
    <w:abstractNumId w:val="21"/>
  </w:num>
  <w:num w:numId="23" w16cid:durableId="300383904">
    <w:abstractNumId w:val="8"/>
  </w:num>
  <w:num w:numId="24" w16cid:durableId="1924222806">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13"/>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0DC"/>
    <w:rsid w:val="00001C43"/>
    <w:rsid w:val="00002BBC"/>
    <w:rsid w:val="0000337D"/>
    <w:rsid w:val="00003870"/>
    <w:rsid w:val="00003DAC"/>
    <w:rsid w:val="000042D1"/>
    <w:rsid w:val="00007246"/>
    <w:rsid w:val="000107B3"/>
    <w:rsid w:val="00010E80"/>
    <w:rsid w:val="00011B4E"/>
    <w:rsid w:val="0001305D"/>
    <w:rsid w:val="000131E4"/>
    <w:rsid w:val="00016A9A"/>
    <w:rsid w:val="00017E0F"/>
    <w:rsid w:val="00020868"/>
    <w:rsid w:val="00021CCD"/>
    <w:rsid w:val="00022DE5"/>
    <w:rsid w:val="00024012"/>
    <w:rsid w:val="0002688F"/>
    <w:rsid w:val="0002749A"/>
    <w:rsid w:val="00027846"/>
    <w:rsid w:val="00031871"/>
    <w:rsid w:val="00031BFC"/>
    <w:rsid w:val="000326DE"/>
    <w:rsid w:val="00032BAF"/>
    <w:rsid w:val="00034BEE"/>
    <w:rsid w:val="00035766"/>
    <w:rsid w:val="00036108"/>
    <w:rsid w:val="000366C0"/>
    <w:rsid w:val="000377BB"/>
    <w:rsid w:val="000418BC"/>
    <w:rsid w:val="00042789"/>
    <w:rsid w:val="000439FF"/>
    <w:rsid w:val="00044AFE"/>
    <w:rsid w:val="00047B5A"/>
    <w:rsid w:val="00050647"/>
    <w:rsid w:val="00050DB1"/>
    <w:rsid w:val="00050DC7"/>
    <w:rsid w:val="00051064"/>
    <w:rsid w:val="00054BA3"/>
    <w:rsid w:val="00054FD1"/>
    <w:rsid w:val="0005564B"/>
    <w:rsid w:val="00055F70"/>
    <w:rsid w:val="00056204"/>
    <w:rsid w:val="00056214"/>
    <w:rsid w:val="0005648E"/>
    <w:rsid w:val="00056742"/>
    <w:rsid w:val="00056776"/>
    <w:rsid w:val="000573AE"/>
    <w:rsid w:val="000600AB"/>
    <w:rsid w:val="00060E84"/>
    <w:rsid w:val="00061585"/>
    <w:rsid w:val="000624E7"/>
    <w:rsid w:val="00062D0A"/>
    <w:rsid w:val="00063599"/>
    <w:rsid w:val="000638FD"/>
    <w:rsid w:val="00064919"/>
    <w:rsid w:val="00064AE9"/>
    <w:rsid w:val="0006628B"/>
    <w:rsid w:val="00067020"/>
    <w:rsid w:val="000675BC"/>
    <w:rsid w:val="00070EF7"/>
    <w:rsid w:val="000727EC"/>
    <w:rsid w:val="00072BFB"/>
    <w:rsid w:val="00076842"/>
    <w:rsid w:val="00076C44"/>
    <w:rsid w:val="0008084C"/>
    <w:rsid w:val="00082932"/>
    <w:rsid w:val="00083D68"/>
    <w:rsid w:val="000841DA"/>
    <w:rsid w:val="000844A2"/>
    <w:rsid w:val="00084749"/>
    <w:rsid w:val="00085C53"/>
    <w:rsid w:val="000864C7"/>
    <w:rsid w:val="000866B3"/>
    <w:rsid w:val="00087101"/>
    <w:rsid w:val="00090AC6"/>
    <w:rsid w:val="00091EDC"/>
    <w:rsid w:val="00092ABA"/>
    <w:rsid w:val="00094E75"/>
    <w:rsid w:val="000974B2"/>
    <w:rsid w:val="00097C33"/>
    <w:rsid w:val="000A020F"/>
    <w:rsid w:val="000A07B8"/>
    <w:rsid w:val="000A366E"/>
    <w:rsid w:val="000A36FC"/>
    <w:rsid w:val="000A396F"/>
    <w:rsid w:val="000A4028"/>
    <w:rsid w:val="000A5571"/>
    <w:rsid w:val="000A5878"/>
    <w:rsid w:val="000A5CFD"/>
    <w:rsid w:val="000A698A"/>
    <w:rsid w:val="000A7721"/>
    <w:rsid w:val="000B334B"/>
    <w:rsid w:val="000B5CCE"/>
    <w:rsid w:val="000C0199"/>
    <w:rsid w:val="000C0B06"/>
    <w:rsid w:val="000C129C"/>
    <w:rsid w:val="000C16BF"/>
    <w:rsid w:val="000C230C"/>
    <w:rsid w:val="000C283E"/>
    <w:rsid w:val="000C3148"/>
    <w:rsid w:val="000C3C4A"/>
    <w:rsid w:val="000C5FC0"/>
    <w:rsid w:val="000C7749"/>
    <w:rsid w:val="000D2929"/>
    <w:rsid w:val="000D4DE6"/>
    <w:rsid w:val="000D541C"/>
    <w:rsid w:val="000D6163"/>
    <w:rsid w:val="000E158A"/>
    <w:rsid w:val="000E1BD2"/>
    <w:rsid w:val="000E2F49"/>
    <w:rsid w:val="000E3EAF"/>
    <w:rsid w:val="000E4029"/>
    <w:rsid w:val="000E42BC"/>
    <w:rsid w:val="000E4E68"/>
    <w:rsid w:val="000E55E7"/>
    <w:rsid w:val="000E667E"/>
    <w:rsid w:val="000E6E47"/>
    <w:rsid w:val="000E71AA"/>
    <w:rsid w:val="000E74DA"/>
    <w:rsid w:val="000E754F"/>
    <w:rsid w:val="000E7F16"/>
    <w:rsid w:val="000F11BF"/>
    <w:rsid w:val="000F17F8"/>
    <w:rsid w:val="000F1918"/>
    <w:rsid w:val="000F1C82"/>
    <w:rsid w:val="000F2B25"/>
    <w:rsid w:val="00100C3E"/>
    <w:rsid w:val="00101496"/>
    <w:rsid w:val="001015E6"/>
    <w:rsid w:val="0010220F"/>
    <w:rsid w:val="0010231D"/>
    <w:rsid w:val="001049E1"/>
    <w:rsid w:val="00105F8C"/>
    <w:rsid w:val="00106EF5"/>
    <w:rsid w:val="00106EFA"/>
    <w:rsid w:val="0010746F"/>
    <w:rsid w:val="0011107A"/>
    <w:rsid w:val="00111B32"/>
    <w:rsid w:val="00111D53"/>
    <w:rsid w:val="0011353F"/>
    <w:rsid w:val="00113F81"/>
    <w:rsid w:val="00116F24"/>
    <w:rsid w:val="0012183A"/>
    <w:rsid w:val="00122398"/>
    <w:rsid w:val="001224EF"/>
    <w:rsid w:val="00123C27"/>
    <w:rsid w:val="00125BA2"/>
    <w:rsid w:val="00126761"/>
    <w:rsid w:val="00127A87"/>
    <w:rsid w:val="00127B8B"/>
    <w:rsid w:val="0013069A"/>
    <w:rsid w:val="00132998"/>
    <w:rsid w:val="00133CEA"/>
    <w:rsid w:val="00134594"/>
    <w:rsid w:val="0013574B"/>
    <w:rsid w:val="001364EE"/>
    <w:rsid w:val="001369DC"/>
    <w:rsid w:val="001372CF"/>
    <w:rsid w:val="00137921"/>
    <w:rsid w:val="00144EBD"/>
    <w:rsid w:val="0014580A"/>
    <w:rsid w:val="0014705E"/>
    <w:rsid w:val="00151035"/>
    <w:rsid w:val="0015163B"/>
    <w:rsid w:val="00152C46"/>
    <w:rsid w:val="0015425F"/>
    <w:rsid w:val="00154DC8"/>
    <w:rsid w:val="00155126"/>
    <w:rsid w:val="00155905"/>
    <w:rsid w:val="00155CD9"/>
    <w:rsid w:val="00155D1E"/>
    <w:rsid w:val="00157115"/>
    <w:rsid w:val="00161FC4"/>
    <w:rsid w:val="00162973"/>
    <w:rsid w:val="00170BBF"/>
    <w:rsid w:val="00171447"/>
    <w:rsid w:val="0017151D"/>
    <w:rsid w:val="00174D31"/>
    <w:rsid w:val="00174E7B"/>
    <w:rsid w:val="00176B1E"/>
    <w:rsid w:val="00176D8F"/>
    <w:rsid w:val="00177021"/>
    <w:rsid w:val="00177214"/>
    <w:rsid w:val="0017743C"/>
    <w:rsid w:val="0018097D"/>
    <w:rsid w:val="00180B99"/>
    <w:rsid w:val="0018216B"/>
    <w:rsid w:val="00182445"/>
    <w:rsid w:val="00182813"/>
    <w:rsid w:val="00182B79"/>
    <w:rsid w:val="00185A92"/>
    <w:rsid w:val="00185AAA"/>
    <w:rsid w:val="00186374"/>
    <w:rsid w:val="001905A4"/>
    <w:rsid w:val="001905DC"/>
    <w:rsid w:val="00192426"/>
    <w:rsid w:val="001940AC"/>
    <w:rsid w:val="001953F5"/>
    <w:rsid w:val="00197C7D"/>
    <w:rsid w:val="001A09B1"/>
    <w:rsid w:val="001A4935"/>
    <w:rsid w:val="001A5079"/>
    <w:rsid w:val="001A5D28"/>
    <w:rsid w:val="001A622B"/>
    <w:rsid w:val="001A634F"/>
    <w:rsid w:val="001B00C1"/>
    <w:rsid w:val="001B0740"/>
    <w:rsid w:val="001B0D8B"/>
    <w:rsid w:val="001B11DD"/>
    <w:rsid w:val="001B1B26"/>
    <w:rsid w:val="001B2164"/>
    <w:rsid w:val="001B27DB"/>
    <w:rsid w:val="001B30BA"/>
    <w:rsid w:val="001B38AA"/>
    <w:rsid w:val="001B40B2"/>
    <w:rsid w:val="001B5994"/>
    <w:rsid w:val="001B5F4A"/>
    <w:rsid w:val="001B65D2"/>
    <w:rsid w:val="001B6A33"/>
    <w:rsid w:val="001B6D03"/>
    <w:rsid w:val="001C0C8B"/>
    <w:rsid w:val="001C0CA8"/>
    <w:rsid w:val="001C13C9"/>
    <w:rsid w:val="001C2148"/>
    <w:rsid w:val="001C2482"/>
    <w:rsid w:val="001C2663"/>
    <w:rsid w:val="001C3026"/>
    <w:rsid w:val="001C50D3"/>
    <w:rsid w:val="001D036E"/>
    <w:rsid w:val="001D2539"/>
    <w:rsid w:val="001D2E6F"/>
    <w:rsid w:val="001D4325"/>
    <w:rsid w:val="001D79B6"/>
    <w:rsid w:val="001E1EFC"/>
    <w:rsid w:val="001E2512"/>
    <w:rsid w:val="001E3D98"/>
    <w:rsid w:val="001E4130"/>
    <w:rsid w:val="001F10C9"/>
    <w:rsid w:val="001F2175"/>
    <w:rsid w:val="001F3259"/>
    <w:rsid w:val="001F5443"/>
    <w:rsid w:val="001F7462"/>
    <w:rsid w:val="001F7550"/>
    <w:rsid w:val="001F7CE3"/>
    <w:rsid w:val="00201557"/>
    <w:rsid w:val="0020166D"/>
    <w:rsid w:val="002026D5"/>
    <w:rsid w:val="00204CCD"/>
    <w:rsid w:val="002052E6"/>
    <w:rsid w:val="002058F2"/>
    <w:rsid w:val="0020752D"/>
    <w:rsid w:val="00207BAA"/>
    <w:rsid w:val="00207E3A"/>
    <w:rsid w:val="002107FF"/>
    <w:rsid w:val="00210C33"/>
    <w:rsid w:val="002135A7"/>
    <w:rsid w:val="002135EC"/>
    <w:rsid w:val="0021506E"/>
    <w:rsid w:val="00215255"/>
    <w:rsid w:val="0021598E"/>
    <w:rsid w:val="00216452"/>
    <w:rsid w:val="0021781F"/>
    <w:rsid w:val="002178E7"/>
    <w:rsid w:val="0022048A"/>
    <w:rsid w:val="00221EE6"/>
    <w:rsid w:val="00222F77"/>
    <w:rsid w:val="00223235"/>
    <w:rsid w:val="00223CF4"/>
    <w:rsid w:val="00224552"/>
    <w:rsid w:val="00224BEE"/>
    <w:rsid w:val="002254A5"/>
    <w:rsid w:val="00226008"/>
    <w:rsid w:val="002266DA"/>
    <w:rsid w:val="00226CF6"/>
    <w:rsid w:val="002300CF"/>
    <w:rsid w:val="00232421"/>
    <w:rsid w:val="00232BF0"/>
    <w:rsid w:val="00235C49"/>
    <w:rsid w:val="002366B9"/>
    <w:rsid w:val="002366CD"/>
    <w:rsid w:val="002379E5"/>
    <w:rsid w:val="00237E7E"/>
    <w:rsid w:val="00240059"/>
    <w:rsid w:val="00240ED9"/>
    <w:rsid w:val="00241377"/>
    <w:rsid w:val="00241572"/>
    <w:rsid w:val="00241D4D"/>
    <w:rsid w:val="002423C3"/>
    <w:rsid w:val="00244D78"/>
    <w:rsid w:val="00244F5C"/>
    <w:rsid w:val="002453D5"/>
    <w:rsid w:val="00246F62"/>
    <w:rsid w:val="00253B2E"/>
    <w:rsid w:val="002572F2"/>
    <w:rsid w:val="002578B6"/>
    <w:rsid w:val="002578D2"/>
    <w:rsid w:val="00261D43"/>
    <w:rsid w:val="002632FF"/>
    <w:rsid w:val="00263C47"/>
    <w:rsid w:val="0026442E"/>
    <w:rsid w:val="00264560"/>
    <w:rsid w:val="00265AAB"/>
    <w:rsid w:val="00267FDE"/>
    <w:rsid w:val="00270487"/>
    <w:rsid w:val="00270637"/>
    <w:rsid w:val="002707A7"/>
    <w:rsid w:val="002720EB"/>
    <w:rsid w:val="002727A1"/>
    <w:rsid w:val="002744EF"/>
    <w:rsid w:val="0027501B"/>
    <w:rsid w:val="00275EA8"/>
    <w:rsid w:val="00275F3D"/>
    <w:rsid w:val="002779CB"/>
    <w:rsid w:val="0028038A"/>
    <w:rsid w:val="00281D6B"/>
    <w:rsid w:val="002827F3"/>
    <w:rsid w:val="00282B41"/>
    <w:rsid w:val="00283ABF"/>
    <w:rsid w:val="002841F2"/>
    <w:rsid w:val="002858B5"/>
    <w:rsid w:val="00286FFF"/>
    <w:rsid w:val="002877E5"/>
    <w:rsid w:val="00287CF2"/>
    <w:rsid w:val="00290F0E"/>
    <w:rsid w:val="00292200"/>
    <w:rsid w:val="00292D8D"/>
    <w:rsid w:val="00295388"/>
    <w:rsid w:val="00295FEB"/>
    <w:rsid w:val="002971B4"/>
    <w:rsid w:val="002A1DAE"/>
    <w:rsid w:val="002A2BE1"/>
    <w:rsid w:val="002A3223"/>
    <w:rsid w:val="002A59B6"/>
    <w:rsid w:val="002A66AF"/>
    <w:rsid w:val="002A6716"/>
    <w:rsid w:val="002A7ADF"/>
    <w:rsid w:val="002B0B92"/>
    <w:rsid w:val="002B0E71"/>
    <w:rsid w:val="002B15E2"/>
    <w:rsid w:val="002B2F87"/>
    <w:rsid w:val="002B5A04"/>
    <w:rsid w:val="002B607A"/>
    <w:rsid w:val="002B7B35"/>
    <w:rsid w:val="002C07FA"/>
    <w:rsid w:val="002C09D3"/>
    <w:rsid w:val="002C3F40"/>
    <w:rsid w:val="002C41FB"/>
    <w:rsid w:val="002C4E0E"/>
    <w:rsid w:val="002C52FD"/>
    <w:rsid w:val="002C566F"/>
    <w:rsid w:val="002C616A"/>
    <w:rsid w:val="002C69ED"/>
    <w:rsid w:val="002C7717"/>
    <w:rsid w:val="002D0684"/>
    <w:rsid w:val="002D1509"/>
    <w:rsid w:val="002D2B3C"/>
    <w:rsid w:val="002D34BA"/>
    <w:rsid w:val="002D3A7D"/>
    <w:rsid w:val="002D4D2C"/>
    <w:rsid w:val="002D59E5"/>
    <w:rsid w:val="002D5CA1"/>
    <w:rsid w:val="002D5D07"/>
    <w:rsid w:val="002D6078"/>
    <w:rsid w:val="002D74DD"/>
    <w:rsid w:val="002E0208"/>
    <w:rsid w:val="002E6679"/>
    <w:rsid w:val="002E6D59"/>
    <w:rsid w:val="002E7112"/>
    <w:rsid w:val="002E78F9"/>
    <w:rsid w:val="002F05F4"/>
    <w:rsid w:val="002F21D4"/>
    <w:rsid w:val="002F2A01"/>
    <w:rsid w:val="002F4311"/>
    <w:rsid w:val="002F4424"/>
    <w:rsid w:val="002F5318"/>
    <w:rsid w:val="002F689F"/>
    <w:rsid w:val="00300A5A"/>
    <w:rsid w:val="00302168"/>
    <w:rsid w:val="003032C9"/>
    <w:rsid w:val="00303A01"/>
    <w:rsid w:val="003049C9"/>
    <w:rsid w:val="00304B00"/>
    <w:rsid w:val="0030524A"/>
    <w:rsid w:val="00305C07"/>
    <w:rsid w:val="00306198"/>
    <w:rsid w:val="00307D42"/>
    <w:rsid w:val="003107B4"/>
    <w:rsid w:val="00314344"/>
    <w:rsid w:val="003148BC"/>
    <w:rsid w:val="00317F59"/>
    <w:rsid w:val="003206FC"/>
    <w:rsid w:val="003228E8"/>
    <w:rsid w:val="00323F82"/>
    <w:rsid w:val="00324082"/>
    <w:rsid w:val="00324257"/>
    <w:rsid w:val="00324AE2"/>
    <w:rsid w:val="00324C3D"/>
    <w:rsid w:val="00324C56"/>
    <w:rsid w:val="00324EA4"/>
    <w:rsid w:val="00324F18"/>
    <w:rsid w:val="003250BC"/>
    <w:rsid w:val="00325705"/>
    <w:rsid w:val="00327452"/>
    <w:rsid w:val="00327750"/>
    <w:rsid w:val="00327DC8"/>
    <w:rsid w:val="00330E3A"/>
    <w:rsid w:val="00330F0C"/>
    <w:rsid w:val="0033106D"/>
    <w:rsid w:val="0033240E"/>
    <w:rsid w:val="003344BF"/>
    <w:rsid w:val="0033488D"/>
    <w:rsid w:val="003374CB"/>
    <w:rsid w:val="00337F84"/>
    <w:rsid w:val="00340DF2"/>
    <w:rsid w:val="00341A0E"/>
    <w:rsid w:val="00342640"/>
    <w:rsid w:val="003428A4"/>
    <w:rsid w:val="00343779"/>
    <w:rsid w:val="00345336"/>
    <w:rsid w:val="00345D65"/>
    <w:rsid w:val="00346AF9"/>
    <w:rsid w:val="00347934"/>
    <w:rsid w:val="00350900"/>
    <w:rsid w:val="003517E2"/>
    <w:rsid w:val="003530A5"/>
    <w:rsid w:val="003532B9"/>
    <w:rsid w:val="00354688"/>
    <w:rsid w:val="00356205"/>
    <w:rsid w:val="00356E4C"/>
    <w:rsid w:val="00356F4A"/>
    <w:rsid w:val="00356F4C"/>
    <w:rsid w:val="00360334"/>
    <w:rsid w:val="00360AC9"/>
    <w:rsid w:val="00361F56"/>
    <w:rsid w:val="00363FD8"/>
    <w:rsid w:val="0036670D"/>
    <w:rsid w:val="00370687"/>
    <w:rsid w:val="0037433E"/>
    <w:rsid w:val="0037500E"/>
    <w:rsid w:val="00375868"/>
    <w:rsid w:val="00376975"/>
    <w:rsid w:val="003770FD"/>
    <w:rsid w:val="00377E7C"/>
    <w:rsid w:val="0038002E"/>
    <w:rsid w:val="0038088C"/>
    <w:rsid w:val="00380D10"/>
    <w:rsid w:val="00380FDE"/>
    <w:rsid w:val="00385178"/>
    <w:rsid w:val="003904F5"/>
    <w:rsid w:val="00390E98"/>
    <w:rsid w:val="00391ECA"/>
    <w:rsid w:val="00392C36"/>
    <w:rsid w:val="00392CF8"/>
    <w:rsid w:val="00392EF5"/>
    <w:rsid w:val="00393B9F"/>
    <w:rsid w:val="00394ABF"/>
    <w:rsid w:val="0039518A"/>
    <w:rsid w:val="0039525F"/>
    <w:rsid w:val="0039593F"/>
    <w:rsid w:val="003966E9"/>
    <w:rsid w:val="00396F04"/>
    <w:rsid w:val="003A02A5"/>
    <w:rsid w:val="003A2FFD"/>
    <w:rsid w:val="003A458E"/>
    <w:rsid w:val="003A5A97"/>
    <w:rsid w:val="003A68D7"/>
    <w:rsid w:val="003A739E"/>
    <w:rsid w:val="003B1757"/>
    <w:rsid w:val="003B366F"/>
    <w:rsid w:val="003B45E3"/>
    <w:rsid w:val="003B4B10"/>
    <w:rsid w:val="003B67BD"/>
    <w:rsid w:val="003B6A51"/>
    <w:rsid w:val="003B6E44"/>
    <w:rsid w:val="003B7477"/>
    <w:rsid w:val="003B76FC"/>
    <w:rsid w:val="003C0B12"/>
    <w:rsid w:val="003C2F0E"/>
    <w:rsid w:val="003C3450"/>
    <w:rsid w:val="003C5425"/>
    <w:rsid w:val="003C587D"/>
    <w:rsid w:val="003C6323"/>
    <w:rsid w:val="003C7E4D"/>
    <w:rsid w:val="003D3FD3"/>
    <w:rsid w:val="003D4B9C"/>
    <w:rsid w:val="003D5A07"/>
    <w:rsid w:val="003D6050"/>
    <w:rsid w:val="003E0010"/>
    <w:rsid w:val="003E025E"/>
    <w:rsid w:val="003E2F23"/>
    <w:rsid w:val="003E6896"/>
    <w:rsid w:val="003E71CA"/>
    <w:rsid w:val="003E72DB"/>
    <w:rsid w:val="003E7BDD"/>
    <w:rsid w:val="003F02C6"/>
    <w:rsid w:val="003F1F02"/>
    <w:rsid w:val="003F27A0"/>
    <w:rsid w:val="003F3013"/>
    <w:rsid w:val="003F3B4F"/>
    <w:rsid w:val="003F47FA"/>
    <w:rsid w:val="003F520B"/>
    <w:rsid w:val="003F680D"/>
    <w:rsid w:val="003F7F43"/>
    <w:rsid w:val="00400F9A"/>
    <w:rsid w:val="004013DE"/>
    <w:rsid w:val="00401504"/>
    <w:rsid w:val="004019DC"/>
    <w:rsid w:val="004026C9"/>
    <w:rsid w:val="004035E5"/>
    <w:rsid w:val="004038CD"/>
    <w:rsid w:val="0040390A"/>
    <w:rsid w:val="00405667"/>
    <w:rsid w:val="00406DBA"/>
    <w:rsid w:val="00412873"/>
    <w:rsid w:val="00416256"/>
    <w:rsid w:val="00417678"/>
    <w:rsid w:val="0042045A"/>
    <w:rsid w:val="00421E58"/>
    <w:rsid w:val="00423772"/>
    <w:rsid w:val="0042772D"/>
    <w:rsid w:val="00430161"/>
    <w:rsid w:val="00432C8D"/>
    <w:rsid w:val="00433421"/>
    <w:rsid w:val="004351A7"/>
    <w:rsid w:val="004353DA"/>
    <w:rsid w:val="00435EE5"/>
    <w:rsid w:val="00435EEF"/>
    <w:rsid w:val="00440381"/>
    <w:rsid w:val="004421B6"/>
    <w:rsid w:val="004466DF"/>
    <w:rsid w:val="0044778B"/>
    <w:rsid w:val="00450DFB"/>
    <w:rsid w:val="004511CB"/>
    <w:rsid w:val="0045404D"/>
    <w:rsid w:val="00454A8C"/>
    <w:rsid w:val="00455B31"/>
    <w:rsid w:val="004572D6"/>
    <w:rsid w:val="004578F9"/>
    <w:rsid w:val="004602EB"/>
    <w:rsid w:val="004604EC"/>
    <w:rsid w:val="004612C2"/>
    <w:rsid w:val="00461C34"/>
    <w:rsid w:val="0046207E"/>
    <w:rsid w:val="00462449"/>
    <w:rsid w:val="004631D9"/>
    <w:rsid w:val="00467215"/>
    <w:rsid w:val="00470CEF"/>
    <w:rsid w:val="004715FD"/>
    <w:rsid w:val="0047407B"/>
    <w:rsid w:val="00477230"/>
    <w:rsid w:val="004774A1"/>
    <w:rsid w:val="00480294"/>
    <w:rsid w:val="0048087F"/>
    <w:rsid w:val="004815F5"/>
    <w:rsid w:val="004821FB"/>
    <w:rsid w:val="00482576"/>
    <w:rsid w:val="0048258B"/>
    <w:rsid w:val="004825C0"/>
    <w:rsid w:val="00482719"/>
    <w:rsid w:val="00482ACE"/>
    <w:rsid w:val="00483177"/>
    <w:rsid w:val="004831C4"/>
    <w:rsid w:val="0048380B"/>
    <w:rsid w:val="0048591C"/>
    <w:rsid w:val="00490158"/>
    <w:rsid w:val="00490E94"/>
    <w:rsid w:val="00491B22"/>
    <w:rsid w:val="00492744"/>
    <w:rsid w:val="00492DA5"/>
    <w:rsid w:val="004938AC"/>
    <w:rsid w:val="00493A21"/>
    <w:rsid w:val="00493FBC"/>
    <w:rsid w:val="00494F26"/>
    <w:rsid w:val="004952EB"/>
    <w:rsid w:val="00496112"/>
    <w:rsid w:val="00497A99"/>
    <w:rsid w:val="004A00F5"/>
    <w:rsid w:val="004A0637"/>
    <w:rsid w:val="004A12FF"/>
    <w:rsid w:val="004A2979"/>
    <w:rsid w:val="004A2D53"/>
    <w:rsid w:val="004A437A"/>
    <w:rsid w:val="004A497B"/>
    <w:rsid w:val="004A664B"/>
    <w:rsid w:val="004A6B1A"/>
    <w:rsid w:val="004A7C0C"/>
    <w:rsid w:val="004A7C53"/>
    <w:rsid w:val="004A7D7F"/>
    <w:rsid w:val="004B2D9C"/>
    <w:rsid w:val="004B476B"/>
    <w:rsid w:val="004B4D61"/>
    <w:rsid w:val="004B5141"/>
    <w:rsid w:val="004B517F"/>
    <w:rsid w:val="004B6AD8"/>
    <w:rsid w:val="004B758E"/>
    <w:rsid w:val="004C1233"/>
    <w:rsid w:val="004C1B39"/>
    <w:rsid w:val="004C26D4"/>
    <w:rsid w:val="004C30AE"/>
    <w:rsid w:val="004C3C65"/>
    <w:rsid w:val="004C3CE3"/>
    <w:rsid w:val="004C59DE"/>
    <w:rsid w:val="004C79C2"/>
    <w:rsid w:val="004D02DD"/>
    <w:rsid w:val="004D2331"/>
    <w:rsid w:val="004D292B"/>
    <w:rsid w:val="004D55CC"/>
    <w:rsid w:val="004D5843"/>
    <w:rsid w:val="004D7377"/>
    <w:rsid w:val="004D756A"/>
    <w:rsid w:val="004D7901"/>
    <w:rsid w:val="004E0599"/>
    <w:rsid w:val="004E0C34"/>
    <w:rsid w:val="004E1032"/>
    <w:rsid w:val="004E11C5"/>
    <w:rsid w:val="004E3EB1"/>
    <w:rsid w:val="004E436B"/>
    <w:rsid w:val="004E531C"/>
    <w:rsid w:val="004E5FD8"/>
    <w:rsid w:val="004E6D4E"/>
    <w:rsid w:val="004E75BD"/>
    <w:rsid w:val="004E76E0"/>
    <w:rsid w:val="004E79E6"/>
    <w:rsid w:val="004F16F9"/>
    <w:rsid w:val="004F47AA"/>
    <w:rsid w:val="004F49E0"/>
    <w:rsid w:val="004F5471"/>
    <w:rsid w:val="00501151"/>
    <w:rsid w:val="0050222C"/>
    <w:rsid w:val="00502693"/>
    <w:rsid w:val="00504404"/>
    <w:rsid w:val="005046FC"/>
    <w:rsid w:val="00504B2F"/>
    <w:rsid w:val="0050506C"/>
    <w:rsid w:val="00505634"/>
    <w:rsid w:val="00510086"/>
    <w:rsid w:val="0051039A"/>
    <w:rsid w:val="00511A9F"/>
    <w:rsid w:val="00512D86"/>
    <w:rsid w:val="0051307D"/>
    <w:rsid w:val="00513DB6"/>
    <w:rsid w:val="00514A75"/>
    <w:rsid w:val="00515CD3"/>
    <w:rsid w:val="00516421"/>
    <w:rsid w:val="00517D93"/>
    <w:rsid w:val="00520D56"/>
    <w:rsid w:val="00521112"/>
    <w:rsid w:val="00521ACE"/>
    <w:rsid w:val="00522E43"/>
    <w:rsid w:val="00524C00"/>
    <w:rsid w:val="00525CA7"/>
    <w:rsid w:val="00526B65"/>
    <w:rsid w:val="00526C77"/>
    <w:rsid w:val="0052736C"/>
    <w:rsid w:val="00527891"/>
    <w:rsid w:val="00530C0E"/>
    <w:rsid w:val="00532F5F"/>
    <w:rsid w:val="0053323A"/>
    <w:rsid w:val="0053346C"/>
    <w:rsid w:val="00533B2A"/>
    <w:rsid w:val="00534460"/>
    <w:rsid w:val="00534D3D"/>
    <w:rsid w:val="00536B7A"/>
    <w:rsid w:val="005374AB"/>
    <w:rsid w:val="0054124F"/>
    <w:rsid w:val="005412DD"/>
    <w:rsid w:val="00541631"/>
    <w:rsid w:val="00541FC4"/>
    <w:rsid w:val="00542D43"/>
    <w:rsid w:val="005436D2"/>
    <w:rsid w:val="005441A4"/>
    <w:rsid w:val="005452CE"/>
    <w:rsid w:val="0054538B"/>
    <w:rsid w:val="005467F4"/>
    <w:rsid w:val="005468FD"/>
    <w:rsid w:val="00551100"/>
    <w:rsid w:val="00551E7E"/>
    <w:rsid w:val="00553BE7"/>
    <w:rsid w:val="00556850"/>
    <w:rsid w:val="00560DC3"/>
    <w:rsid w:val="00561642"/>
    <w:rsid w:val="00562BC4"/>
    <w:rsid w:val="00562F9C"/>
    <w:rsid w:val="00564158"/>
    <w:rsid w:val="005642B6"/>
    <w:rsid w:val="005648A8"/>
    <w:rsid w:val="005649BC"/>
    <w:rsid w:val="00564FF3"/>
    <w:rsid w:val="00565F4B"/>
    <w:rsid w:val="0056663B"/>
    <w:rsid w:val="00566B9A"/>
    <w:rsid w:val="005671DF"/>
    <w:rsid w:val="00567824"/>
    <w:rsid w:val="0057305A"/>
    <w:rsid w:val="005731AB"/>
    <w:rsid w:val="005734CC"/>
    <w:rsid w:val="00577021"/>
    <w:rsid w:val="00577B89"/>
    <w:rsid w:val="00577D6D"/>
    <w:rsid w:val="00581A3B"/>
    <w:rsid w:val="00581EEC"/>
    <w:rsid w:val="00581F98"/>
    <w:rsid w:val="0058227A"/>
    <w:rsid w:val="00583E3A"/>
    <w:rsid w:val="005863F4"/>
    <w:rsid w:val="0058692C"/>
    <w:rsid w:val="00586C85"/>
    <w:rsid w:val="005901D0"/>
    <w:rsid w:val="00590E07"/>
    <w:rsid w:val="0059128D"/>
    <w:rsid w:val="0059191C"/>
    <w:rsid w:val="005919FE"/>
    <w:rsid w:val="00591F7E"/>
    <w:rsid w:val="00592238"/>
    <w:rsid w:val="00593856"/>
    <w:rsid w:val="005938FC"/>
    <w:rsid w:val="00594FE3"/>
    <w:rsid w:val="005950A3"/>
    <w:rsid w:val="00595F35"/>
    <w:rsid w:val="00596040"/>
    <w:rsid w:val="005963AC"/>
    <w:rsid w:val="005A06E1"/>
    <w:rsid w:val="005A099D"/>
    <w:rsid w:val="005A2CBC"/>
    <w:rsid w:val="005A2EEB"/>
    <w:rsid w:val="005A389D"/>
    <w:rsid w:val="005A3DB7"/>
    <w:rsid w:val="005A4789"/>
    <w:rsid w:val="005A58CD"/>
    <w:rsid w:val="005A5E71"/>
    <w:rsid w:val="005A6230"/>
    <w:rsid w:val="005A6C90"/>
    <w:rsid w:val="005A7259"/>
    <w:rsid w:val="005B13CC"/>
    <w:rsid w:val="005B252D"/>
    <w:rsid w:val="005B3B5D"/>
    <w:rsid w:val="005B583F"/>
    <w:rsid w:val="005B65CC"/>
    <w:rsid w:val="005B67DD"/>
    <w:rsid w:val="005B682D"/>
    <w:rsid w:val="005B7259"/>
    <w:rsid w:val="005B7264"/>
    <w:rsid w:val="005B7310"/>
    <w:rsid w:val="005C37A2"/>
    <w:rsid w:val="005C4386"/>
    <w:rsid w:val="005C58BE"/>
    <w:rsid w:val="005C604B"/>
    <w:rsid w:val="005C66CA"/>
    <w:rsid w:val="005C748E"/>
    <w:rsid w:val="005C7822"/>
    <w:rsid w:val="005D29F9"/>
    <w:rsid w:val="005D2A18"/>
    <w:rsid w:val="005D3372"/>
    <w:rsid w:val="005D4B37"/>
    <w:rsid w:val="005D5857"/>
    <w:rsid w:val="005D6169"/>
    <w:rsid w:val="005D63C8"/>
    <w:rsid w:val="005D67BB"/>
    <w:rsid w:val="005D689E"/>
    <w:rsid w:val="005E2B3B"/>
    <w:rsid w:val="005E5084"/>
    <w:rsid w:val="005E59FE"/>
    <w:rsid w:val="005E62E7"/>
    <w:rsid w:val="005F0CAD"/>
    <w:rsid w:val="005F0F24"/>
    <w:rsid w:val="005F1396"/>
    <w:rsid w:val="005F1731"/>
    <w:rsid w:val="005F1A4C"/>
    <w:rsid w:val="005F1F04"/>
    <w:rsid w:val="005F238E"/>
    <w:rsid w:val="005F28C7"/>
    <w:rsid w:val="005F2B9E"/>
    <w:rsid w:val="005F4940"/>
    <w:rsid w:val="005F4BBA"/>
    <w:rsid w:val="005F593A"/>
    <w:rsid w:val="005F64E7"/>
    <w:rsid w:val="005F6801"/>
    <w:rsid w:val="005F6C87"/>
    <w:rsid w:val="005F6DCC"/>
    <w:rsid w:val="005F7783"/>
    <w:rsid w:val="00600464"/>
    <w:rsid w:val="00600EF4"/>
    <w:rsid w:val="0060345C"/>
    <w:rsid w:val="00605409"/>
    <w:rsid w:val="00605F76"/>
    <w:rsid w:val="00606C62"/>
    <w:rsid w:val="006075C3"/>
    <w:rsid w:val="006103E0"/>
    <w:rsid w:val="00610C87"/>
    <w:rsid w:val="00610E55"/>
    <w:rsid w:val="006121B0"/>
    <w:rsid w:val="0061375D"/>
    <w:rsid w:val="00613A84"/>
    <w:rsid w:val="00613EDF"/>
    <w:rsid w:val="00614CE2"/>
    <w:rsid w:val="00616327"/>
    <w:rsid w:val="006167C6"/>
    <w:rsid w:val="006169FB"/>
    <w:rsid w:val="00617809"/>
    <w:rsid w:val="00617EF6"/>
    <w:rsid w:val="006212B5"/>
    <w:rsid w:val="00621971"/>
    <w:rsid w:val="0062247D"/>
    <w:rsid w:val="00622627"/>
    <w:rsid w:val="00623CBD"/>
    <w:rsid w:val="00624017"/>
    <w:rsid w:val="00624593"/>
    <w:rsid w:val="00624F88"/>
    <w:rsid w:val="006250FA"/>
    <w:rsid w:val="00627095"/>
    <w:rsid w:val="00630781"/>
    <w:rsid w:val="00634407"/>
    <w:rsid w:val="00634993"/>
    <w:rsid w:val="006356A7"/>
    <w:rsid w:val="00635905"/>
    <w:rsid w:val="00635FF2"/>
    <w:rsid w:val="00636300"/>
    <w:rsid w:val="006363FA"/>
    <w:rsid w:val="0063647D"/>
    <w:rsid w:val="00636F9F"/>
    <w:rsid w:val="006373C7"/>
    <w:rsid w:val="006375CD"/>
    <w:rsid w:val="00642835"/>
    <w:rsid w:val="00644E47"/>
    <w:rsid w:val="00646CA0"/>
    <w:rsid w:val="0064760F"/>
    <w:rsid w:val="00650502"/>
    <w:rsid w:val="0065095D"/>
    <w:rsid w:val="00650C2E"/>
    <w:rsid w:val="00652A0B"/>
    <w:rsid w:val="0065365B"/>
    <w:rsid w:val="0065382B"/>
    <w:rsid w:val="00654DBC"/>
    <w:rsid w:val="00655284"/>
    <w:rsid w:val="0065570B"/>
    <w:rsid w:val="00660F32"/>
    <w:rsid w:val="00664CBC"/>
    <w:rsid w:val="0066511F"/>
    <w:rsid w:val="00666656"/>
    <w:rsid w:val="00667D72"/>
    <w:rsid w:val="006744D4"/>
    <w:rsid w:val="0067558B"/>
    <w:rsid w:val="0067650E"/>
    <w:rsid w:val="00677B1B"/>
    <w:rsid w:val="006810B5"/>
    <w:rsid w:val="00681490"/>
    <w:rsid w:val="006817D5"/>
    <w:rsid w:val="00682069"/>
    <w:rsid w:val="00682862"/>
    <w:rsid w:val="00683230"/>
    <w:rsid w:val="0068432F"/>
    <w:rsid w:val="00684339"/>
    <w:rsid w:val="00684C5B"/>
    <w:rsid w:val="0068787A"/>
    <w:rsid w:val="00687D4D"/>
    <w:rsid w:val="00690020"/>
    <w:rsid w:val="006903F7"/>
    <w:rsid w:val="0069214A"/>
    <w:rsid w:val="00692407"/>
    <w:rsid w:val="006927C0"/>
    <w:rsid w:val="00692D2B"/>
    <w:rsid w:val="006949A2"/>
    <w:rsid w:val="00694C5D"/>
    <w:rsid w:val="006953EA"/>
    <w:rsid w:val="00695930"/>
    <w:rsid w:val="00695F08"/>
    <w:rsid w:val="0069782E"/>
    <w:rsid w:val="006A0996"/>
    <w:rsid w:val="006A1125"/>
    <w:rsid w:val="006A175F"/>
    <w:rsid w:val="006A19EF"/>
    <w:rsid w:val="006A65DF"/>
    <w:rsid w:val="006A75B9"/>
    <w:rsid w:val="006A7D9D"/>
    <w:rsid w:val="006A7FA2"/>
    <w:rsid w:val="006B1DDD"/>
    <w:rsid w:val="006B28C0"/>
    <w:rsid w:val="006B332A"/>
    <w:rsid w:val="006B3C61"/>
    <w:rsid w:val="006B3DC6"/>
    <w:rsid w:val="006B42E4"/>
    <w:rsid w:val="006B50BC"/>
    <w:rsid w:val="006B61FA"/>
    <w:rsid w:val="006B62C8"/>
    <w:rsid w:val="006B63F9"/>
    <w:rsid w:val="006B6BAE"/>
    <w:rsid w:val="006B6E62"/>
    <w:rsid w:val="006B7A6A"/>
    <w:rsid w:val="006B7DBC"/>
    <w:rsid w:val="006C12D1"/>
    <w:rsid w:val="006C38B9"/>
    <w:rsid w:val="006C3B32"/>
    <w:rsid w:val="006C5FD6"/>
    <w:rsid w:val="006C7589"/>
    <w:rsid w:val="006D02E8"/>
    <w:rsid w:val="006D0787"/>
    <w:rsid w:val="006D1AE3"/>
    <w:rsid w:val="006D1E25"/>
    <w:rsid w:val="006D204E"/>
    <w:rsid w:val="006D2940"/>
    <w:rsid w:val="006D3431"/>
    <w:rsid w:val="006D4506"/>
    <w:rsid w:val="006D4710"/>
    <w:rsid w:val="006D5111"/>
    <w:rsid w:val="006D5AC5"/>
    <w:rsid w:val="006E29C0"/>
    <w:rsid w:val="006E3463"/>
    <w:rsid w:val="006E455F"/>
    <w:rsid w:val="006E5233"/>
    <w:rsid w:val="006E60B1"/>
    <w:rsid w:val="006E6E6A"/>
    <w:rsid w:val="006E7394"/>
    <w:rsid w:val="006E7A65"/>
    <w:rsid w:val="006E7F8E"/>
    <w:rsid w:val="006F1439"/>
    <w:rsid w:val="006F1EF2"/>
    <w:rsid w:val="006F1F93"/>
    <w:rsid w:val="006F360A"/>
    <w:rsid w:val="006F4A33"/>
    <w:rsid w:val="006F5115"/>
    <w:rsid w:val="006F5996"/>
    <w:rsid w:val="007006BB"/>
    <w:rsid w:val="0070281F"/>
    <w:rsid w:val="00704313"/>
    <w:rsid w:val="007049C7"/>
    <w:rsid w:val="00704A3D"/>
    <w:rsid w:val="00704F67"/>
    <w:rsid w:val="00707C2D"/>
    <w:rsid w:val="0071093C"/>
    <w:rsid w:val="00713156"/>
    <w:rsid w:val="00714365"/>
    <w:rsid w:val="0071468B"/>
    <w:rsid w:val="00717A0C"/>
    <w:rsid w:val="00721B02"/>
    <w:rsid w:val="00722868"/>
    <w:rsid w:val="00722FEC"/>
    <w:rsid w:val="007239A2"/>
    <w:rsid w:val="00723A39"/>
    <w:rsid w:val="00725DCC"/>
    <w:rsid w:val="00726D5C"/>
    <w:rsid w:val="00727C08"/>
    <w:rsid w:val="00730FD9"/>
    <w:rsid w:val="00731D76"/>
    <w:rsid w:val="007324F7"/>
    <w:rsid w:val="0073358E"/>
    <w:rsid w:val="00733894"/>
    <w:rsid w:val="00733E79"/>
    <w:rsid w:val="00734838"/>
    <w:rsid w:val="00734E10"/>
    <w:rsid w:val="007355B1"/>
    <w:rsid w:val="007360F3"/>
    <w:rsid w:val="007368B4"/>
    <w:rsid w:val="00736F27"/>
    <w:rsid w:val="007400FB"/>
    <w:rsid w:val="00740312"/>
    <w:rsid w:val="00740BCF"/>
    <w:rsid w:val="00742BC5"/>
    <w:rsid w:val="00743073"/>
    <w:rsid w:val="007467A0"/>
    <w:rsid w:val="00747B8F"/>
    <w:rsid w:val="007506BC"/>
    <w:rsid w:val="00750DDF"/>
    <w:rsid w:val="0075322A"/>
    <w:rsid w:val="0075332D"/>
    <w:rsid w:val="0075354C"/>
    <w:rsid w:val="00754C96"/>
    <w:rsid w:val="007556DE"/>
    <w:rsid w:val="00757221"/>
    <w:rsid w:val="00757297"/>
    <w:rsid w:val="00757E1B"/>
    <w:rsid w:val="00757EA1"/>
    <w:rsid w:val="00760607"/>
    <w:rsid w:val="0076093E"/>
    <w:rsid w:val="00760D3D"/>
    <w:rsid w:val="007621C3"/>
    <w:rsid w:val="007647B1"/>
    <w:rsid w:val="00764B54"/>
    <w:rsid w:val="00766C20"/>
    <w:rsid w:val="00766D00"/>
    <w:rsid w:val="007673E7"/>
    <w:rsid w:val="007676A7"/>
    <w:rsid w:val="00767EB3"/>
    <w:rsid w:val="0077000C"/>
    <w:rsid w:val="00770857"/>
    <w:rsid w:val="00770D55"/>
    <w:rsid w:val="00772A22"/>
    <w:rsid w:val="0077365A"/>
    <w:rsid w:val="007736AE"/>
    <w:rsid w:val="007743EA"/>
    <w:rsid w:val="00775165"/>
    <w:rsid w:val="00777D22"/>
    <w:rsid w:val="00777EF3"/>
    <w:rsid w:val="007803AF"/>
    <w:rsid w:val="00782521"/>
    <w:rsid w:val="00783EEF"/>
    <w:rsid w:val="00785132"/>
    <w:rsid w:val="00785707"/>
    <w:rsid w:val="00785CF6"/>
    <w:rsid w:val="00785F86"/>
    <w:rsid w:val="007864D1"/>
    <w:rsid w:val="00786A8E"/>
    <w:rsid w:val="0078777B"/>
    <w:rsid w:val="00790122"/>
    <w:rsid w:val="00790CDA"/>
    <w:rsid w:val="00790E86"/>
    <w:rsid w:val="00791A96"/>
    <w:rsid w:val="007943F2"/>
    <w:rsid w:val="00794757"/>
    <w:rsid w:val="00795829"/>
    <w:rsid w:val="00796286"/>
    <w:rsid w:val="00797FA2"/>
    <w:rsid w:val="007A1B0E"/>
    <w:rsid w:val="007A1B26"/>
    <w:rsid w:val="007A548D"/>
    <w:rsid w:val="007A5D72"/>
    <w:rsid w:val="007A7268"/>
    <w:rsid w:val="007A762D"/>
    <w:rsid w:val="007B1AE1"/>
    <w:rsid w:val="007B41BA"/>
    <w:rsid w:val="007B4A73"/>
    <w:rsid w:val="007B53A8"/>
    <w:rsid w:val="007B70CB"/>
    <w:rsid w:val="007B72E9"/>
    <w:rsid w:val="007C04E6"/>
    <w:rsid w:val="007C0ABA"/>
    <w:rsid w:val="007C1A87"/>
    <w:rsid w:val="007C31F7"/>
    <w:rsid w:val="007C3492"/>
    <w:rsid w:val="007C3DD1"/>
    <w:rsid w:val="007C5370"/>
    <w:rsid w:val="007C579C"/>
    <w:rsid w:val="007C58F6"/>
    <w:rsid w:val="007D0988"/>
    <w:rsid w:val="007D1ABC"/>
    <w:rsid w:val="007D1F01"/>
    <w:rsid w:val="007D2199"/>
    <w:rsid w:val="007D2239"/>
    <w:rsid w:val="007D3248"/>
    <w:rsid w:val="007D3E11"/>
    <w:rsid w:val="007D422F"/>
    <w:rsid w:val="007E164E"/>
    <w:rsid w:val="007E3290"/>
    <w:rsid w:val="007E5412"/>
    <w:rsid w:val="007E56C5"/>
    <w:rsid w:val="007E650F"/>
    <w:rsid w:val="007E7CCA"/>
    <w:rsid w:val="007F1617"/>
    <w:rsid w:val="007F18C1"/>
    <w:rsid w:val="007F19F0"/>
    <w:rsid w:val="007F26FA"/>
    <w:rsid w:val="007F2779"/>
    <w:rsid w:val="007F5C4C"/>
    <w:rsid w:val="007F6AC0"/>
    <w:rsid w:val="007F6D22"/>
    <w:rsid w:val="007F6F57"/>
    <w:rsid w:val="007F78FE"/>
    <w:rsid w:val="008001CC"/>
    <w:rsid w:val="0080085B"/>
    <w:rsid w:val="0080129E"/>
    <w:rsid w:val="00801760"/>
    <w:rsid w:val="008023F7"/>
    <w:rsid w:val="008034F4"/>
    <w:rsid w:val="00804BED"/>
    <w:rsid w:val="00805AC0"/>
    <w:rsid w:val="00805D45"/>
    <w:rsid w:val="00806A8B"/>
    <w:rsid w:val="00806E8D"/>
    <w:rsid w:val="0081089D"/>
    <w:rsid w:val="00811250"/>
    <w:rsid w:val="00812353"/>
    <w:rsid w:val="00812C51"/>
    <w:rsid w:val="00812C5E"/>
    <w:rsid w:val="00813EB1"/>
    <w:rsid w:val="00814198"/>
    <w:rsid w:val="00814806"/>
    <w:rsid w:val="0081579E"/>
    <w:rsid w:val="0081605A"/>
    <w:rsid w:val="00816230"/>
    <w:rsid w:val="00822009"/>
    <w:rsid w:val="00825A6D"/>
    <w:rsid w:val="00826207"/>
    <w:rsid w:val="0082714E"/>
    <w:rsid w:val="00827B9C"/>
    <w:rsid w:val="008305D2"/>
    <w:rsid w:val="00830EFE"/>
    <w:rsid w:val="008314EE"/>
    <w:rsid w:val="008315F5"/>
    <w:rsid w:val="00831C19"/>
    <w:rsid w:val="00832471"/>
    <w:rsid w:val="00832E8A"/>
    <w:rsid w:val="008333B3"/>
    <w:rsid w:val="008335F4"/>
    <w:rsid w:val="00833BDE"/>
    <w:rsid w:val="00835E10"/>
    <w:rsid w:val="00835EFD"/>
    <w:rsid w:val="00836920"/>
    <w:rsid w:val="00836B8D"/>
    <w:rsid w:val="00836E1D"/>
    <w:rsid w:val="00837CD5"/>
    <w:rsid w:val="00841F94"/>
    <w:rsid w:val="00842802"/>
    <w:rsid w:val="008444B6"/>
    <w:rsid w:val="00845B37"/>
    <w:rsid w:val="0084637C"/>
    <w:rsid w:val="008472BE"/>
    <w:rsid w:val="008500AC"/>
    <w:rsid w:val="008519A7"/>
    <w:rsid w:val="00851DFD"/>
    <w:rsid w:val="0085255E"/>
    <w:rsid w:val="008526C5"/>
    <w:rsid w:val="008528A9"/>
    <w:rsid w:val="00852BC7"/>
    <w:rsid w:val="008549C1"/>
    <w:rsid w:val="00856110"/>
    <w:rsid w:val="00861424"/>
    <w:rsid w:val="00862F0B"/>
    <w:rsid w:val="0086382D"/>
    <w:rsid w:val="00866CE1"/>
    <w:rsid w:val="0086771A"/>
    <w:rsid w:val="008721C5"/>
    <w:rsid w:val="0087311B"/>
    <w:rsid w:val="0087324B"/>
    <w:rsid w:val="008738F1"/>
    <w:rsid w:val="00873A07"/>
    <w:rsid w:val="00874E7A"/>
    <w:rsid w:val="00875045"/>
    <w:rsid w:val="00875177"/>
    <w:rsid w:val="00875760"/>
    <w:rsid w:val="00876EDF"/>
    <w:rsid w:val="00877070"/>
    <w:rsid w:val="00880B56"/>
    <w:rsid w:val="0088478D"/>
    <w:rsid w:val="00884DF1"/>
    <w:rsid w:val="008850D7"/>
    <w:rsid w:val="008926F0"/>
    <w:rsid w:val="008963F0"/>
    <w:rsid w:val="00896B3D"/>
    <w:rsid w:val="00897693"/>
    <w:rsid w:val="008A002F"/>
    <w:rsid w:val="008A053E"/>
    <w:rsid w:val="008A18FF"/>
    <w:rsid w:val="008A1DFA"/>
    <w:rsid w:val="008A2264"/>
    <w:rsid w:val="008A2636"/>
    <w:rsid w:val="008A4802"/>
    <w:rsid w:val="008A5B8C"/>
    <w:rsid w:val="008A64DF"/>
    <w:rsid w:val="008A6D4D"/>
    <w:rsid w:val="008B0F1A"/>
    <w:rsid w:val="008B124B"/>
    <w:rsid w:val="008B13C9"/>
    <w:rsid w:val="008B4C23"/>
    <w:rsid w:val="008B5CF4"/>
    <w:rsid w:val="008B7EF5"/>
    <w:rsid w:val="008C02F1"/>
    <w:rsid w:val="008C0303"/>
    <w:rsid w:val="008C03CF"/>
    <w:rsid w:val="008C59DE"/>
    <w:rsid w:val="008C69F5"/>
    <w:rsid w:val="008C6CE9"/>
    <w:rsid w:val="008D2BC6"/>
    <w:rsid w:val="008D535E"/>
    <w:rsid w:val="008D79E6"/>
    <w:rsid w:val="008E04DF"/>
    <w:rsid w:val="008E0F12"/>
    <w:rsid w:val="008E1A80"/>
    <w:rsid w:val="008E2803"/>
    <w:rsid w:val="008E3247"/>
    <w:rsid w:val="008E6037"/>
    <w:rsid w:val="008E66F7"/>
    <w:rsid w:val="008E7606"/>
    <w:rsid w:val="008F3AB2"/>
    <w:rsid w:val="008F4EAF"/>
    <w:rsid w:val="008F59F9"/>
    <w:rsid w:val="008F7748"/>
    <w:rsid w:val="008F7A75"/>
    <w:rsid w:val="008F7F94"/>
    <w:rsid w:val="00900788"/>
    <w:rsid w:val="009013C2"/>
    <w:rsid w:val="00902395"/>
    <w:rsid w:val="00902ED9"/>
    <w:rsid w:val="00903B95"/>
    <w:rsid w:val="009068D3"/>
    <w:rsid w:val="00907ADB"/>
    <w:rsid w:val="00910326"/>
    <w:rsid w:val="00911C74"/>
    <w:rsid w:val="0091412B"/>
    <w:rsid w:val="0091478A"/>
    <w:rsid w:val="009153FF"/>
    <w:rsid w:val="0091589A"/>
    <w:rsid w:val="0091593D"/>
    <w:rsid w:val="0091649A"/>
    <w:rsid w:val="0091666C"/>
    <w:rsid w:val="009173C4"/>
    <w:rsid w:val="0091785A"/>
    <w:rsid w:val="009210C0"/>
    <w:rsid w:val="0092161C"/>
    <w:rsid w:val="009218C2"/>
    <w:rsid w:val="009227D3"/>
    <w:rsid w:val="00922A1D"/>
    <w:rsid w:val="009251EE"/>
    <w:rsid w:val="00926399"/>
    <w:rsid w:val="009275F0"/>
    <w:rsid w:val="00927F75"/>
    <w:rsid w:val="00931AE0"/>
    <w:rsid w:val="009337A6"/>
    <w:rsid w:val="00933CF3"/>
    <w:rsid w:val="00934427"/>
    <w:rsid w:val="0093515B"/>
    <w:rsid w:val="00935405"/>
    <w:rsid w:val="0093547D"/>
    <w:rsid w:val="0094162F"/>
    <w:rsid w:val="00941882"/>
    <w:rsid w:val="009448BA"/>
    <w:rsid w:val="00944ACB"/>
    <w:rsid w:val="00945946"/>
    <w:rsid w:val="00946252"/>
    <w:rsid w:val="00946511"/>
    <w:rsid w:val="00946662"/>
    <w:rsid w:val="0094775D"/>
    <w:rsid w:val="009502D2"/>
    <w:rsid w:val="00953030"/>
    <w:rsid w:val="0095488F"/>
    <w:rsid w:val="00954D44"/>
    <w:rsid w:val="0095585F"/>
    <w:rsid w:val="0095672A"/>
    <w:rsid w:val="00964D5C"/>
    <w:rsid w:val="00966042"/>
    <w:rsid w:val="00966A8E"/>
    <w:rsid w:val="009677B7"/>
    <w:rsid w:val="00970355"/>
    <w:rsid w:val="00970557"/>
    <w:rsid w:val="00970C30"/>
    <w:rsid w:val="009718BD"/>
    <w:rsid w:val="00971B31"/>
    <w:rsid w:val="00972768"/>
    <w:rsid w:val="00975214"/>
    <w:rsid w:val="00975C07"/>
    <w:rsid w:val="0097653D"/>
    <w:rsid w:val="0097661F"/>
    <w:rsid w:val="0097710D"/>
    <w:rsid w:val="00977606"/>
    <w:rsid w:val="009800C2"/>
    <w:rsid w:val="00980D17"/>
    <w:rsid w:val="00980D22"/>
    <w:rsid w:val="0098787D"/>
    <w:rsid w:val="00990007"/>
    <w:rsid w:val="009916CB"/>
    <w:rsid w:val="00991F73"/>
    <w:rsid w:val="009930F5"/>
    <w:rsid w:val="00993FB2"/>
    <w:rsid w:val="00994994"/>
    <w:rsid w:val="0099535E"/>
    <w:rsid w:val="009A2AA4"/>
    <w:rsid w:val="009A4032"/>
    <w:rsid w:val="009A4811"/>
    <w:rsid w:val="009A4983"/>
    <w:rsid w:val="009A5CE6"/>
    <w:rsid w:val="009A613F"/>
    <w:rsid w:val="009A6DA1"/>
    <w:rsid w:val="009A7F07"/>
    <w:rsid w:val="009B10EA"/>
    <w:rsid w:val="009B189C"/>
    <w:rsid w:val="009B5532"/>
    <w:rsid w:val="009B6C15"/>
    <w:rsid w:val="009B7C14"/>
    <w:rsid w:val="009C05FC"/>
    <w:rsid w:val="009C1C20"/>
    <w:rsid w:val="009C2866"/>
    <w:rsid w:val="009C3572"/>
    <w:rsid w:val="009C3699"/>
    <w:rsid w:val="009C41ED"/>
    <w:rsid w:val="009C76BA"/>
    <w:rsid w:val="009D0DA5"/>
    <w:rsid w:val="009D1E9D"/>
    <w:rsid w:val="009D2350"/>
    <w:rsid w:val="009D23EA"/>
    <w:rsid w:val="009D292A"/>
    <w:rsid w:val="009D516E"/>
    <w:rsid w:val="009D5917"/>
    <w:rsid w:val="009D62EA"/>
    <w:rsid w:val="009D7F44"/>
    <w:rsid w:val="009E11F2"/>
    <w:rsid w:val="009E28ED"/>
    <w:rsid w:val="009E59FB"/>
    <w:rsid w:val="009E67C3"/>
    <w:rsid w:val="009E6865"/>
    <w:rsid w:val="009E6918"/>
    <w:rsid w:val="009E7242"/>
    <w:rsid w:val="009F0E3E"/>
    <w:rsid w:val="009F2523"/>
    <w:rsid w:val="009F26C4"/>
    <w:rsid w:val="009F2D95"/>
    <w:rsid w:val="009F2EC5"/>
    <w:rsid w:val="009F34F1"/>
    <w:rsid w:val="00A02450"/>
    <w:rsid w:val="00A037DD"/>
    <w:rsid w:val="00A039E0"/>
    <w:rsid w:val="00A047EE"/>
    <w:rsid w:val="00A04AD2"/>
    <w:rsid w:val="00A11DF9"/>
    <w:rsid w:val="00A11E55"/>
    <w:rsid w:val="00A123FE"/>
    <w:rsid w:val="00A12650"/>
    <w:rsid w:val="00A12D70"/>
    <w:rsid w:val="00A141BA"/>
    <w:rsid w:val="00A14661"/>
    <w:rsid w:val="00A14817"/>
    <w:rsid w:val="00A14EDF"/>
    <w:rsid w:val="00A15650"/>
    <w:rsid w:val="00A15760"/>
    <w:rsid w:val="00A1761C"/>
    <w:rsid w:val="00A203AA"/>
    <w:rsid w:val="00A20923"/>
    <w:rsid w:val="00A21438"/>
    <w:rsid w:val="00A23B88"/>
    <w:rsid w:val="00A240E0"/>
    <w:rsid w:val="00A242B2"/>
    <w:rsid w:val="00A242D6"/>
    <w:rsid w:val="00A24E5B"/>
    <w:rsid w:val="00A25638"/>
    <w:rsid w:val="00A26528"/>
    <w:rsid w:val="00A27E65"/>
    <w:rsid w:val="00A311FB"/>
    <w:rsid w:val="00A32255"/>
    <w:rsid w:val="00A32494"/>
    <w:rsid w:val="00A330A3"/>
    <w:rsid w:val="00A339FB"/>
    <w:rsid w:val="00A33B80"/>
    <w:rsid w:val="00A33DD1"/>
    <w:rsid w:val="00A35DB8"/>
    <w:rsid w:val="00A373BB"/>
    <w:rsid w:val="00A377CC"/>
    <w:rsid w:val="00A37DA8"/>
    <w:rsid w:val="00A447FC"/>
    <w:rsid w:val="00A46D74"/>
    <w:rsid w:val="00A47358"/>
    <w:rsid w:val="00A47DD4"/>
    <w:rsid w:val="00A51462"/>
    <w:rsid w:val="00A519D1"/>
    <w:rsid w:val="00A535BC"/>
    <w:rsid w:val="00A53E45"/>
    <w:rsid w:val="00A540F1"/>
    <w:rsid w:val="00A547EE"/>
    <w:rsid w:val="00A55DB0"/>
    <w:rsid w:val="00A560B4"/>
    <w:rsid w:val="00A577EE"/>
    <w:rsid w:val="00A60020"/>
    <w:rsid w:val="00A613ED"/>
    <w:rsid w:val="00A636A7"/>
    <w:rsid w:val="00A63B4F"/>
    <w:rsid w:val="00A63F31"/>
    <w:rsid w:val="00A64218"/>
    <w:rsid w:val="00A64E7C"/>
    <w:rsid w:val="00A65075"/>
    <w:rsid w:val="00A66912"/>
    <w:rsid w:val="00A67ADD"/>
    <w:rsid w:val="00A707DB"/>
    <w:rsid w:val="00A70E08"/>
    <w:rsid w:val="00A719F9"/>
    <w:rsid w:val="00A733A9"/>
    <w:rsid w:val="00A74109"/>
    <w:rsid w:val="00A74F57"/>
    <w:rsid w:val="00A76F07"/>
    <w:rsid w:val="00A77807"/>
    <w:rsid w:val="00A77C5F"/>
    <w:rsid w:val="00A82774"/>
    <w:rsid w:val="00A82C4E"/>
    <w:rsid w:val="00A84C15"/>
    <w:rsid w:val="00A85C02"/>
    <w:rsid w:val="00A864F1"/>
    <w:rsid w:val="00A9009C"/>
    <w:rsid w:val="00A91803"/>
    <w:rsid w:val="00A92D1D"/>
    <w:rsid w:val="00A93BFF"/>
    <w:rsid w:val="00A96AC4"/>
    <w:rsid w:val="00A97730"/>
    <w:rsid w:val="00AA001E"/>
    <w:rsid w:val="00AA0281"/>
    <w:rsid w:val="00AA0ED4"/>
    <w:rsid w:val="00AA1E03"/>
    <w:rsid w:val="00AA2027"/>
    <w:rsid w:val="00AA3085"/>
    <w:rsid w:val="00AA3C91"/>
    <w:rsid w:val="00AA4E47"/>
    <w:rsid w:val="00AA5E06"/>
    <w:rsid w:val="00AA6A65"/>
    <w:rsid w:val="00AA70C2"/>
    <w:rsid w:val="00AB01D3"/>
    <w:rsid w:val="00AB09FB"/>
    <w:rsid w:val="00AB11E9"/>
    <w:rsid w:val="00AB12F4"/>
    <w:rsid w:val="00AB17AF"/>
    <w:rsid w:val="00AB1C2A"/>
    <w:rsid w:val="00AB33BB"/>
    <w:rsid w:val="00AB3514"/>
    <w:rsid w:val="00AB35AF"/>
    <w:rsid w:val="00AB6134"/>
    <w:rsid w:val="00AB79DE"/>
    <w:rsid w:val="00AC00DC"/>
    <w:rsid w:val="00AC05E5"/>
    <w:rsid w:val="00AC0616"/>
    <w:rsid w:val="00AC074F"/>
    <w:rsid w:val="00AC0779"/>
    <w:rsid w:val="00AC1518"/>
    <w:rsid w:val="00AC2B06"/>
    <w:rsid w:val="00AC2BA7"/>
    <w:rsid w:val="00AC2F6A"/>
    <w:rsid w:val="00AC31A4"/>
    <w:rsid w:val="00AC34A5"/>
    <w:rsid w:val="00AC517A"/>
    <w:rsid w:val="00AC6C31"/>
    <w:rsid w:val="00AD10B4"/>
    <w:rsid w:val="00AD17EC"/>
    <w:rsid w:val="00AD1B88"/>
    <w:rsid w:val="00AD5DE9"/>
    <w:rsid w:val="00AD730B"/>
    <w:rsid w:val="00AE153A"/>
    <w:rsid w:val="00AE2B99"/>
    <w:rsid w:val="00AE3473"/>
    <w:rsid w:val="00AE4991"/>
    <w:rsid w:val="00AE5499"/>
    <w:rsid w:val="00AE636C"/>
    <w:rsid w:val="00AE66FF"/>
    <w:rsid w:val="00AF05E1"/>
    <w:rsid w:val="00AF1219"/>
    <w:rsid w:val="00AF16B9"/>
    <w:rsid w:val="00AF274B"/>
    <w:rsid w:val="00AF2DB4"/>
    <w:rsid w:val="00AF31B2"/>
    <w:rsid w:val="00AF3C13"/>
    <w:rsid w:val="00AF3DAF"/>
    <w:rsid w:val="00AF4F32"/>
    <w:rsid w:val="00AF566F"/>
    <w:rsid w:val="00AF5958"/>
    <w:rsid w:val="00AF5AA3"/>
    <w:rsid w:val="00AF619F"/>
    <w:rsid w:val="00AF6F5F"/>
    <w:rsid w:val="00AF74A9"/>
    <w:rsid w:val="00AF7AD2"/>
    <w:rsid w:val="00B0009B"/>
    <w:rsid w:val="00B044A2"/>
    <w:rsid w:val="00B04D84"/>
    <w:rsid w:val="00B0615E"/>
    <w:rsid w:val="00B07FEB"/>
    <w:rsid w:val="00B10AEB"/>
    <w:rsid w:val="00B1120A"/>
    <w:rsid w:val="00B125AB"/>
    <w:rsid w:val="00B12664"/>
    <w:rsid w:val="00B13A7E"/>
    <w:rsid w:val="00B14D04"/>
    <w:rsid w:val="00B15DFA"/>
    <w:rsid w:val="00B163B8"/>
    <w:rsid w:val="00B16E23"/>
    <w:rsid w:val="00B1791D"/>
    <w:rsid w:val="00B21784"/>
    <w:rsid w:val="00B23242"/>
    <w:rsid w:val="00B24F69"/>
    <w:rsid w:val="00B25A97"/>
    <w:rsid w:val="00B26112"/>
    <w:rsid w:val="00B27037"/>
    <w:rsid w:val="00B27ACC"/>
    <w:rsid w:val="00B30D7B"/>
    <w:rsid w:val="00B339D9"/>
    <w:rsid w:val="00B3453D"/>
    <w:rsid w:val="00B34620"/>
    <w:rsid w:val="00B35B63"/>
    <w:rsid w:val="00B361FD"/>
    <w:rsid w:val="00B362F4"/>
    <w:rsid w:val="00B372FB"/>
    <w:rsid w:val="00B37383"/>
    <w:rsid w:val="00B402D6"/>
    <w:rsid w:val="00B40492"/>
    <w:rsid w:val="00B408E6"/>
    <w:rsid w:val="00B437BD"/>
    <w:rsid w:val="00B43B24"/>
    <w:rsid w:val="00B441EC"/>
    <w:rsid w:val="00B4481C"/>
    <w:rsid w:val="00B449D9"/>
    <w:rsid w:val="00B45B87"/>
    <w:rsid w:val="00B46A4D"/>
    <w:rsid w:val="00B4768E"/>
    <w:rsid w:val="00B47B25"/>
    <w:rsid w:val="00B51887"/>
    <w:rsid w:val="00B5230D"/>
    <w:rsid w:val="00B56332"/>
    <w:rsid w:val="00B56594"/>
    <w:rsid w:val="00B568BB"/>
    <w:rsid w:val="00B5769D"/>
    <w:rsid w:val="00B57918"/>
    <w:rsid w:val="00B57F10"/>
    <w:rsid w:val="00B60186"/>
    <w:rsid w:val="00B60237"/>
    <w:rsid w:val="00B60D6C"/>
    <w:rsid w:val="00B61D7D"/>
    <w:rsid w:val="00B62DBF"/>
    <w:rsid w:val="00B63CFB"/>
    <w:rsid w:val="00B6459A"/>
    <w:rsid w:val="00B64645"/>
    <w:rsid w:val="00B64A22"/>
    <w:rsid w:val="00B65DB2"/>
    <w:rsid w:val="00B65EE1"/>
    <w:rsid w:val="00B66698"/>
    <w:rsid w:val="00B671F3"/>
    <w:rsid w:val="00B67321"/>
    <w:rsid w:val="00B677C2"/>
    <w:rsid w:val="00B70ECD"/>
    <w:rsid w:val="00B70F47"/>
    <w:rsid w:val="00B712B4"/>
    <w:rsid w:val="00B7198D"/>
    <w:rsid w:val="00B71997"/>
    <w:rsid w:val="00B722AA"/>
    <w:rsid w:val="00B73C4B"/>
    <w:rsid w:val="00B74452"/>
    <w:rsid w:val="00B77FDF"/>
    <w:rsid w:val="00B80012"/>
    <w:rsid w:val="00B80DF0"/>
    <w:rsid w:val="00B82FAC"/>
    <w:rsid w:val="00B8371D"/>
    <w:rsid w:val="00B8460C"/>
    <w:rsid w:val="00B86779"/>
    <w:rsid w:val="00B875A6"/>
    <w:rsid w:val="00B90650"/>
    <w:rsid w:val="00B90BBF"/>
    <w:rsid w:val="00B90EAD"/>
    <w:rsid w:val="00B92EF1"/>
    <w:rsid w:val="00B9373D"/>
    <w:rsid w:val="00B93EDF"/>
    <w:rsid w:val="00B95261"/>
    <w:rsid w:val="00B9530E"/>
    <w:rsid w:val="00B95925"/>
    <w:rsid w:val="00B95DA6"/>
    <w:rsid w:val="00B9644E"/>
    <w:rsid w:val="00B9730B"/>
    <w:rsid w:val="00B975BC"/>
    <w:rsid w:val="00B97AB0"/>
    <w:rsid w:val="00B97FCE"/>
    <w:rsid w:val="00BA0B08"/>
    <w:rsid w:val="00BA2306"/>
    <w:rsid w:val="00BA2521"/>
    <w:rsid w:val="00BA2923"/>
    <w:rsid w:val="00BA3CBC"/>
    <w:rsid w:val="00BA4313"/>
    <w:rsid w:val="00BA5C36"/>
    <w:rsid w:val="00BB1EFC"/>
    <w:rsid w:val="00BB2209"/>
    <w:rsid w:val="00BB30F0"/>
    <w:rsid w:val="00BB32C6"/>
    <w:rsid w:val="00BB391F"/>
    <w:rsid w:val="00BB3A5E"/>
    <w:rsid w:val="00BB3E58"/>
    <w:rsid w:val="00BB3F23"/>
    <w:rsid w:val="00BB5925"/>
    <w:rsid w:val="00BB5E8F"/>
    <w:rsid w:val="00BB6571"/>
    <w:rsid w:val="00BB7A85"/>
    <w:rsid w:val="00BC1BD1"/>
    <w:rsid w:val="00BC311B"/>
    <w:rsid w:val="00BC3259"/>
    <w:rsid w:val="00BC392D"/>
    <w:rsid w:val="00BC3C28"/>
    <w:rsid w:val="00BC4F1D"/>
    <w:rsid w:val="00BC552A"/>
    <w:rsid w:val="00BC659C"/>
    <w:rsid w:val="00BC6EAF"/>
    <w:rsid w:val="00BC7333"/>
    <w:rsid w:val="00BC74A6"/>
    <w:rsid w:val="00BC7A4E"/>
    <w:rsid w:val="00BD00D6"/>
    <w:rsid w:val="00BD15D4"/>
    <w:rsid w:val="00BD203B"/>
    <w:rsid w:val="00BD28E1"/>
    <w:rsid w:val="00BD2F3B"/>
    <w:rsid w:val="00BD4DE7"/>
    <w:rsid w:val="00BD5E19"/>
    <w:rsid w:val="00BE0A4B"/>
    <w:rsid w:val="00BE1C18"/>
    <w:rsid w:val="00BE28CB"/>
    <w:rsid w:val="00BE2CE4"/>
    <w:rsid w:val="00BE58D3"/>
    <w:rsid w:val="00BE6170"/>
    <w:rsid w:val="00BE6296"/>
    <w:rsid w:val="00BE6B8C"/>
    <w:rsid w:val="00BE7064"/>
    <w:rsid w:val="00BF0717"/>
    <w:rsid w:val="00BF12D1"/>
    <w:rsid w:val="00BF1497"/>
    <w:rsid w:val="00BF1D55"/>
    <w:rsid w:val="00BF2692"/>
    <w:rsid w:val="00BF405D"/>
    <w:rsid w:val="00BF4BAB"/>
    <w:rsid w:val="00BF5799"/>
    <w:rsid w:val="00BF59DE"/>
    <w:rsid w:val="00BF6F53"/>
    <w:rsid w:val="00C00216"/>
    <w:rsid w:val="00C010EF"/>
    <w:rsid w:val="00C01FA4"/>
    <w:rsid w:val="00C0230F"/>
    <w:rsid w:val="00C0247F"/>
    <w:rsid w:val="00C02BAC"/>
    <w:rsid w:val="00C0300B"/>
    <w:rsid w:val="00C062E4"/>
    <w:rsid w:val="00C064E4"/>
    <w:rsid w:val="00C06981"/>
    <w:rsid w:val="00C0764F"/>
    <w:rsid w:val="00C10022"/>
    <w:rsid w:val="00C10B47"/>
    <w:rsid w:val="00C119DC"/>
    <w:rsid w:val="00C12499"/>
    <w:rsid w:val="00C1261F"/>
    <w:rsid w:val="00C12724"/>
    <w:rsid w:val="00C12903"/>
    <w:rsid w:val="00C131DD"/>
    <w:rsid w:val="00C15588"/>
    <w:rsid w:val="00C16A3F"/>
    <w:rsid w:val="00C16F42"/>
    <w:rsid w:val="00C16FF8"/>
    <w:rsid w:val="00C17015"/>
    <w:rsid w:val="00C1782E"/>
    <w:rsid w:val="00C206A4"/>
    <w:rsid w:val="00C2216E"/>
    <w:rsid w:val="00C22497"/>
    <w:rsid w:val="00C23544"/>
    <w:rsid w:val="00C25007"/>
    <w:rsid w:val="00C260B2"/>
    <w:rsid w:val="00C275D2"/>
    <w:rsid w:val="00C27A85"/>
    <w:rsid w:val="00C325D3"/>
    <w:rsid w:val="00C3341D"/>
    <w:rsid w:val="00C40518"/>
    <w:rsid w:val="00C41E16"/>
    <w:rsid w:val="00C42E6C"/>
    <w:rsid w:val="00C435EB"/>
    <w:rsid w:val="00C4412E"/>
    <w:rsid w:val="00C4609D"/>
    <w:rsid w:val="00C47AC3"/>
    <w:rsid w:val="00C5007A"/>
    <w:rsid w:val="00C51F2F"/>
    <w:rsid w:val="00C52A2E"/>
    <w:rsid w:val="00C53BB8"/>
    <w:rsid w:val="00C5424F"/>
    <w:rsid w:val="00C5433D"/>
    <w:rsid w:val="00C54640"/>
    <w:rsid w:val="00C5636C"/>
    <w:rsid w:val="00C57D61"/>
    <w:rsid w:val="00C600CB"/>
    <w:rsid w:val="00C62853"/>
    <w:rsid w:val="00C62A5A"/>
    <w:rsid w:val="00C63C4F"/>
    <w:rsid w:val="00C641B7"/>
    <w:rsid w:val="00C64234"/>
    <w:rsid w:val="00C64472"/>
    <w:rsid w:val="00C67801"/>
    <w:rsid w:val="00C67C3D"/>
    <w:rsid w:val="00C70E2A"/>
    <w:rsid w:val="00C7179E"/>
    <w:rsid w:val="00C76547"/>
    <w:rsid w:val="00C80B7E"/>
    <w:rsid w:val="00C83CAD"/>
    <w:rsid w:val="00C83D6D"/>
    <w:rsid w:val="00C8409B"/>
    <w:rsid w:val="00C84421"/>
    <w:rsid w:val="00C85C18"/>
    <w:rsid w:val="00C8687D"/>
    <w:rsid w:val="00C878CD"/>
    <w:rsid w:val="00C87E2B"/>
    <w:rsid w:val="00C9076D"/>
    <w:rsid w:val="00C90E17"/>
    <w:rsid w:val="00C91199"/>
    <w:rsid w:val="00C91899"/>
    <w:rsid w:val="00C927E7"/>
    <w:rsid w:val="00C92AB7"/>
    <w:rsid w:val="00C92D97"/>
    <w:rsid w:val="00C939E7"/>
    <w:rsid w:val="00C947EA"/>
    <w:rsid w:val="00C94C76"/>
    <w:rsid w:val="00C95061"/>
    <w:rsid w:val="00C95CFF"/>
    <w:rsid w:val="00C95FA2"/>
    <w:rsid w:val="00C975AE"/>
    <w:rsid w:val="00CA1952"/>
    <w:rsid w:val="00CA1AB2"/>
    <w:rsid w:val="00CA31D3"/>
    <w:rsid w:val="00CA422D"/>
    <w:rsid w:val="00CA4764"/>
    <w:rsid w:val="00CA4C39"/>
    <w:rsid w:val="00CA57A9"/>
    <w:rsid w:val="00CA7365"/>
    <w:rsid w:val="00CA75A0"/>
    <w:rsid w:val="00CB1315"/>
    <w:rsid w:val="00CB1F34"/>
    <w:rsid w:val="00CB27DC"/>
    <w:rsid w:val="00CB28ED"/>
    <w:rsid w:val="00CB2C7B"/>
    <w:rsid w:val="00CB381E"/>
    <w:rsid w:val="00CB4384"/>
    <w:rsid w:val="00CB7668"/>
    <w:rsid w:val="00CC1109"/>
    <w:rsid w:val="00CC1288"/>
    <w:rsid w:val="00CC18A7"/>
    <w:rsid w:val="00CC1CAA"/>
    <w:rsid w:val="00CC2890"/>
    <w:rsid w:val="00CC37E8"/>
    <w:rsid w:val="00CC61D3"/>
    <w:rsid w:val="00CC66A3"/>
    <w:rsid w:val="00CC68E0"/>
    <w:rsid w:val="00CD28FE"/>
    <w:rsid w:val="00CD4134"/>
    <w:rsid w:val="00CD49E7"/>
    <w:rsid w:val="00CD720D"/>
    <w:rsid w:val="00CD75BC"/>
    <w:rsid w:val="00CD7D5B"/>
    <w:rsid w:val="00CD7E73"/>
    <w:rsid w:val="00CD7E7C"/>
    <w:rsid w:val="00CE04E1"/>
    <w:rsid w:val="00CE06A9"/>
    <w:rsid w:val="00CE2BB0"/>
    <w:rsid w:val="00CE2E48"/>
    <w:rsid w:val="00CE3849"/>
    <w:rsid w:val="00CE439B"/>
    <w:rsid w:val="00CE570F"/>
    <w:rsid w:val="00CE76EC"/>
    <w:rsid w:val="00CE7A69"/>
    <w:rsid w:val="00CF0054"/>
    <w:rsid w:val="00CF06B1"/>
    <w:rsid w:val="00CF1A5F"/>
    <w:rsid w:val="00CF1D29"/>
    <w:rsid w:val="00CF2AA7"/>
    <w:rsid w:val="00CF5E4A"/>
    <w:rsid w:val="00CF6841"/>
    <w:rsid w:val="00CF7641"/>
    <w:rsid w:val="00CF77FA"/>
    <w:rsid w:val="00CF79FB"/>
    <w:rsid w:val="00D00415"/>
    <w:rsid w:val="00D00DD4"/>
    <w:rsid w:val="00D03F8D"/>
    <w:rsid w:val="00D052E2"/>
    <w:rsid w:val="00D05C51"/>
    <w:rsid w:val="00D06CAE"/>
    <w:rsid w:val="00D07781"/>
    <w:rsid w:val="00D07B3D"/>
    <w:rsid w:val="00D110A1"/>
    <w:rsid w:val="00D1137D"/>
    <w:rsid w:val="00D130C7"/>
    <w:rsid w:val="00D1375F"/>
    <w:rsid w:val="00D14CE6"/>
    <w:rsid w:val="00D14DB6"/>
    <w:rsid w:val="00D152E5"/>
    <w:rsid w:val="00D15405"/>
    <w:rsid w:val="00D15D92"/>
    <w:rsid w:val="00D16284"/>
    <w:rsid w:val="00D167BC"/>
    <w:rsid w:val="00D16E5A"/>
    <w:rsid w:val="00D17950"/>
    <w:rsid w:val="00D17A9A"/>
    <w:rsid w:val="00D211F8"/>
    <w:rsid w:val="00D21DBC"/>
    <w:rsid w:val="00D22502"/>
    <w:rsid w:val="00D228E1"/>
    <w:rsid w:val="00D232C4"/>
    <w:rsid w:val="00D233A0"/>
    <w:rsid w:val="00D253EE"/>
    <w:rsid w:val="00D278D9"/>
    <w:rsid w:val="00D31041"/>
    <w:rsid w:val="00D32B08"/>
    <w:rsid w:val="00D33828"/>
    <w:rsid w:val="00D33839"/>
    <w:rsid w:val="00D340F4"/>
    <w:rsid w:val="00D345D7"/>
    <w:rsid w:val="00D35A75"/>
    <w:rsid w:val="00D3701A"/>
    <w:rsid w:val="00D37DC2"/>
    <w:rsid w:val="00D4007A"/>
    <w:rsid w:val="00D400F4"/>
    <w:rsid w:val="00D40D1D"/>
    <w:rsid w:val="00D41EF3"/>
    <w:rsid w:val="00D434F4"/>
    <w:rsid w:val="00D44E8E"/>
    <w:rsid w:val="00D462DA"/>
    <w:rsid w:val="00D46697"/>
    <w:rsid w:val="00D468E6"/>
    <w:rsid w:val="00D47483"/>
    <w:rsid w:val="00D527E3"/>
    <w:rsid w:val="00D52BB4"/>
    <w:rsid w:val="00D52F62"/>
    <w:rsid w:val="00D530A5"/>
    <w:rsid w:val="00D53D08"/>
    <w:rsid w:val="00D54198"/>
    <w:rsid w:val="00D54D26"/>
    <w:rsid w:val="00D54FFA"/>
    <w:rsid w:val="00D55B04"/>
    <w:rsid w:val="00D56B04"/>
    <w:rsid w:val="00D57301"/>
    <w:rsid w:val="00D60DC8"/>
    <w:rsid w:val="00D6204E"/>
    <w:rsid w:val="00D62763"/>
    <w:rsid w:val="00D633DB"/>
    <w:rsid w:val="00D66280"/>
    <w:rsid w:val="00D672E8"/>
    <w:rsid w:val="00D7069C"/>
    <w:rsid w:val="00D70AF7"/>
    <w:rsid w:val="00D71528"/>
    <w:rsid w:val="00D726EA"/>
    <w:rsid w:val="00D72C98"/>
    <w:rsid w:val="00D72EA0"/>
    <w:rsid w:val="00D7300E"/>
    <w:rsid w:val="00D74C41"/>
    <w:rsid w:val="00D74CCA"/>
    <w:rsid w:val="00D74EEA"/>
    <w:rsid w:val="00D77A91"/>
    <w:rsid w:val="00D80206"/>
    <w:rsid w:val="00D806B8"/>
    <w:rsid w:val="00D81A3A"/>
    <w:rsid w:val="00D8372F"/>
    <w:rsid w:val="00D83AA9"/>
    <w:rsid w:val="00D83F42"/>
    <w:rsid w:val="00D84DC3"/>
    <w:rsid w:val="00D85C23"/>
    <w:rsid w:val="00D86A8C"/>
    <w:rsid w:val="00D86C13"/>
    <w:rsid w:val="00D8714D"/>
    <w:rsid w:val="00D872E9"/>
    <w:rsid w:val="00D87413"/>
    <w:rsid w:val="00D87FDE"/>
    <w:rsid w:val="00D900AD"/>
    <w:rsid w:val="00D90C81"/>
    <w:rsid w:val="00D931EF"/>
    <w:rsid w:val="00D9332F"/>
    <w:rsid w:val="00D93F60"/>
    <w:rsid w:val="00D9458E"/>
    <w:rsid w:val="00D94F47"/>
    <w:rsid w:val="00D95221"/>
    <w:rsid w:val="00D95A13"/>
    <w:rsid w:val="00D95E60"/>
    <w:rsid w:val="00D96067"/>
    <w:rsid w:val="00D9748A"/>
    <w:rsid w:val="00DA04E3"/>
    <w:rsid w:val="00DA10C8"/>
    <w:rsid w:val="00DA3225"/>
    <w:rsid w:val="00DA33F0"/>
    <w:rsid w:val="00DA45EA"/>
    <w:rsid w:val="00DA50D3"/>
    <w:rsid w:val="00DA5C0B"/>
    <w:rsid w:val="00DA60DC"/>
    <w:rsid w:val="00DA63F8"/>
    <w:rsid w:val="00DA6470"/>
    <w:rsid w:val="00DA6AFD"/>
    <w:rsid w:val="00DB0A04"/>
    <w:rsid w:val="00DB0C5A"/>
    <w:rsid w:val="00DB22B9"/>
    <w:rsid w:val="00DB2508"/>
    <w:rsid w:val="00DB3F64"/>
    <w:rsid w:val="00DB4656"/>
    <w:rsid w:val="00DB48DC"/>
    <w:rsid w:val="00DB54ED"/>
    <w:rsid w:val="00DB5D48"/>
    <w:rsid w:val="00DB6752"/>
    <w:rsid w:val="00DC0098"/>
    <w:rsid w:val="00DC2162"/>
    <w:rsid w:val="00DD0084"/>
    <w:rsid w:val="00DD0111"/>
    <w:rsid w:val="00DD0E85"/>
    <w:rsid w:val="00DD2066"/>
    <w:rsid w:val="00DD43FD"/>
    <w:rsid w:val="00DD6F64"/>
    <w:rsid w:val="00DE1A02"/>
    <w:rsid w:val="00DE1CDB"/>
    <w:rsid w:val="00DE3B35"/>
    <w:rsid w:val="00DE59E9"/>
    <w:rsid w:val="00DE6661"/>
    <w:rsid w:val="00DE6C92"/>
    <w:rsid w:val="00DF07C4"/>
    <w:rsid w:val="00DF0F1A"/>
    <w:rsid w:val="00DF18D7"/>
    <w:rsid w:val="00DF199F"/>
    <w:rsid w:val="00DF2B3A"/>
    <w:rsid w:val="00DF43BB"/>
    <w:rsid w:val="00DF77FB"/>
    <w:rsid w:val="00E0094B"/>
    <w:rsid w:val="00E00A64"/>
    <w:rsid w:val="00E012E0"/>
    <w:rsid w:val="00E03F5B"/>
    <w:rsid w:val="00E0476E"/>
    <w:rsid w:val="00E068C5"/>
    <w:rsid w:val="00E06C7C"/>
    <w:rsid w:val="00E07699"/>
    <w:rsid w:val="00E07869"/>
    <w:rsid w:val="00E07AD2"/>
    <w:rsid w:val="00E109A1"/>
    <w:rsid w:val="00E10C46"/>
    <w:rsid w:val="00E1178B"/>
    <w:rsid w:val="00E12F99"/>
    <w:rsid w:val="00E1695E"/>
    <w:rsid w:val="00E179C6"/>
    <w:rsid w:val="00E21D6C"/>
    <w:rsid w:val="00E2371D"/>
    <w:rsid w:val="00E238C3"/>
    <w:rsid w:val="00E239C4"/>
    <w:rsid w:val="00E23FC8"/>
    <w:rsid w:val="00E24E6F"/>
    <w:rsid w:val="00E250E4"/>
    <w:rsid w:val="00E259FA"/>
    <w:rsid w:val="00E30BEB"/>
    <w:rsid w:val="00E33E06"/>
    <w:rsid w:val="00E34812"/>
    <w:rsid w:val="00E34B23"/>
    <w:rsid w:val="00E36C48"/>
    <w:rsid w:val="00E4028E"/>
    <w:rsid w:val="00E40602"/>
    <w:rsid w:val="00E4078D"/>
    <w:rsid w:val="00E41EFE"/>
    <w:rsid w:val="00E42791"/>
    <w:rsid w:val="00E43336"/>
    <w:rsid w:val="00E4759D"/>
    <w:rsid w:val="00E51772"/>
    <w:rsid w:val="00E5281D"/>
    <w:rsid w:val="00E536F6"/>
    <w:rsid w:val="00E549B2"/>
    <w:rsid w:val="00E54A24"/>
    <w:rsid w:val="00E54CEB"/>
    <w:rsid w:val="00E57291"/>
    <w:rsid w:val="00E60611"/>
    <w:rsid w:val="00E60F50"/>
    <w:rsid w:val="00E612DF"/>
    <w:rsid w:val="00E61F89"/>
    <w:rsid w:val="00E63778"/>
    <w:rsid w:val="00E7167F"/>
    <w:rsid w:val="00E71F93"/>
    <w:rsid w:val="00E7215E"/>
    <w:rsid w:val="00E72E08"/>
    <w:rsid w:val="00E73757"/>
    <w:rsid w:val="00E73E70"/>
    <w:rsid w:val="00E74B4C"/>
    <w:rsid w:val="00E77A24"/>
    <w:rsid w:val="00E77D34"/>
    <w:rsid w:val="00E80127"/>
    <w:rsid w:val="00E80396"/>
    <w:rsid w:val="00E83264"/>
    <w:rsid w:val="00E84F23"/>
    <w:rsid w:val="00E84F5B"/>
    <w:rsid w:val="00E861DB"/>
    <w:rsid w:val="00E902A4"/>
    <w:rsid w:val="00E91B89"/>
    <w:rsid w:val="00E92073"/>
    <w:rsid w:val="00E93B89"/>
    <w:rsid w:val="00E942EA"/>
    <w:rsid w:val="00E94BBA"/>
    <w:rsid w:val="00EA0A99"/>
    <w:rsid w:val="00EA117E"/>
    <w:rsid w:val="00EA2060"/>
    <w:rsid w:val="00EA22FF"/>
    <w:rsid w:val="00EA3D56"/>
    <w:rsid w:val="00EA4275"/>
    <w:rsid w:val="00EA548B"/>
    <w:rsid w:val="00EA54F9"/>
    <w:rsid w:val="00EA5EED"/>
    <w:rsid w:val="00EB2E4B"/>
    <w:rsid w:val="00EB3DC7"/>
    <w:rsid w:val="00EB4836"/>
    <w:rsid w:val="00EB7FEB"/>
    <w:rsid w:val="00EC1022"/>
    <w:rsid w:val="00EC132F"/>
    <w:rsid w:val="00EC3B68"/>
    <w:rsid w:val="00EC3BC9"/>
    <w:rsid w:val="00EC4839"/>
    <w:rsid w:val="00EC57C9"/>
    <w:rsid w:val="00EC5BDA"/>
    <w:rsid w:val="00EC6881"/>
    <w:rsid w:val="00EC727C"/>
    <w:rsid w:val="00ED1602"/>
    <w:rsid w:val="00ED2365"/>
    <w:rsid w:val="00ED2FEB"/>
    <w:rsid w:val="00ED35E9"/>
    <w:rsid w:val="00ED4346"/>
    <w:rsid w:val="00ED521F"/>
    <w:rsid w:val="00ED580C"/>
    <w:rsid w:val="00ED58E2"/>
    <w:rsid w:val="00ED5F34"/>
    <w:rsid w:val="00ED65CF"/>
    <w:rsid w:val="00ED6805"/>
    <w:rsid w:val="00EE0C03"/>
    <w:rsid w:val="00EE12DB"/>
    <w:rsid w:val="00EE1EB0"/>
    <w:rsid w:val="00EE392E"/>
    <w:rsid w:val="00EE3F3D"/>
    <w:rsid w:val="00EE470B"/>
    <w:rsid w:val="00EE47ED"/>
    <w:rsid w:val="00EE4BA4"/>
    <w:rsid w:val="00EE5BBF"/>
    <w:rsid w:val="00EE693A"/>
    <w:rsid w:val="00EE76FE"/>
    <w:rsid w:val="00EF2345"/>
    <w:rsid w:val="00EF2FE1"/>
    <w:rsid w:val="00EF345F"/>
    <w:rsid w:val="00EF3CE9"/>
    <w:rsid w:val="00EF4430"/>
    <w:rsid w:val="00EF595D"/>
    <w:rsid w:val="00EF5A0C"/>
    <w:rsid w:val="00EF6B64"/>
    <w:rsid w:val="00EF6F83"/>
    <w:rsid w:val="00EF7362"/>
    <w:rsid w:val="00EF7AE3"/>
    <w:rsid w:val="00F00A96"/>
    <w:rsid w:val="00F00CF6"/>
    <w:rsid w:val="00F00EA4"/>
    <w:rsid w:val="00F02489"/>
    <w:rsid w:val="00F0296D"/>
    <w:rsid w:val="00F03891"/>
    <w:rsid w:val="00F053C7"/>
    <w:rsid w:val="00F0551C"/>
    <w:rsid w:val="00F05578"/>
    <w:rsid w:val="00F05F32"/>
    <w:rsid w:val="00F06579"/>
    <w:rsid w:val="00F06F41"/>
    <w:rsid w:val="00F101C4"/>
    <w:rsid w:val="00F10BC7"/>
    <w:rsid w:val="00F114D9"/>
    <w:rsid w:val="00F11C66"/>
    <w:rsid w:val="00F127B9"/>
    <w:rsid w:val="00F157C8"/>
    <w:rsid w:val="00F15810"/>
    <w:rsid w:val="00F16ABA"/>
    <w:rsid w:val="00F1760E"/>
    <w:rsid w:val="00F218E9"/>
    <w:rsid w:val="00F226CD"/>
    <w:rsid w:val="00F23F7E"/>
    <w:rsid w:val="00F24A33"/>
    <w:rsid w:val="00F24AE1"/>
    <w:rsid w:val="00F24CB4"/>
    <w:rsid w:val="00F301DD"/>
    <w:rsid w:val="00F304FF"/>
    <w:rsid w:val="00F310C5"/>
    <w:rsid w:val="00F31BF5"/>
    <w:rsid w:val="00F348A7"/>
    <w:rsid w:val="00F34A63"/>
    <w:rsid w:val="00F35462"/>
    <w:rsid w:val="00F35475"/>
    <w:rsid w:val="00F35A1D"/>
    <w:rsid w:val="00F363B4"/>
    <w:rsid w:val="00F36DF2"/>
    <w:rsid w:val="00F371DE"/>
    <w:rsid w:val="00F4075D"/>
    <w:rsid w:val="00F41F30"/>
    <w:rsid w:val="00F43068"/>
    <w:rsid w:val="00F4324F"/>
    <w:rsid w:val="00F4394A"/>
    <w:rsid w:val="00F46A31"/>
    <w:rsid w:val="00F47310"/>
    <w:rsid w:val="00F5006A"/>
    <w:rsid w:val="00F512AE"/>
    <w:rsid w:val="00F53795"/>
    <w:rsid w:val="00F53A5C"/>
    <w:rsid w:val="00F54BD6"/>
    <w:rsid w:val="00F60F27"/>
    <w:rsid w:val="00F6127F"/>
    <w:rsid w:val="00F627E8"/>
    <w:rsid w:val="00F63BAF"/>
    <w:rsid w:val="00F648C2"/>
    <w:rsid w:val="00F65480"/>
    <w:rsid w:val="00F6712A"/>
    <w:rsid w:val="00F7044C"/>
    <w:rsid w:val="00F72A35"/>
    <w:rsid w:val="00F72ACB"/>
    <w:rsid w:val="00F738F2"/>
    <w:rsid w:val="00F74095"/>
    <w:rsid w:val="00F744B3"/>
    <w:rsid w:val="00F74E30"/>
    <w:rsid w:val="00F754BA"/>
    <w:rsid w:val="00F75C61"/>
    <w:rsid w:val="00F7745B"/>
    <w:rsid w:val="00F77A8B"/>
    <w:rsid w:val="00F77B1C"/>
    <w:rsid w:val="00F77BC2"/>
    <w:rsid w:val="00F80033"/>
    <w:rsid w:val="00F80142"/>
    <w:rsid w:val="00F80649"/>
    <w:rsid w:val="00F81206"/>
    <w:rsid w:val="00F815F8"/>
    <w:rsid w:val="00F818E5"/>
    <w:rsid w:val="00F81FE2"/>
    <w:rsid w:val="00F83B7A"/>
    <w:rsid w:val="00F84DC4"/>
    <w:rsid w:val="00F851AD"/>
    <w:rsid w:val="00F86039"/>
    <w:rsid w:val="00F86411"/>
    <w:rsid w:val="00F86568"/>
    <w:rsid w:val="00F86AC5"/>
    <w:rsid w:val="00F920AF"/>
    <w:rsid w:val="00F9468C"/>
    <w:rsid w:val="00F95478"/>
    <w:rsid w:val="00F971DC"/>
    <w:rsid w:val="00FA0E85"/>
    <w:rsid w:val="00FA1097"/>
    <w:rsid w:val="00FA1827"/>
    <w:rsid w:val="00FA1856"/>
    <w:rsid w:val="00FA27AC"/>
    <w:rsid w:val="00FA3F56"/>
    <w:rsid w:val="00FA55F4"/>
    <w:rsid w:val="00FA687F"/>
    <w:rsid w:val="00FA6B33"/>
    <w:rsid w:val="00FB0172"/>
    <w:rsid w:val="00FB0857"/>
    <w:rsid w:val="00FB10FA"/>
    <w:rsid w:val="00FB26C8"/>
    <w:rsid w:val="00FB35C1"/>
    <w:rsid w:val="00FB4452"/>
    <w:rsid w:val="00FB6321"/>
    <w:rsid w:val="00FB638B"/>
    <w:rsid w:val="00FB68BB"/>
    <w:rsid w:val="00FB7459"/>
    <w:rsid w:val="00FC0D1D"/>
    <w:rsid w:val="00FC7897"/>
    <w:rsid w:val="00FD00C4"/>
    <w:rsid w:val="00FD0DC4"/>
    <w:rsid w:val="00FD12D2"/>
    <w:rsid w:val="00FD191B"/>
    <w:rsid w:val="00FD20D9"/>
    <w:rsid w:val="00FD4E7B"/>
    <w:rsid w:val="00FD570D"/>
    <w:rsid w:val="00FD797F"/>
    <w:rsid w:val="00FE092F"/>
    <w:rsid w:val="00FE213E"/>
    <w:rsid w:val="00FE3756"/>
    <w:rsid w:val="00FE48B5"/>
    <w:rsid w:val="00FE5950"/>
    <w:rsid w:val="00FE5CCA"/>
    <w:rsid w:val="00FE67B9"/>
    <w:rsid w:val="00FE68E0"/>
    <w:rsid w:val="00FF025A"/>
    <w:rsid w:val="00FF1AE2"/>
    <w:rsid w:val="00FF31F4"/>
    <w:rsid w:val="00FF3985"/>
    <w:rsid w:val="00FF39A0"/>
    <w:rsid w:val="00FF3FCD"/>
    <w:rsid w:val="00FF4766"/>
    <w:rsid w:val="00FF73C1"/>
    <w:rsid w:val="00FF761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7B421"/>
  <w15:chartTrackingRefBased/>
  <w15:docId w15:val="{1F432382-8EBB-467D-B852-D300D5306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0DC"/>
  </w:style>
  <w:style w:type="paragraph" w:styleId="Heading1">
    <w:name w:val="heading 1"/>
    <w:basedOn w:val="Normal"/>
    <w:next w:val="Normal"/>
    <w:link w:val="Heading1Char"/>
    <w:uiPriority w:val="9"/>
    <w:qFormat/>
    <w:rsid w:val="007C04E6"/>
    <w:pPr>
      <w:keepNext/>
      <w:keepLines/>
      <w:numPr>
        <w:numId w:val="4"/>
      </w:numPr>
      <w:spacing w:before="480" w:after="0" w:line="240" w:lineRule="auto"/>
      <w:outlineLvl w:val="0"/>
    </w:pPr>
    <w:rPr>
      <w:rFonts w:asciiTheme="majorHAnsi" w:eastAsiaTheme="majorEastAsia" w:hAnsiTheme="majorHAnsi" w:cstheme="majorBidi"/>
      <w:b/>
      <w:bCs/>
      <w:color w:val="2E74B5" w:themeColor="accent1" w:themeShade="BF"/>
      <w:sz w:val="28"/>
      <w:szCs w:val="28"/>
      <w:lang w:eastAsia="lt-LT"/>
    </w:rPr>
  </w:style>
  <w:style w:type="paragraph" w:styleId="Heading2">
    <w:name w:val="heading 2"/>
    <w:basedOn w:val="Normal"/>
    <w:next w:val="Normal"/>
    <w:link w:val="Heading2Char"/>
    <w:semiHidden/>
    <w:unhideWhenUsed/>
    <w:qFormat/>
    <w:rsid w:val="007C04E6"/>
    <w:pPr>
      <w:keepNext/>
      <w:numPr>
        <w:ilvl w:val="1"/>
        <w:numId w:val="4"/>
      </w:numPr>
      <w:spacing w:after="0" w:line="240" w:lineRule="auto"/>
      <w:jc w:val="center"/>
      <w:outlineLvl w:val="1"/>
    </w:pPr>
    <w:rPr>
      <w:rFonts w:ascii="TimesLT" w:eastAsia="Times New Roman" w:hAnsi="TimesLT" w:cs="TimesLT"/>
      <w:b/>
      <w:bCs/>
      <w:caps/>
      <w:sz w:val="28"/>
      <w:szCs w:val="28"/>
      <w:lang w:eastAsia="lt-LT"/>
    </w:rPr>
  </w:style>
  <w:style w:type="paragraph" w:styleId="Heading3">
    <w:name w:val="heading 3"/>
    <w:basedOn w:val="Normal"/>
    <w:next w:val="Normal"/>
    <w:link w:val="Heading3Char"/>
    <w:uiPriority w:val="9"/>
    <w:semiHidden/>
    <w:unhideWhenUsed/>
    <w:qFormat/>
    <w:rsid w:val="007C04E6"/>
    <w:pPr>
      <w:keepNext/>
      <w:keepLines/>
      <w:numPr>
        <w:ilvl w:val="2"/>
        <w:numId w:val="4"/>
      </w:numPr>
      <w:tabs>
        <w:tab w:val="num" w:pos="360"/>
      </w:tabs>
      <w:spacing w:before="200" w:after="0" w:line="240" w:lineRule="auto"/>
      <w:outlineLvl w:val="2"/>
    </w:pPr>
    <w:rPr>
      <w:rFonts w:asciiTheme="majorHAnsi" w:eastAsiaTheme="majorEastAsia" w:hAnsiTheme="majorHAnsi" w:cstheme="majorBidi"/>
      <w:b/>
      <w:bCs/>
      <w:color w:val="5B9BD5" w:themeColor="accent1"/>
      <w:szCs w:val="24"/>
      <w:lang w:eastAsia="lt-LT"/>
    </w:rPr>
  </w:style>
  <w:style w:type="paragraph" w:styleId="Heading4">
    <w:name w:val="heading 4"/>
    <w:basedOn w:val="Normal"/>
    <w:next w:val="Normal"/>
    <w:link w:val="Heading4Char"/>
    <w:uiPriority w:val="9"/>
    <w:semiHidden/>
    <w:unhideWhenUsed/>
    <w:qFormat/>
    <w:rsid w:val="007C04E6"/>
    <w:pPr>
      <w:keepNext/>
      <w:keepLines/>
      <w:numPr>
        <w:ilvl w:val="3"/>
        <w:numId w:val="4"/>
      </w:numPr>
      <w:tabs>
        <w:tab w:val="num" w:pos="360"/>
      </w:tabs>
      <w:spacing w:before="200" w:after="0" w:line="240" w:lineRule="auto"/>
      <w:outlineLvl w:val="3"/>
    </w:pPr>
    <w:rPr>
      <w:rFonts w:asciiTheme="majorHAnsi" w:eastAsiaTheme="majorEastAsia" w:hAnsiTheme="majorHAnsi" w:cstheme="majorBidi"/>
      <w:b/>
      <w:bCs/>
      <w:i/>
      <w:iCs/>
      <w:color w:val="5B9BD5" w:themeColor="accent1"/>
      <w:szCs w:val="24"/>
      <w:lang w:eastAsia="lt-LT"/>
    </w:rPr>
  </w:style>
  <w:style w:type="paragraph" w:styleId="Heading5">
    <w:name w:val="heading 5"/>
    <w:basedOn w:val="Normal"/>
    <w:next w:val="Normal"/>
    <w:link w:val="Heading5Char"/>
    <w:uiPriority w:val="9"/>
    <w:unhideWhenUsed/>
    <w:qFormat/>
    <w:rsid w:val="007C04E6"/>
    <w:pPr>
      <w:keepNext/>
      <w:keepLines/>
      <w:numPr>
        <w:ilvl w:val="4"/>
        <w:numId w:val="4"/>
      </w:numPr>
      <w:tabs>
        <w:tab w:val="num" w:pos="360"/>
      </w:tabs>
      <w:spacing w:before="200" w:after="0" w:line="240" w:lineRule="auto"/>
      <w:outlineLvl w:val="4"/>
    </w:pPr>
    <w:rPr>
      <w:rFonts w:asciiTheme="majorHAnsi" w:eastAsiaTheme="majorEastAsia" w:hAnsiTheme="majorHAnsi" w:cstheme="majorBidi"/>
      <w:color w:val="1F4D78" w:themeColor="accent1" w:themeShade="7F"/>
      <w:szCs w:val="24"/>
      <w:lang w:eastAsia="lt-LT"/>
    </w:rPr>
  </w:style>
  <w:style w:type="paragraph" w:styleId="Heading6">
    <w:name w:val="heading 6"/>
    <w:basedOn w:val="Normal"/>
    <w:next w:val="Normal"/>
    <w:link w:val="Heading6Char"/>
    <w:uiPriority w:val="9"/>
    <w:semiHidden/>
    <w:unhideWhenUsed/>
    <w:qFormat/>
    <w:rsid w:val="007C04E6"/>
    <w:pPr>
      <w:keepNext/>
      <w:keepLines/>
      <w:numPr>
        <w:ilvl w:val="5"/>
        <w:numId w:val="4"/>
      </w:numPr>
      <w:tabs>
        <w:tab w:val="num" w:pos="360"/>
      </w:tabs>
      <w:spacing w:before="200" w:after="0" w:line="240" w:lineRule="auto"/>
      <w:outlineLvl w:val="5"/>
    </w:pPr>
    <w:rPr>
      <w:rFonts w:asciiTheme="majorHAnsi" w:eastAsiaTheme="majorEastAsia" w:hAnsiTheme="majorHAnsi" w:cstheme="majorBidi"/>
      <w:i/>
      <w:iCs/>
      <w:color w:val="1F4D78" w:themeColor="accent1" w:themeShade="7F"/>
      <w:szCs w:val="24"/>
      <w:lang w:eastAsia="lt-LT"/>
    </w:rPr>
  </w:style>
  <w:style w:type="paragraph" w:styleId="Heading7">
    <w:name w:val="heading 7"/>
    <w:basedOn w:val="Normal"/>
    <w:next w:val="Normal"/>
    <w:link w:val="Heading7Char"/>
    <w:uiPriority w:val="9"/>
    <w:semiHidden/>
    <w:unhideWhenUsed/>
    <w:qFormat/>
    <w:rsid w:val="007C04E6"/>
    <w:pPr>
      <w:keepNext/>
      <w:keepLines/>
      <w:numPr>
        <w:ilvl w:val="6"/>
        <w:numId w:val="4"/>
      </w:numPr>
      <w:tabs>
        <w:tab w:val="num" w:pos="360"/>
      </w:tabs>
      <w:spacing w:before="200" w:after="0" w:line="240" w:lineRule="auto"/>
      <w:outlineLvl w:val="6"/>
    </w:pPr>
    <w:rPr>
      <w:rFonts w:asciiTheme="majorHAnsi" w:eastAsiaTheme="majorEastAsia" w:hAnsiTheme="majorHAnsi" w:cstheme="majorBidi"/>
      <w:i/>
      <w:iCs/>
      <w:color w:val="404040" w:themeColor="text1" w:themeTint="BF"/>
      <w:szCs w:val="24"/>
      <w:lang w:eastAsia="lt-LT"/>
    </w:rPr>
  </w:style>
  <w:style w:type="paragraph" w:styleId="Heading8">
    <w:name w:val="heading 8"/>
    <w:basedOn w:val="Normal"/>
    <w:next w:val="Normal"/>
    <w:link w:val="Heading8Char"/>
    <w:uiPriority w:val="9"/>
    <w:semiHidden/>
    <w:unhideWhenUsed/>
    <w:qFormat/>
    <w:rsid w:val="007C04E6"/>
    <w:pPr>
      <w:keepNext/>
      <w:keepLines/>
      <w:numPr>
        <w:ilvl w:val="7"/>
        <w:numId w:val="4"/>
      </w:numPr>
      <w:tabs>
        <w:tab w:val="num" w:pos="360"/>
      </w:tabs>
      <w:spacing w:before="200" w:after="0" w:line="240" w:lineRule="auto"/>
      <w:outlineLvl w:val="7"/>
    </w:pPr>
    <w:rPr>
      <w:rFonts w:asciiTheme="majorHAnsi" w:eastAsiaTheme="majorEastAsia" w:hAnsiTheme="majorHAnsi" w:cstheme="majorBidi"/>
      <w:color w:val="404040" w:themeColor="text1" w:themeTint="BF"/>
      <w:sz w:val="20"/>
      <w:szCs w:val="20"/>
      <w:lang w:eastAsia="lt-LT"/>
    </w:rPr>
  </w:style>
  <w:style w:type="paragraph" w:styleId="Heading9">
    <w:name w:val="heading 9"/>
    <w:basedOn w:val="Normal"/>
    <w:next w:val="Normal"/>
    <w:link w:val="Heading9Char"/>
    <w:uiPriority w:val="9"/>
    <w:semiHidden/>
    <w:unhideWhenUsed/>
    <w:qFormat/>
    <w:rsid w:val="007C04E6"/>
    <w:pPr>
      <w:keepNext/>
      <w:keepLines/>
      <w:numPr>
        <w:ilvl w:val="8"/>
        <w:numId w:val="4"/>
      </w:numPr>
      <w:tabs>
        <w:tab w:val="num" w:pos="360"/>
      </w:tabs>
      <w:spacing w:before="200" w:after="0" w:line="240" w:lineRule="auto"/>
      <w:outlineLvl w:val="8"/>
    </w:pPr>
    <w:rPr>
      <w:rFonts w:asciiTheme="majorHAnsi" w:eastAsiaTheme="majorEastAsia" w:hAnsiTheme="majorHAnsi" w:cstheme="majorBidi"/>
      <w:i/>
      <w:iCs/>
      <w:color w:val="404040" w:themeColor="text1" w:themeTint="BF"/>
      <w:sz w:val="2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AC00DC"/>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AC00DC"/>
    <w:rPr>
      <w:rFonts w:asciiTheme="minorHAnsi" w:hAnsiTheme="minorHAnsi"/>
      <w:sz w:val="22"/>
    </w:rPr>
  </w:style>
  <w:style w:type="paragraph" w:styleId="Header">
    <w:name w:val="header"/>
    <w:basedOn w:val="Normal"/>
    <w:link w:val="HeaderChar"/>
    <w:uiPriority w:val="99"/>
    <w:unhideWhenUsed/>
    <w:rsid w:val="00AC00DC"/>
    <w:pPr>
      <w:tabs>
        <w:tab w:val="center" w:pos="4819"/>
        <w:tab w:val="right" w:pos="9638"/>
      </w:tabs>
      <w:spacing w:after="0" w:line="240" w:lineRule="auto"/>
    </w:pPr>
  </w:style>
  <w:style w:type="character" w:customStyle="1" w:styleId="HeaderChar">
    <w:name w:val="Header Char"/>
    <w:basedOn w:val="DefaultParagraphFont"/>
    <w:link w:val="Header"/>
    <w:uiPriority w:val="99"/>
    <w:rsid w:val="00AC00DC"/>
  </w:style>
  <w:style w:type="character" w:styleId="Hyperlink">
    <w:name w:val="Hyperlink"/>
    <w:basedOn w:val="DefaultParagraphFont"/>
    <w:uiPriority w:val="99"/>
    <w:unhideWhenUsed/>
    <w:rsid w:val="00226008"/>
    <w:rPr>
      <w:color w:val="0563C1" w:themeColor="hyperlink"/>
      <w:u w:val="single"/>
    </w:rPr>
  </w:style>
  <w:style w:type="paragraph" w:styleId="BalloonText">
    <w:name w:val="Balloon Text"/>
    <w:basedOn w:val="Normal"/>
    <w:link w:val="BalloonTextChar"/>
    <w:uiPriority w:val="99"/>
    <w:semiHidden/>
    <w:unhideWhenUsed/>
    <w:rsid w:val="004A7C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C0C"/>
    <w:rPr>
      <w:rFonts w:ascii="Segoe UI" w:hAnsi="Segoe UI" w:cs="Segoe UI"/>
      <w:sz w:val="18"/>
      <w:szCs w:val="18"/>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7A1B26"/>
    <w:pPr>
      <w:ind w:left="720"/>
      <w:contextualSpacing/>
    </w:pPr>
  </w:style>
  <w:style w:type="paragraph" w:styleId="Footer">
    <w:name w:val="footer"/>
    <w:basedOn w:val="Normal"/>
    <w:link w:val="FooterChar"/>
    <w:uiPriority w:val="99"/>
    <w:unhideWhenUsed/>
    <w:rsid w:val="00916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66C"/>
  </w:style>
  <w:style w:type="character" w:customStyle="1" w:styleId="UnresolvedMention1">
    <w:name w:val="Unresolved Mention1"/>
    <w:basedOn w:val="DefaultParagraphFont"/>
    <w:uiPriority w:val="99"/>
    <w:semiHidden/>
    <w:unhideWhenUsed/>
    <w:rsid w:val="00A25638"/>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locked/>
    <w:rsid w:val="00A63B4F"/>
  </w:style>
  <w:style w:type="paragraph" w:styleId="NormalWeb">
    <w:name w:val="Normal (Web)"/>
    <w:basedOn w:val="Normal"/>
    <w:uiPriority w:val="99"/>
    <w:unhideWhenUsed/>
    <w:rsid w:val="008E7606"/>
    <w:pPr>
      <w:spacing w:before="100" w:beforeAutospacing="1" w:after="100" w:afterAutospacing="1" w:line="240" w:lineRule="auto"/>
    </w:pPr>
    <w:rPr>
      <w:rFonts w:eastAsiaTheme="minorEastAsia" w:cs="Times New Roman"/>
      <w:szCs w:val="24"/>
      <w:lang w:val="en-US"/>
    </w:rPr>
  </w:style>
  <w:style w:type="numbering" w:customStyle="1" w:styleId="Nutartis">
    <w:name w:val="Nutartis"/>
    <w:uiPriority w:val="99"/>
    <w:rsid w:val="00DB5D48"/>
    <w:pPr>
      <w:numPr>
        <w:numId w:val="2"/>
      </w:numPr>
    </w:pPr>
  </w:style>
  <w:style w:type="paragraph" w:styleId="FootnoteText">
    <w:name w:val="footnote text"/>
    <w:aliases w:val="Char1, Char1,Char, Char"/>
    <w:basedOn w:val="Normal"/>
    <w:link w:val="FootnoteTextChar"/>
    <w:qFormat/>
    <w:rsid w:val="00E94BBA"/>
    <w:pPr>
      <w:spacing w:after="0" w:line="240" w:lineRule="auto"/>
    </w:pPr>
    <w:rPr>
      <w:rFonts w:eastAsia="Calibri" w:cs="Times New Roman"/>
      <w:sz w:val="20"/>
      <w:szCs w:val="20"/>
      <w:lang w:eastAsia="lt-LT"/>
    </w:rPr>
  </w:style>
  <w:style w:type="character" w:customStyle="1" w:styleId="FootnoteTextChar">
    <w:name w:val="Footnote Text Char"/>
    <w:aliases w:val="Char1 Char, Char1 Char,Char Char, Char Char"/>
    <w:basedOn w:val="DefaultParagraphFont"/>
    <w:link w:val="FootnoteText"/>
    <w:rsid w:val="00E94BBA"/>
    <w:rPr>
      <w:rFonts w:eastAsia="Calibri" w:cs="Times New Roman"/>
      <w:sz w:val="20"/>
      <w:szCs w:val="20"/>
      <w:lang w:eastAsia="lt-LT"/>
    </w:rPr>
  </w:style>
  <w:style w:type="character" w:styleId="FootnoteReference">
    <w:name w:val="footnote reference"/>
    <w:aliases w:val="footnumber"/>
    <w:rsid w:val="00E94BBA"/>
    <w:rPr>
      <w:rFonts w:cs="Times New Roman"/>
      <w:vertAlign w:val="superscript"/>
    </w:rPr>
  </w:style>
  <w:style w:type="character" w:customStyle="1" w:styleId="UnresolvedMention2">
    <w:name w:val="Unresolved Mention2"/>
    <w:basedOn w:val="DefaultParagraphFont"/>
    <w:uiPriority w:val="99"/>
    <w:semiHidden/>
    <w:unhideWhenUsed/>
    <w:rsid w:val="00A15760"/>
    <w:rPr>
      <w:color w:val="605E5C"/>
      <w:shd w:val="clear" w:color="auto" w:fill="E1DFDD"/>
    </w:rPr>
  </w:style>
  <w:style w:type="paragraph" w:styleId="ListBullet">
    <w:name w:val="List Bullet"/>
    <w:basedOn w:val="Normal"/>
    <w:rsid w:val="00042789"/>
    <w:pPr>
      <w:numPr>
        <w:numId w:val="3"/>
      </w:numPr>
      <w:spacing w:after="0" w:line="240" w:lineRule="auto"/>
    </w:pPr>
    <w:rPr>
      <w:rFonts w:eastAsia="Times New Roman" w:cs="Times New Roman"/>
      <w:szCs w:val="24"/>
    </w:rPr>
  </w:style>
  <w:style w:type="character" w:customStyle="1" w:styleId="Heading1Char">
    <w:name w:val="Heading 1 Char"/>
    <w:basedOn w:val="DefaultParagraphFont"/>
    <w:link w:val="Heading1"/>
    <w:uiPriority w:val="9"/>
    <w:rsid w:val="007C04E6"/>
    <w:rPr>
      <w:rFonts w:asciiTheme="majorHAnsi" w:eastAsiaTheme="majorEastAsia" w:hAnsiTheme="majorHAnsi" w:cstheme="majorBidi"/>
      <w:b/>
      <w:bCs/>
      <w:color w:val="2E74B5" w:themeColor="accent1" w:themeShade="BF"/>
      <w:sz w:val="28"/>
      <w:szCs w:val="28"/>
      <w:lang w:eastAsia="lt-LT"/>
    </w:rPr>
  </w:style>
  <w:style w:type="character" w:customStyle="1" w:styleId="Heading2Char">
    <w:name w:val="Heading 2 Char"/>
    <w:basedOn w:val="DefaultParagraphFont"/>
    <w:link w:val="Heading2"/>
    <w:semiHidden/>
    <w:rsid w:val="007C04E6"/>
    <w:rPr>
      <w:rFonts w:ascii="TimesLT" w:eastAsia="Times New Roman" w:hAnsi="TimesLT" w:cs="TimesLT"/>
      <w:b/>
      <w:bCs/>
      <w:caps/>
      <w:sz w:val="28"/>
      <w:szCs w:val="28"/>
      <w:lang w:eastAsia="lt-LT"/>
    </w:rPr>
  </w:style>
  <w:style w:type="character" w:customStyle="1" w:styleId="Heading3Char">
    <w:name w:val="Heading 3 Char"/>
    <w:basedOn w:val="DefaultParagraphFont"/>
    <w:link w:val="Heading3"/>
    <w:uiPriority w:val="9"/>
    <w:semiHidden/>
    <w:rsid w:val="007C04E6"/>
    <w:rPr>
      <w:rFonts w:asciiTheme="majorHAnsi" w:eastAsiaTheme="majorEastAsia" w:hAnsiTheme="majorHAnsi" w:cstheme="majorBidi"/>
      <w:b/>
      <w:bCs/>
      <w:color w:val="5B9BD5" w:themeColor="accent1"/>
      <w:szCs w:val="24"/>
      <w:lang w:eastAsia="lt-LT"/>
    </w:rPr>
  </w:style>
  <w:style w:type="character" w:customStyle="1" w:styleId="Heading4Char">
    <w:name w:val="Heading 4 Char"/>
    <w:basedOn w:val="DefaultParagraphFont"/>
    <w:link w:val="Heading4"/>
    <w:uiPriority w:val="9"/>
    <w:semiHidden/>
    <w:rsid w:val="007C04E6"/>
    <w:rPr>
      <w:rFonts w:asciiTheme="majorHAnsi" w:eastAsiaTheme="majorEastAsia" w:hAnsiTheme="majorHAnsi" w:cstheme="majorBidi"/>
      <w:b/>
      <w:bCs/>
      <w:i/>
      <w:iCs/>
      <w:color w:val="5B9BD5" w:themeColor="accent1"/>
      <w:szCs w:val="24"/>
      <w:lang w:eastAsia="lt-LT"/>
    </w:rPr>
  </w:style>
  <w:style w:type="character" w:customStyle="1" w:styleId="Heading5Char">
    <w:name w:val="Heading 5 Char"/>
    <w:basedOn w:val="DefaultParagraphFont"/>
    <w:link w:val="Heading5"/>
    <w:uiPriority w:val="9"/>
    <w:semiHidden/>
    <w:rsid w:val="007C04E6"/>
    <w:rPr>
      <w:rFonts w:asciiTheme="majorHAnsi" w:eastAsiaTheme="majorEastAsia" w:hAnsiTheme="majorHAnsi" w:cstheme="majorBidi"/>
      <w:color w:val="1F4D78" w:themeColor="accent1" w:themeShade="7F"/>
      <w:szCs w:val="24"/>
      <w:lang w:eastAsia="lt-LT"/>
    </w:rPr>
  </w:style>
  <w:style w:type="character" w:customStyle="1" w:styleId="Heading6Char">
    <w:name w:val="Heading 6 Char"/>
    <w:basedOn w:val="DefaultParagraphFont"/>
    <w:link w:val="Heading6"/>
    <w:uiPriority w:val="9"/>
    <w:semiHidden/>
    <w:rsid w:val="007C04E6"/>
    <w:rPr>
      <w:rFonts w:asciiTheme="majorHAnsi" w:eastAsiaTheme="majorEastAsia" w:hAnsiTheme="majorHAnsi" w:cstheme="majorBidi"/>
      <w:i/>
      <w:iCs/>
      <w:color w:val="1F4D78" w:themeColor="accent1" w:themeShade="7F"/>
      <w:szCs w:val="24"/>
      <w:lang w:eastAsia="lt-LT"/>
    </w:rPr>
  </w:style>
  <w:style w:type="character" w:customStyle="1" w:styleId="Heading7Char">
    <w:name w:val="Heading 7 Char"/>
    <w:basedOn w:val="DefaultParagraphFont"/>
    <w:link w:val="Heading7"/>
    <w:uiPriority w:val="9"/>
    <w:semiHidden/>
    <w:rsid w:val="007C04E6"/>
    <w:rPr>
      <w:rFonts w:asciiTheme="majorHAnsi" w:eastAsiaTheme="majorEastAsia" w:hAnsiTheme="majorHAnsi" w:cstheme="majorBidi"/>
      <w:i/>
      <w:iCs/>
      <w:color w:val="404040" w:themeColor="text1" w:themeTint="BF"/>
      <w:szCs w:val="24"/>
      <w:lang w:eastAsia="lt-LT"/>
    </w:rPr>
  </w:style>
  <w:style w:type="character" w:customStyle="1" w:styleId="Heading8Char">
    <w:name w:val="Heading 8 Char"/>
    <w:basedOn w:val="DefaultParagraphFont"/>
    <w:link w:val="Heading8"/>
    <w:uiPriority w:val="9"/>
    <w:semiHidden/>
    <w:rsid w:val="007C04E6"/>
    <w:rPr>
      <w:rFonts w:asciiTheme="majorHAnsi" w:eastAsiaTheme="majorEastAsia" w:hAnsiTheme="majorHAnsi" w:cstheme="majorBidi"/>
      <w:color w:val="404040" w:themeColor="text1" w:themeTint="BF"/>
      <w:sz w:val="20"/>
      <w:szCs w:val="20"/>
      <w:lang w:eastAsia="lt-LT"/>
    </w:rPr>
  </w:style>
  <w:style w:type="character" w:customStyle="1" w:styleId="Heading9Char">
    <w:name w:val="Heading 9 Char"/>
    <w:basedOn w:val="DefaultParagraphFont"/>
    <w:link w:val="Heading9"/>
    <w:uiPriority w:val="9"/>
    <w:semiHidden/>
    <w:rsid w:val="007C04E6"/>
    <w:rPr>
      <w:rFonts w:asciiTheme="majorHAnsi" w:eastAsiaTheme="majorEastAsia" w:hAnsiTheme="majorHAnsi" w:cstheme="majorBidi"/>
      <w:i/>
      <w:iCs/>
      <w:color w:val="404040" w:themeColor="text1" w:themeTint="BF"/>
      <w:sz w:val="20"/>
      <w:szCs w:val="20"/>
      <w:lang w:eastAsia="lt-LT"/>
    </w:rPr>
  </w:style>
  <w:style w:type="paragraph" w:styleId="BodyTextIndent">
    <w:name w:val="Body Text Indent"/>
    <w:basedOn w:val="Normal"/>
    <w:link w:val="BodyTextIndentChar"/>
    <w:uiPriority w:val="99"/>
    <w:semiHidden/>
    <w:unhideWhenUsed/>
    <w:rsid w:val="005D63C8"/>
    <w:pPr>
      <w:spacing w:after="120"/>
      <w:ind w:left="283"/>
    </w:pPr>
  </w:style>
  <w:style w:type="character" w:customStyle="1" w:styleId="BodyTextIndentChar">
    <w:name w:val="Body Text Indent Char"/>
    <w:basedOn w:val="DefaultParagraphFont"/>
    <w:link w:val="BodyTextIndent"/>
    <w:uiPriority w:val="99"/>
    <w:semiHidden/>
    <w:rsid w:val="005D63C8"/>
  </w:style>
  <w:style w:type="numbering" w:customStyle="1" w:styleId="WWNum1">
    <w:name w:val="WWNum1"/>
    <w:basedOn w:val="NoList"/>
    <w:rsid w:val="00851DFD"/>
    <w:pPr>
      <w:numPr>
        <w:numId w:val="5"/>
      </w:numPr>
    </w:pPr>
  </w:style>
  <w:style w:type="character" w:customStyle="1" w:styleId="UnresolvedMention3">
    <w:name w:val="Unresolved Mention3"/>
    <w:basedOn w:val="DefaultParagraphFont"/>
    <w:uiPriority w:val="99"/>
    <w:semiHidden/>
    <w:unhideWhenUsed/>
    <w:rsid w:val="006F4A33"/>
    <w:rPr>
      <w:color w:val="605E5C"/>
      <w:shd w:val="clear" w:color="auto" w:fill="E1DFDD"/>
    </w:rPr>
  </w:style>
  <w:style w:type="character" w:customStyle="1" w:styleId="UnresolvedMention4">
    <w:name w:val="Unresolved Mention4"/>
    <w:basedOn w:val="DefaultParagraphFont"/>
    <w:uiPriority w:val="99"/>
    <w:semiHidden/>
    <w:unhideWhenUsed/>
    <w:rsid w:val="00DA33F0"/>
    <w:rPr>
      <w:color w:val="605E5C"/>
      <w:shd w:val="clear" w:color="auto" w:fill="E1DFDD"/>
    </w:rPr>
  </w:style>
  <w:style w:type="paragraph" w:styleId="Revision">
    <w:name w:val="Revision"/>
    <w:hidden/>
    <w:uiPriority w:val="99"/>
    <w:semiHidden/>
    <w:rsid w:val="00534D3D"/>
    <w:pPr>
      <w:spacing w:after="0" w:line="240" w:lineRule="auto"/>
    </w:pPr>
  </w:style>
  <w:style w:type="character" w:styleId="CommentReference">
    <w:name w:val="annotation reference"/>
    <w:basedOn w:val="DefaultParagraphFont"/>
    <w:uiPriority w:val="99"/>
    <w:semiHidden/>
    <w:unhideWhenUsed/>
    <w:rsid w:val="00564FF3"/>
    <w:rPr>
      <w:sz w:val="16"/>
      <w:szCs w:val="16"/>
    </w:rPr>
  </w:style>
  <w:style w:type="paragraph" w:styleId="CommentText">
    <w:name w:val="annotation text"/>
    <w:basedOn w:val="Normal"/>
    <w:link w:val="CommentTextChar"/>
    <w:uiPriority w:val="99"/>
    <w:unhideWhenUsed/>
    <w:rsid w:val="00564FF3"/>
    <w:pPr>
      <w:spacing w:line="240" w:lineRule="auto"/>
    </w:pPr>
    <w:rPr>
      <w:sz w:val="20"/>
      <w:szCs w:val="20"/>
    </w:rPr>
  </w:style>
  <w:style w:type="character" w:customStyle="1" w:styleId="CommentTextChar">
    <w:name w:val="Comment Text Char"/>
    <w:basedOn w:val="DefaultParagraphFont"/>
    <w:link w:val="CommentText"/>
    <w:uiPriority w:val="99"/>
    <w:rsid w:val="00564FF3"/>
    <w:rPr>
      <w:sz w:val="20"/>
      <w:szCs w:val="20"/>
    </w:rPr>
  </w:style>
  <w:style w:type="paragraph" w:styleId="CommentSubject">
    <w:name w:val="annotation subject"/>
    <w:basedOn w:val="CommentText"/>
    <w:next w:val="CommentText"/>
    <w:link w:val="CommentSubjectChar"/>
    <w:uiPriority w:val="99"/>
    <w:semiHidden/>
    <w:unhideWhenUsed/>
    <w:rsid w:val="00564FF3"/>
    <w:rPr>
      <w:b/>
      <w:bCs/>
    </w:rPr>
  </w:style>
  <w:style w:type="character" w:customStyle="1" w:styleId="CommentSubjectChar">
    <w:name w:val="Comment Subject Char"/>
    <w:basedOn w:val="CommentTextChar"/>
    <w:link w:val="CommentSubject"/>
    <w:uiPriority w:val="99"/>
    <w:semiHidden/>
    <w:rsid w:val="00564FF3"/>
    <w:rPr>
      <w:b/>
      <w:bCs/>
      <w:sz w:val="20"/>
      <w:szCs w:val="20"/>
    </w:rPr>
  </w:style>
  <w:style w:type="paragraph" w:styleId="NoSpacing">
    <w:name w:val="No Spacing"/>
    <w:uiPriority w:val="1"/>
    <w:qFormat/>
    <w:rsid w:val="00623CBD"/>
    <w:pPr>
      <w:spacing w:after="0" w:line="240" w:lineRule="auto"/>
    </w:pPr>
  </w:style>
  <w:style w:type="character" w:customStyle="1" w:styleId="Bodytext2">
    <w:name w:val="Body text (2)_"/>
    <w:basedOn w:val="DefaultParagraphFont"/>
    <w:link w:val="Bodytext20"/>
    <w:rsid w:val="0050506C"/>
    <w:rPr>
      <w:rFonts w:eastAsia="Times New Roman" w:cs="Times New Roman"/>
      <w:shd w:val="clear" w:color="auto" w:fill="FFFFFF"/>
    </w:rPr>
  </w:style>
  <w:style w:type="character" w:customStyle="1" w:styleId="Bodytext2Italic">
    <w:name w:val="Body text (2) + Italic"/>
    <w:basedOn w:val="Bodytext2"/>
    <w:rsid w:val="0050506C"/>
    <w:rPr>
      <w:rFonts w:eastAsia="Times New Roman" w:cs="Times New Roman"/>
      <w:i/>
      <w:iCs/>
      <w:color w:val="000000"/>
      <w:spacing w:val="0"/>
      <w:w w:val="100"/>
      <w:position w:val="0"/>
      <w:sz w:val="24"/>
      <w:szCs w:val="24"/>
      <w:shd w:val="clear" w:color="auto" w:fill="FFFFFF"/>
      <w:lang w:val="lt-LT" w:eastAsia="lt-LT" w:bidi="lt-LT"/>
    </w:rPr>
  </w:style>
  <w:style w:type="paragraph" w:customStyle="1" w:styleId="Bodytext20">
    <w:name w:val="Body text (2)"/>
    <w:basedOn w:val="Normal"/>
    <w:link w:val="Bodytext2"/>
    <w:rsid w:val="0050506C"/>
    <w:pPr>
      <w:widowControl w:val="0"/>
      <w:shd w:val="clear" w:color="auto" w:fill="FFFFFF"/>
      <w:spacing w:after="360" w:line="0" w:lineRule="atLeast"/>
      <w:jc w:val="right"/>
    </w:pPr>
    <w:rPr>
      <w:rFonts w:eastAsia="Times New Roman" w:cs="Times New Roman"/>
    </w:rPr>
  </w:style>
  <w:style w:type="character" w:styleId="UnresolvedMention">
    <w:name w:val="Unresolved Mention"/>
    <w:basedOn w:val="DefaultParagraphFont"/>
    <w:uiPriority w:val="99"/>
    <w:semiHidden/>
    <w:unhideWhenUsed/>
    <w:rsid w:val="00E60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940614">
      <w:bodyDiv w:val="1"/>
      <w:marLeft w:val="0"/>
      <w:marRight w:val="0"/>
      <w:marTop w:val="0"/>
      <w:marBottom w:val="0"/>
      <w:divBdr>
        <w:top w:val="none" w:sz="0" w:space="0" w:color="auto"/>
        <w:left w:val="none" w:sz="0" w:space="0" w:color="auto"/>
        <w:bottom w:val="none" w:sz="0" w:space="0" w:color="auto"/>
        <w:right w:val="none" w:sz="0" w:space="0" w:color="auto"/>
      </w:divBdr>
    </w:div>
    <w:div w:id="203734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D2616-CCF6-42C6-951A-F7F55FF63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30863</Words>
  <Characters>17593</Characters>
  <Application>Microsoft Office Word</Application>
  <DocSecurity>0</DocSecurity>
  <Lines>146</Lines>
  <Paragraphs>96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N.Surblyte-Rimkiene</dc:creator>
  <cp:keywords/>
  <dc:description/>
  <cp:lastModifiedBy>Nerija Surblytė-Rimkienė</cp:lastModifiedBy>
  <cp:revision>3</cp:revision>
  <cp:lastPrinted>2025-06-04T05:50:00Z</cp:lastPrinted>
  <dcterms:created xsi:type="dcterms:W3CDTF">2025-06-25T08:52:00Z</dcterms:created>
  <dcterms:modified xsi:type="dcterms:W3CDTF">2025-06-25T09:06:00Z</dcterms:modified>
</cp:coreProperties>
</file>