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E9FEF" w14:textId="6C9D71D7" w:rsidR="009E7AF2" w:rsidRPr="002F17D0" w:rsidRDefault="00453DF6">
      <w:pPr>
        <w:ind w:left="3807" w:firstLine="1296"/>
      </w:pPr>
      <w:r w:rsidRPr="002F17D0">
        <w:t>Civilinė byla Nr. </w:t>
      </w:r>
      <w:r w:rsidR="00772D1C" w:rsidRPr="002F17D0">
        <w:t>e3K-3-139-701/2024</w:t>
      </w:r>
    </w:p>
    <w:p w14:paraId="385A8B69" w14:textId="362ADEB7" w:rsidR="009E7AF2" w:rsidRPr="002F17D0" w:rsidRDefault="00453DF6">
      <w:pPr>
        <w:ind w:left="5103"/>
      </w:pPr>
      <w:r w:rsidRPr="002F17D0">
        <w:t>Teisminio proceso Nr. </w:t>
      </w:r>
      <w:r w:rsidR="00772D1C" w:rsidRPr="002F17D0">
        <w:t>2-55-3-01112-2022-6</w:t>
      </w:r>
    </w:p>
    <w:p w14:paraId="04A31117" w14:textId="2FC468AF" w:rsidR="009E7AF2" w:rsidRPr="002F17D0" w:rsidRDefault="00453DF6">
      <w:pPr>
        <w:ind w:left="5103"/>
        <w:rPr>
          <w:color w:val="auto"/>
        </w:rPr>
      </w:pPr>
      <w:r w:rsidRPr="002F17D0">
        <w:rPr>
          <w:color w:val="auto"/>
        </w:rPr>
        <w:t>Procesinio sprendimo kategorij</w:t>
      </w:r>
      <w:r w:rsidR="005375D2" w:rsidRPr="002F17D0">
        <w:rPr>
          <w:color w:val="auto"/>
        </w:rPr>
        <w:t>os:</w:t>
      </w:r>
      <w:r w:rsidRPr="002F17D0">
        <w:rPr>
          <w:color w:val="auto"/>
        </w:rPr>
        <w:t xml:space="preserve"> </w:t>
      </w:r>
      <w:r w:rsidR="00A13458" w:rsidRPr="002F17D0">
        <w:rPr>
          <w:color w:val="auto"/>
        </w:rPr>
        <w:t>2.6.8.9</w:t>
      </w:r>
      <w:r w:rsidR="005F3229" w:rsidRPr="002F17D0">
        <w:rPr>
          <w:color w:val="auto"/>
        </w:rPr>
        <w:t xml:space="preserve">; </w:t>
      </w:r>
      <w:r w:rsidR="00010452" w:rsidRPr="002F17D0">
        <w:rPr>
          <w:color w:val="auto"/>
        </w:rPr>
        <w:t>3.2.4.11</w:t>
      </w:r>
    </w:p>
    <w:p w14:paraId="7ED35FF1" w14:textId="00D19541" w:rsidR="009E7AF2" w:rsidRPr="009B4AF5" w:rsidRDefault="009B4AF5" w:rsidP="009B4AF5">
      <w:pPr>
        <w:ind w:left="5103"/>
        <w:jc w:val="right"/>
        <w:rPr>
          <w:color w:val="auto"/>
        </w:rPr>
      </w:pPr>
      <w:r w:rsidRPr="009B4AF5">
        <w:rPr>
          <w:color w:val="auto"/>
        </w:rPr>
        <w:t xml:space="preserve"> (S) </w:t>
      </w:r>
    </w:p>
    <w:p w14:paraId="517DEEAD" w14:textId="77777777" w:rsidR="009B4AF5" w:rsidRPr="002F17D0" w:rsidRDefault="009B4AF5">
      <w:pPr>
        <w:ind w:left="5103"/>
      </w:pPr>
    </w:p>
    <w:p w14:paraId="0E14906C" w14:textId="77777777" w:rsidR="009E7AF2" w:rsidRPr="002F17D0" w:rsidRDefault="009E7AF2">
      <w:pPr>
        <w:jc w:val="right"/>
      </w:pPr>
    </w:p>
    <w:p w14:paraId="45F53A0E" w14:textId="77777777" w:rsidR="009E7AF2" w:rsidRPr="002F17D0" w:rsidRDefault="00453DF6">
      <w:pPr>
        <w:jc w:val="center"/>
      </w:pPr>
      <w:r w:rsidRPr="002F17D0">
        <w:rPr>
          <w:noProof/>
        </w:rPr>
        <w:drawing>
          <wp:inline distT="0" distB="0" distL="0" distR="0" wp14:anchorId="6DEB2BAA" wp14:editId="71F6FA03">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2F17D0" w:rsidRDefault="009E7AF2">
      <w:pPr>
        <w:jc w:val="center"/>
      </w:pPr>
    </w:p>
    <w:p w14:paraId="6488450E" w14:textId="77777777" w:rsidR="009E7AF2" w:rsidRPr="002F17D0" w:rsidRDefault="00453DF6">
      <w:pPr>
        <w:keepNext/>
        <w:jc w:val="center"/>
        <w:outlineLvl w:val="0"/>
        <w:rPr>
          <w:b/>
          <w:bCs/>
          <w:sz w:val="32"/>
          <w:szCs w:val="32"/>
        </w:rPr>
      </w:pPr>
      <w:r w:rsidRPr="002F17D0">
        <w:rPr>
          <w:b/>
          <w:bCs/>
          <w:sz w:val="32"/>
          <w:szCs w:val="32"/>
        </w:rPr>
        <w:t>LIETUVOS AUKŠČIAUSIASIS TEISMAS</w:t>
      </w:r>
    </w:p>
    <w:p w14:paraId="5ACE1D19" w14:textId="77777777" w:rsidR="009E7AF2" w:rsidRPr="002F17D0" w:rsidRDefault="009E7AF2">
      <w:pPr>
        <w:keepNext/>
        <w:outlineLvl w:val="0"/>
        <w:rPr>
          <w:b/>
          <w:bCs/>
          <w:sz w:val="32"/>
          <w:szCs w:val="32"/>
        </w:rPr>
      </w:pPr>
    </w:p>
    <w:p w14:paraId="303F4151" w14:textId="77777777" w:rsidR="009E7AF2" w:rsidRPr="002F17D0" w:rsidRDefault="00453DF6">
      <w:pPr>
        <w:keepNext/>
        <w:jc w:val="center"/>
        <w:outlineLvl w:val="0"/>
        <w:rPr>
          <w:b/>
          <w:bCs/>
          <w:sz w:val="32"/>
          <w:szCs w:val="32"/>
        </w:rPr>
      </w:pPr>
      <w:r w:rsidRPr="002F17D0">
        <w:rPr>
          <w:b/>
          <w:bCs/>
          <w:sz w:val="32"/>
          <w:szCs w:val="32"/>
        </w:rPr>
        <w:t>N U T A R T I S</w:t>
      </w:r>
    </w:p>
    <w:p w14:paraId="05B99639" w14:textId="77777777" w:rsidR="009E7AF2" w:rsidRPr="002F17D0" w:rsidRDefault="00453DF6">
      <w:pPr>
        <w:keepNext/>
        <w:jc w:val="center"/>
        <w:outlineLvl w:val="1"/>
      </w:pPr>
      <w:r w:rsidRPr="002F17D0">
        <w:t>LIETUVOS RESPUBLIKOS VARDU</w:t>
      </w:r>
    </w:p>
    <w:p w14:paraId="3BC4BB5C" w14:textId="77777777" w:rsidR="009E7AF2" w:rsidRPr="002F17D0" w:rsidRDefault="009E7AF2">
      <w:pPr>
        <w:ind w:left="357" w:hanging="357"/>
        <w:jc w:val="both"/>
      </w:pPr>
    </w:p>
    <w:p w14:paraId="05548A2C" w14:textId="1C331C83" w:rsidR="009E7AF2" w:rsidRPr="002F17D0" w:rsidRDefault="00453DF6">
      <w:pPr>
        <w:keepNext/>
        <w:ind w:left="357" w:hanging="357"/>
        <w:jc w:val="center"/>
        <w:outlineLvl w:val="0"/>
        <w:rPr>
          <w:bCs/>
        </w:rPr>
      </w:pPr>
      <w:r w:rsidRPr="002F17D0">
        <w:rPr>
          <w:bCs/>
        </w:rPr>
        <w:t>202</w:t>
      </w:r>
      <w:r w:rsidR="00DE615B" w:rsidRPr="002F17D0">
        <w:rPr>
          <w:bCs/>
        </w:rPr>
        <w:t>4</w:t>
      </w:r>
      <w:r w:rsidRPr="002F17D0">
        <w:rPr>
          <w:bCs/>
        </w:rPr>
        <w:t xml:space="preserve"> m. </w:t>
      </w:r>
      <w:r w:rsidR="00772D1C" w:rsidRPr="002F17D0">
        <w:rPr>
          <w:bCs/>
        </w:rPr>
        <w:t>birželio</w:t>
      </w:r>
      <w:r w:rsidR="00747E63" w:rsidRPr="002F17D0">
        <w:rPr>
          <w:bCs/>
        </w:rPr>
        <w:t xml:space="preserve"> </w:t>
      </w:r>
      <w:r w:rsidR="0021360A" w:rsidRPr="002F17D0">
        <w:rPr>
          <w:bCs/>
        </w:rPr>
        <w:t>27</w:t>
      </w:r>
      <w:r w:rsidRPr="002F17D0">
        <w:rPr>
          <w:bCs/>
        </w:rPr>
        <w:t xml:space="preserve"> d.</w:t>
      </w:r>
    </w:p>
    <w:p w14:paraId="174573FB" w14:textId="77777777" w:rsidR="009E7AF2" w:rsidRPr="002F17D0" w:rsidRDefault="00453DF6">
      <w:pPr>
        <w:ind w:left="357" w:hanging="357"/>
        <w:jc w:val="center"/>
      </w:pPr>
      <w:r w:rsidRPr="002F17D0">
        <w:t>Vilnius</w:t>
      </w:r>
    </w:p>
    <w:p w14:paraId="5E7F2E49" w14:textId="77777777" w:rsidR="009E7AF2" w:rsidRPr="002F17D0" w:rsidRDefault="009E7AF2">
      <w:pPr>
        <w:ind w:left="357" w:hanging="357"/>
        <w:jc w:val="both"/>
      </w:pPr>
    </w:p>
    <w:p w14:paraId="501F9902" w14:textId="13620EB1" w:rsidR="009E7AF2" w:rsidRPr="002F17D0" w:rsidRDefault="00453DF6">
      <w:pPr>
        <w:tabs>
          <w:tab w:val="left" w:pos="709"/>
        </w:tabs>
        <w:ind w:firstLine="720"/>
        <w:jc w:val="both"/>
      </w:pPr>
      <w:bookmarkStart w:id="0" w:name="_Hlk59444021"/>
      <w:r w:rsidRPr="002F17D0">
        <w:t xml:space="preserve">Lietuvos Aukščiausiojo Teismo Civilinių bylų skyriaus teisėjų kolegija, susidedanti iš teisėjų </w:t>
      </w:r>
      <w:r w:rsidR="00772D1C" w:rsidRPr="002F17D0">
        <w:t>Gražinos Davidonienės</w:t>
      </w:r>
      <w:r w:rsidRPr="002F17D0">
        <w:t xml:space="preserve">, </w:t>
      </w:r>
      <w:bookmarkStart w:id="1" w:name="_Hlk141971221"/>
      <w:r w:rsidR="00772D1C" w:rsidRPr="002F17D0">
        <w:t>Antano Simniškio</w:t>
      </w:r>
      <w:r w:rsidR="00B62B23" w:rsidRPr="002F17D0">
        <w:t xml:space="preserve"> (teisėjų kolegijos pirmininkas</w:t>
      </w:r>
      <w:r w:rsidR="00772D1C" w:rsidRPr="002F17D0">
        <w:t xml:space="preserve"> ir pranešėjas</w:t>
      </w:r>
      <w:r w:rsidR="00B62B23" w:rsidRPr="002F17D0">
        <w:t>)</w:t>
      </w:r>
      <w:r w:rsidRPr="002F17D0">
        <w:t xml:space="preserve"> ir </w:t>
      </w:r>
      <w:bookmarkEnd w:id="1"/>
      <w:r w:rsidR="00772D1C" w:rsidRPr="002F17D0">
        <w:t>Donato Šerno</w:t>
      </w:r>
      <w:r w:rsidRPr="002F17D0">
        <w:t>,</w:t>
      </w:r>
    </w:p>
    <w:p w14:paraId="673DD08B" w14:textId="625B7734" w:rsidR="009E7AF2" w:rsidRPr="002F17D0" w:rsidRDefault="00453DF6">
      <w:pPr>
        <w:spacing w:after="120"/>
        <w:ind w:firstLine="720"/>
        <w:jc w:val="both"/>
      </w:pPr>
      <w:bookmarkStart w:id="2" w:name="_Hlk59444146"/>
      <w:bookmarkEnd w:id="0"/>
      <w:r w:rsidRPr="002F17D0">
        <w:t>teismo posėdyje kasacine rašytinio proceso tvarka išnagrinėjo civilinę bylą pagal</w:t>
      </w:r>
      <w:bookmarkStart w:id="3" w:name="_Hlk141971172"/>
      <w:r w:rsidRPr="002F17D0">
        <w:t xml:space="preserve"> </w:t>
      </w:r>
      <w:bookmarkStart w:id="4" w:name="_Hlk161909833"/>
      <w:r w:rsidR="00B62B23" w:rsidRPr="002F17D0">
        <w:rPr>
          <w:b/>
          <w:bCs/>
        </w:rPr>
        <w:t xml:space="preserve">ieškovės uždarosios akcinės bendrovės </w:t>
      </w:r>
      <w:bookmarkEnd w:id="4"/>
      <w:r w:rsidR="00F86E6B" w:rsidRPr="002F17D0">
        <w:rPr>
          <w:b/>
          <w:bCs/>
        </w:rPr>
        <w:t>„</w:t>
      </w:r>
      <w:r w:rsidR="00772D1C" w:rsidRPr="002F17D0">
        <w:rPr>
          <w:b/>
          <w:bCs/>
        </w:rPr>
        <w:t xml:space="preserve">Vydmantai </w:t>
      </w:r>
      <w:r w:rsidR="00B34D83" w:rsidRPr="002F17D0">
        <w:rPr>
          <w:b/>
          <w:bCs/>
        </w:rPr>
        <w:t>w</w:t>
      </w:r>
      <w:r w:rsidR="00772D1C" w:rsidRPr="002F17D0">
        <w:rPr>
          <w:b/>
          <w:bCs/>
        </w:rPr>
        <w:t xml:space="preserve">ind </w:t>
      </w:r>
      <w:r w:rsidR="00B34D83" w:rsidRPr="002F17D0">
        <w:rPr>
          <w:b/>
          <w:bCs/>
        </w:rPr>
        <w:t>p</w:t>
      </w:r>
      <w:r w:rsidR="00772D1C" w:rsidRPr="002F17D0">
        <w:rPr>
          <w:b/>
          <w:bCs/>
        </w:rPr>
        <w:t>ark</w:t>
      </w:r>
      <w:r w:rsidR="00F86E6B" w:rsidRPr="002F17D0">
        <w:rPr>
          <w:b/>
          <w:bCs/>
        </w:rPr>
        <w:t>“</w:t>
      </w:r>
      <w:r w:rsidR="00772D1C" w:rsidRPr="002F17D0">
        <w:rPr>
          <w:b/>
          <w:bCs/>
        </w:rPr>
        <w:t xml:space="preserve"> </w:t>
      </w:r>
      <w:r w:rsidRPr="002F17D0">
        <w:t xml:space="preserve">kasacinį skundą dėl </w:t>
      </w:r>
      <w:bookmarkStart w:id="5" w:name="_Hlk135649682"/>
      <w:r w:rsidR="00B62B23" w:rsidRPr="002F17D0">
        <w:t>Lietuvos apeliacinio</w:t>
      </w:r>
      <w:r w:rsidRPr="002F17D0">
        <w:t xml:space="preserve"> teismo</w:t>
      </w:r>
      <w:r w:rsidR="00B62B23" w:rsidRPr="002F17D0">
        <w:t xml:space="preserve"> Civilinių bylų skyriaus teisėjų kolegijos</w:t>
      </w:r>
      <w:r w:rsidRPr="002F17D0">
        <w:t xml:space="preserve"> 2023 m. </w:t>
      </w:r>
      <w:r w:rsidR="00772D1C" w:rsidRPr="002F17D0">
        <w:t xml:space="preserve">gruodžio 21 </w:t>
      </w:r>
      <w:r w:rsidRPr="002F17D0">
        <w:t xml:space="preserve">d. </w:t>
      </w:r>
      <w:r w:rsidR="00B62B23" w:rsidRPr="002F17D0">
        <w:t>nutarties</w:t>
      </w:r>
      <w:r w:rsidRPr="002F17D0">
        <w:t xml:space="preserve"> p</w:t>
      </w:r>
      <w:bookmarkEnd w:id="5"/>
      <w:r w:rsidRPr="002F17D0">
        <w:t>eržiūrėjimo</w:t>
      </w:r>
      <w:bookmarkStart w:id="6" w:name="_Hlk124760356"/>
      <w:bookmarkStart w:id="7" w:name="_Hlk117588092"/>
      <w:bookmarkStart w:id="8" w:name="_Hlk123815348"/>
      <w:r w:rsidRPr="002F17D0">
        <w:t xml:space="preserve"> </w:t>
      </w:r>
      <w:r w:rsidRPr="002F17D0">
        <w:rPr>
          <w:bCs/>
        </w:rPr>
        <w:t xml:space="preserve">civilinėje </w:t>
      </w:r>
      <w:bookmarkEnd w:id="6"/>
      <w:r w:rsidRPr="002F17D0">
        <w:rPr>
          <w:bCs/>
        </w:rPr>
        <w:t>byloje</w:t>
      </w:r>
      <w:bookmarkEnd w:id="3"/>
      <w:bookmarkEnd w:id="7"/>
      <w:bookmarkEnd w:id="8"/>
      <w:r w:rsidRPr="002F17D0">
        <w:rPr>
          <w:bCs/>
        </w:rPr>
        <w:t xml:space="preserve"> </w:t>
      </w:r>
      <w:r w:rsidRPr="002F17D0">
        <w:t>pagal</w:t>
      </w:r>
      <w:bookmarkStart w:id="9" w:name="_Hlk160628215"/>
      <w:bookmarkEnd w:id="2"/>
      <w:r w:rsidR="00320695" w:rsidRPr="002F17D0">
        <w:t xml:space="preserve"> </w:t>
      </w:r>
      <w:r w:rsidR="00772D1C" w:rsidRPr="002F17D0">
        <w:t xml:space="preserve">ieškovės uždarosios akcinės bendrovės </w:t>
      </w:r>
      <w:bookmarkStart w:id="10" w:name="_Hlk167196214"/>
      <w:r w:rsidR="00F86E6B" w:rsidRPr="002F17D0">
        <w:t>„</w:t>
      </w:r>
      <w:r w:rsidR="00772D1C" w:rsidRPr="002F17D0">
        <w:t>Vydmantai wind park</w:t>
      </w:r>
      <w:r w:rsidR="00F86E6B" w:rsidRPr="002F17D0">
        <w:t>“</w:t>
      </w:r>
      <w:r w:rsidR="00772D1C" w:rsidRPr="002F17D0">
        <w:t xml:space="preserve"> </w:t>
      </w:r>
      <w:bookmarkEnd w:id="10"/>
      <w:r w:rsidR="00772D1C" w:rsidRPr="002F17D0">
        <w:t xml:space="preserve">ieškinį atsakovei uždarajai akcinei bendrovei </w:t>
      </w:r>
      <w:bookmarkStart w:id="11" w:name="_Hlk169096712"/>
      <w:r w:rsidR="00772D1C" w:rsidRPr="002F17D0">
        <w:t>„E</w:t>
      </w:r>
      <w:r w:rsidR="00F86E6B" w:rsidRPr="002F17D0">
        <w:t>lektrum</w:t>
      </w:r>
      <w:r w:rsidR="00772D1C" w:rsidRPr="002F17D0">
        <w:t xml:space="preserve"> L</w:t>
      </w:r>
      <w:r w:rsidR="00F86E6B" w:rsidRPr="002F17D0">
        <w:t>ietuva</w:t>
      </w:r>
      <w:r w:rsidR="00772D1C" w:rsidRPr="002F17D0">
        <w:t>“</w:t>
      </w:r>
      <w:bookmarkEnd w:id="11"/>
      <w:r w:rsidR="00772D1C" w:rsidRPr="002F17D0">
        <w:t xml:space="preserve"> dėl vienašališko sutarties vykdymo sustabdymo pripažinimo neteisėtu, baudos, skolos bei delspinigių priteisimo.</w:t>
      </w:r>
    </w:p>
    <w:bookmarkEnd w:id="9"/>
    <w:p w14:paraId="49765723" w14:textId="3AC8D866" w:rsidR="009E7AF2" w:rsidRPr="009B4AF5" w:rsidRDefault="009E7AF2" w:rsidP="009B4AF5">
      <w:pPr>
        <w:jc w:val="both"/>
        <w:rPr>
          <w:b/>
          <w:bCs/>
          <w:color w:val="0000FF"/>
        </w:rPr>
      </w:pPr>
    </w:p>
    <w:p w14:paraId="5BF9B01B" w14:textId="77777777" w:rsidR="009E7AF2" w:rsidRPr="002F17D0" w:rsidRDefault="00453DF6">
      <w:pPr>
        <w:ind w:left="357" w:hanging="357"/>
        <w:jc w:val="both"/>
      </w:pPr>
      <w:r w:rsidRPr="002F17D0">
        <w:t>n u s t a t ė :</w:t>
      </w:r>
    </w:p>
    <w:p w14:paraId="14E5E636" w14:textId="77777777" w:rsidR="009E7AF2" w:rsidRPr="002F17D0" w:rsidRDefault="009E7AF2">
      <w:pPr>
        <w:ind w:left="726" w:hanging="6"/>
        <w:jc w:val="both"/>
      </w:pPr>
    </w:p>
    <w:p w14:paraId="52BD5665" w14:textId="77777777" w:rsidR="009E7AF2" w:rsidRPr="002F17D0" w:rsidRDefault="00453DF6">
      <w:pPr>
        <w:spacing w:after="120"/>
        <w:ind w:left="357" w:hanging="357"/>
        <w:jc w:val="center"/>
      </w:pPr>
      <w:r w:rsidRPr="002F17D0">
        <w:t>I. Ginčo esmė</w:t>
      </w:r>
    </w:p>
    <w:p w14:paraId="44A8440C" w14:textId="77777777" w:rsidR="009E7AF2" w:rsidRPr="002F17D0" w:rsidRDefault="009E7AF2">
      <w:pPr>
        <w:spacing w:after="120"/>
        <w:ind w:firstLine="720"/>
        <w:jc w:val="both"/>
      </w:pPr>
    </w:p>
    <w:p w14:paraId="6F0EB43D" w14:textId="43BB38E3" w:rsidR="002E3578" w:rsidRPr="002F17D0" w:rsidRDefault="00453DF6" w:rsidP="006663A9">
      <w:pPr>
        <w:numPr>
          <w:ilvl w:val="0"/>
          <w:numId w:val="1"/>
        </w:numPr>
        <w:spacing w:after="120"/>
        <w:ind w:left="357" w:hanging="357"/>
        <w:jc w:val="both"/>
        <w:rPr>
          <w:bCs/>
          <w:lang w:bidi="lt-LT"/>
        </w:rPr>
      </w:pPr>
      <w:r w:rsidRPr="002F17D0">
        <w:rPr>
          <w:bCs/>
          <w:lang w:bidi="lt-LT"/>
        </w:rPr>
        <w:t xml:space="preserve">Kasacinėje byloje sprendžiama dėl teisės normų, reglamentuojančių </w:t>
      </w:r>
      <w:r w:rsidR="002E3578" w:rsidRPr="002F17D0">
        <w:rPr>
          <w:rFonts w:eastAsia="Times New Roman"/>
          <w:bCs/>
          <w:color w:val="auto"/>
          <w:szCs w:val="24"/>
          <w:lang w:eastAsia="lt-LT" w:bidi="lt-LT"/>
        </w:rPr>
        <w:t xml:space="preserve">įrodinėjimą bei įrodymų vertinimą, </w:t>
      </w:r>
      <w:r w:rsidR="002E3578" w:rsidRPr="002F17D0">
        <w:rPr>
          <w:szCs w:val="24"/>
        </w:rPr>
        <w:t xml:space="preserve">Europos Sąjungos taikomų ribojamųjų priemonių apimtį, aiškinimo ir </w:t>
      </w:r>
      <w:r w:rsidR="002E3578" w:rsidRPr="002F17D0">
        <w:rPr>
          <w:rFonts w:eastAsia="Times New Roman"/>
          <w:bCs/>
          <w:color w:val="auto"/>
          <w:szCs w:val="24"/>
          <w:lang w:eastAsia="lt-LT" w:bidi="lt-LT"/>
        </w:rPr>
        <w:t>taikymo</w:t>
      </w:r>
      <w:r w:rsidR="00F86E6B" w:rsidRPr="002F17D0">
        <w:rPr>
          <w:rFonts w:eastAsia="Times New Roman"/>
          <w:bCs/>
          <w:color w:val="auto"/>
          <w:szCs w:val="24"/>
          <w:lang w:eastAsia="lt-LT" w:bidi="lt-LT"/>
        </w:rPr>
        <w:t>.</w:t>
      </w:r>
      <w:r w:rsidR="002E3578" w:rsidRPr="002F17D0">
        <w:rPr>
          <w:rFonts w:eastAsia="Times New Roman"/>
          <w:bCs/>
          <w:color w:val="auto"/>
          <w:szCs w:val="24"/>
          <w:lang w:eastAsia="lt-LT" w:bidi="lt-LT"/>
        </w:rPr>
        <w:t xml:space="preserve"> </w:t>
      </w:r>
    </w:p>
    <w:p w14:paraId="45C765BA" w14:textId="595670BC" w:rsidR="00F2165A" w:rsidRPr="002F17D0" w:rsidRDefault="00F2165A" w:rsidP="00F2165A">
      <w:pPr>
        <w:numPr>
          <w:ilvl w:val="0"/>
          <w:numId w:val="1"/>
        </w:numPr>
        <w:spacing w:after="120"/>
        <w:ind w:left="357" w:hanging="357"/>
        <w:jc w:val="both"/>
        <w:rPr>
          <w:bCs/>
          <w:lang w:bidi="lt-LT"/>
        </w:rPr>
      </w:pPr>
      <w:r w:rsidRPr="002F17D0">
        <w:rPr>
          <w:szCs w:val="24"/>
        </w:rPr>
        <w:t xml:space="preserve">Ieškovė </w:t>
      </w:r>
      <w:r w:rsidR="00942E55" w:rsidRPr="002F17D0">
        <w:rPr>
          <w:szCs w:val="24"/>
        </w:rPr>
        <w:t xml:space="preserve">prašė: </w:t>
      </w:r>
      <w:r w:rsidRPr="002F17D0">
        <w:rPr>
          <w:szCs w:val="24"/>
        </w:rPr>
        <w:t xml:space="preserve">pripažinti atsakovės atliktą su ieškove sudarytos 2020 m. rugsėjo 25 d. Elektros energijos pirkimo iš atsinaujinančių energijos išteklių gamintojo sutarties (toliau – ir Sutartis) vienašališką vykdymo sustabdymą, įformintą </w:t>
      </w:r>
      <w:bookmarkStart w:id="12" w:name="_Hlk167292880"/>
      <w:bookmarkStart w:id="13" w:name="_Hlk169209047"/>
      <w:r w:rsidRPr="002F17D0">
        <w:rPr>
          <w:szCs w:val="24"/>
        </w:rPr>
        <w:t>2022 m. birželio 28 d</w:t>
      </w:r>
      <w:bookmarkEnd w:id="12"/>
      <w:r w:rsidRPr="002F17D0">
        <w:rPr>
          <w:szCs w:val="24"/>
        </w:rPr>
        <w:t>. raštu dėl Sutarties stabdymo</w:t>
      </w:r>
      <w:bookmarkEnd w:id="13"/>
      <w:r w:rsidRPr="002F17D0">
        <w:rPr>
          <w:szCs w:val="24"/>
        </w:rPr>
        <w:t>, neteisėtu ir negaliojančiu; priteisti iš atsakovės 1 272 797,37 Eur baudą už neteisėtą vienašališką Sutarties vykdymo sustabdymą; priteisti iš atsakovės 1 574 662,41 Eur skolos už patiektą elektros energiją pagal Sutartį; priteisti iš atsakovės 90 930,01 Eur delspinigių už pavėluotą atsiskaitymą už pagal Sutartį patiektą elektros energiją; priteisti iš atsakovės 6 procentų metines palūkanas, skaičiuojamas nuo visos priteistos sumos už laikotarpį nuo bylos iškėlimo teisme iki teismo sprendimo visiško įvykdymo</w:t>
      </w:r>
      <w:r w:rsidR="00F86E6B" w:rsidRPr="002F17D0">
        <w:rPr>
          <w:szCs w:val="24"/>
        </w:rPr>
        <w:t>,</w:t>
      </w:r>
      <w:r w:rsidRPr="002F17D0">
        <w:rPr>
          <w:szCs w:val="24"/>
        </w:rPr>
        <w:t xml:space="preserve"> ir vis</w:t>
      </w:r>
      <w:r w:rsidR="00F86E6B" w:rsidRPr="002F17D0">
        <w:rPr>
          <w:szCs w:val="24"/>
        </w:rPr>
        <w:t>ų</w:t>
      </w:r>
      <w:r w:rsidRPr="002F17D0">
        <w:rPr>
          <w:szCs w:val="24"/>
        </w:rPr>
        <w:t xml:space="preserve"> jos patirt</w:t>
      </w:r>
      <w:r w:rsidR="00F86E6B" w:rsidRPr="002F17D0">
        <w:rPr>
          <w:szCs w:val="24"/>
        </w:rPr>
        <w:t>ų</w:t>
      </w:r>
      <w:r w:rsidRPr="002F17D0">
        <w:rPr>
          <w:szCs w:val="24"/>
        </w:rPr>
        <w:t xml:space="preserve"> bylinėjimosi išlaid</w:t>
      </w:r>
      <w:r w:rsidR="00F86E6B" w:rsidRPr="002F17D0">
        <w:rPr>
          <w:szCs w:val="24"/>
        </w:rPr>
        <w:t>ų atlyginimą</w:t>
      </w:r>
      <w:r w:rsidRPr="002F17D0">
        <w:rPr>
          <w:szCs w:val="24"/>
        </w:rPr>
        <w:t>.</w:t>
      </w:r>
    </w:p>
    <w:p w14:paraId="23A96DD6" w14:textId="77D6D662" w:rsidR="00F2165A" w:rsidRPr="002F17D0" w:rsidRDefault="00F2165A" w:rsidP="00F2165A">
      <w:pPr>
        <w:numPr>
          <w:ilvl w:val="0"/>
          <w:numId w:val="1"/>
        </w:numPr>
        <w:spacing w:after="120"/>
        <w:ind w:left="357" w:hanging="357"/>
        <w:jc w:val="both"/>
        <w:rPr>
          <w:bCs/>
          <w:lang w:bidi="lt-LT"/>
        </w:rPr>
      </w:pPr>
      <w:r w:rsidRPr="002F17D0">
        <w:rPr>
          <w:szCs w:val="24"/>
        </w:rPr>
        <w:t xml:space="preserve">Ieškovė </w:t>
      </w:r>
      <w:r w:rsidR="00942E55" w:rsidRPr="002F17D0">
        <w:rPr>
          <w:szCs w:val="24"/>
        </w:rPr>
        <w:t>nurodė</w:t>
      </w:r>
      <w:r w:rsidRPr="002F17D0">
        <w:rPr>
          <w:szCs w:val="24"/>
        </w:rPr>
        <w:t>, kad valdo 30 MW vėjo elektrinių parką Vakarų Lietuvoje</w:t>
      </w:r>
      <w:r w:rsidR="00414F95">
        <w:rPr>
          <w:szCs w:val="24"/>
        </w:rPr>
        <w:t xml:space="preserve"> (duomenys neskelbtini)</w:t>
      </w:r>
      <w:r w:rsidRPr="002F17D0">
        <w:rPr>
          <w:szCs w:val="24"/>
        </w:rPr>
        <w:t xml:space="preserve"> (toliau – Vėjo elektrinių parkas). Siekdama tiekti valdomame Vėjo elektrinių parke pagamintą </w:t>
      </w:r>
      <w:r w:rsidRPr="002F17D0">
        <w:rPr>
          <w:szCs w:val="24"/>
        </w:rPr>
        <w:lastRenderedPageBreak/>
        <w:t>elektros energiją vartotojams, ieškovė su atsakove 2020 m. rugsėjo 25 d. sudarė Sutartį. Sutartimi ieškovė įsipareigojo patiekti į perdavimo tinklą elektros energiją, pagamintą naudojant atsinaujinančiu</w:t>
      </w:r>
      <w:r w:rsidR="00F86E6B" w:rsidRPr="002F17D0">
        <w:rPr>
          <w:szCs w:val="24"/>
        </w:rPr>
        <w:t>o</w:t>
      </w:r>
      <w:r w:rsidRPr="002F17D0">
        <w:rPr>
          <w:szCs w:val="24"/>
        </w:rPr>
        <w:t>s</w:t>
      </w:r>
      <w:r w:rsidR="00F86E6B" w:rsidRPr="002F17D0">
        <w:rPr>
          <w:szCs w:val="24"/>
        </w:rPr>
        <w:t>ius</w:t>
      </w:r>
      <w:r w:rsidRPr="002F17D0">
        <w:rPr>
          <w:szCs w:val="24"/>
        </w:rPr>
        <w:t xml:space="preserve"> energijos išteklius, o atsakovė įsipareigojo nupirkti šią elektros energiją ir sumokėti ieškovei Sutartyje nurodytą patiektos elektros energijos kainą. Ieškovei sėkmingai vykdant veiklą ir įgyvendinant visus Sutartimi prisiimtus įsipareigojimus, </w:t>
      </w:r>
      <w:r w:rsidR="00F86E6B" w:rsidRPr="002F17D0">
        <w:rPr>
          <w:szCs w:val="24"/>
        </w:rPr>
        <w:t>atsakovė</w:t>
      </w:r>
      <w:r w:rsidRPr="002F17D0">
        <w:rPr>
          <w:szCs w:val="24"/>
        </w:rPr>
        <w:t xml:space="preserve"> 2022 m. gegužės 25</w:t>
      </w:r>
      <w:r w:rsidR="00F86E6B" w:rsidRPr="002F17D0">
        <w:rPr>
          <w:szCs w:val="24"/>
        </w:rPr>
        <w:t> </w:t>
      </w:r>
      <w:r w:rsidRPr="002F17D0">
        <w:rPr>
          <w:szCs w:val="24"/>
        </w:rPr>
        <w:t xml:space="preserve">d. iš žiniasklaidoje paskelbtos </w:t>
      </w:r>
      <w:r w:rsidR="00A74F6A" w:rsidRPr="002F17D0">
        <w:rPr>
          <w:szCs w:val="24"/>
        </w:rPr>
        <w:t>informacijos</w:t>
      </w:r>
      <w:r w:rsidRPr="002F17D0">
        <w:rPr>
          <w:szCs w:val="24"/>
        </w:rPr>
        <w:t xml:space="preserve"> sužinojo, kad Finansinių nusikaltimų tyrimo tarnyba (toliau – FNTT) ieškovę įtraukė į </w:t>
      </w:r>
      <w:bookmarkStart w:id="14" w:name="_Hlk167284249"/>
      <w:r w:rsidRPr="002F17D0">
        <w:rPr>
          <w:szCs w:val="24"/>
        </w:rPr>
        <w:t xml:space="preserve">viešai skelbiamą Fizinių ir (ar) juridinių asmenų sąsajų su subjektais, kuriems taikomos tarptautinės sankcijos, sąrašą </w:t>
      </w:r>
      <w:bookmarkEnd w:id="14"/>
      <w:r w:rsidRPr="002F17D0">
        <w:rPr>
          <w:szCs w:val="24"/>
        </w:rPr>
        <w:t xml:space="preserve">(toliau – Sąrašas). Sąraše buvo skelbiama, kad ieškovė yra susijusi su tarptautiniu mastu sankcionuotu asmeniu – Rusijos Federacijos prezidentu Vladimiru Putinu (Vladimir Vladimirovich Putin) ir šiuo pagrindu yra įšaldytos ieškovės lėšos, akcijos bei nekilnojamasis turtas. </w:t>
      </w:r>
    </w:p>
    <w:p w14:paraId="77110926" w14:textId="28E5448C" w:rsidR="00F2165A" w:rsidRPr="002F17D0" w:rsidRDefault="0021360A" w:rsidP="00F2165A">
      <w:pPr>
        <w:numPr>
          <w:ilvl w:val="0"/>
          <w:numId w:val="1"/>
        </w:numPr>
        <w:spacing w:after="120"/>
        <w:ind w:left="357" w:hanging="357"/>
        <w:jc w:val="both"/>
        <w:rPr>
          <w:bCs/>
          <w:lang w:bidi="lt-LT"/>
        </w:rPr>
      </w:pPr>
      <w:r w:rsidRPr="002F17D0">
        <w:rPr>
          <w:szCs w:val="24"/>
        </w:rPr>
        <w:t>Ieškovė t</w:t>
      </w:r>
      <w:r w:rsidR="00F86E6B" w:rsidRPr="002F17D0">
        <w:rPr>
          <w:szCs w:val="24"/>
        </w:rPr>
        <w:t>eigia</w:t>
      </w:r>
      <w:r w:rsidRPr="002F17D0">
        <w:rPr>
          <w:szCs w:val="24"/>
        </w:rPr>
        <w:t xml:space="preserve">, </w:t>
      </w:r>
      <w:r w:rsidR="00F86E6B" w:rsidRPr="002F17D0">
        <w:rPr>
          <w:szCs w:val="24"/>
        </w:rPr>
        <w:t>kad nors</w:t>
      </w:r>
      <w:r w:rsidR="00F2165A" w:rsidRPr="002F17D0">
        <w:rPr>
          <w:szCs w:val="24"/>
        </w:rPr>
        <w:t xml:space="preserve"> joks administracinis aktas dėl </w:t>
      </w:r>
      <w:r w:rsidRPr="002F17D0">
        <w:rPr>
          <w:szCs w:val="24"/>
        </w:rPr>
        <w:t>jos</w:t>
      </w:r>
      <w:r w:rsidR="00F2165A" w:rsidRPr="002F17D0">
        <w:rPr>
          <w:szCs w:val="24"/>
        </w:rPr>
        <w:t xml:space="preserve"> įtraukimo į Sąrašą niekur nebuvo skelbiamas, o FNTT interneto svetainėje buvo paskelbtas tik pats Sąrašas, ieškovė iš atsakovės gavo 2022 m. birželio 28 d. raštą </w:t>
      </w:r>
      <w:r w:rsidR="00F86E6B" w:rsidRPr="002F17D0">
        <w:rPr>
          <w:szCs w:val="24"/>
        </w:rPr>
        <w:t>d</w:t>
      </w:r>
      <w:r w:rsidR="00F2165A" w:rsidRPr="002F17D0">
        <w:rPr>
          <w:szCs w:val="24"/>
        </w:rPr>
        <w:t xml:space="preserve">ėl Sutarties stabdymo (toliau – Raštas dėl Sutarties stabdymo), kuriuo atsakovė informavo ieškovę, jog dėl viešai skelbiamo ieškovės įtraukimo į Sąrašą atsakovė nuo 2022 m. liepos 1 d. stabdo Vėjo elektrinių parke ieškovės pagamintos elektros energijos pirkimą pagal Sutartį. Taigi, Raštu dėl Sutarties stabdymo atsakovė sustabdė Sutarties vykdymą, </w:t>
      </w:r>
      <w:r w:rsidR="00F86E6B" w:rsidRPr="002F17D0">
        <w:rPr>
          <w:szCs w:val="24"/>
        </w:rPr>
        <w:t>tai</w:t>
      </w:r>
      <w:r w:rsidR="00F2165A" w:rsidRPr="002F17D0">
        <w:rPr>
          <w:szCs w:val="24"/>
        </w:rPr>
        <w:t xml:space="preserve"> iš esmės prilygsta </w:t>
      </w:r>
      <w:r w:rsidR="00F86E6B" w:rsidRPr="002F17D0">
        <w:rPr>
          <w:szCs w:val="24"/>
        </w:rPr>
        <w:t xml:space="preserve">atsakovės įvykdytam </w:t>
      </w:r>
      <w:r w:rsidR="00F2165A" w:rsidRPr="002F17D0">
        <w:rPr>
          <w:szCs w:val="24"/>
        </w:rPr>
        <w:t>vienašališkam Sutarties nutraukimui</w:t>
      </w:r>
      <w:r w:rsidR="00F86E6B" w:rsidRPr="002F17D0">
        <w:rPr>
          <w:szCs w:val="24"/>
        </w:rPr>
        <w:t>.</w:t>
      </w:r>
      <w:r w:rsidR="00F2165A" w:rsidRPr="002F17D0">
        <w:rPr>
          <w:szCs w:val="24"/>
        </w:rPr>
        <w:t xml:space="preserve"> Nors FNTT interneto svetainėje dar nuo 2022 m. gegužės mėnesio buvo skelbiama apie ieškovės įtraukimą į Sąrašą, FNTT direktorius tik 2022 m. liepos 20 d. priėmė ir paskelbė įsakymą </w:t>
      </w:r>
      <w:r w:rsidR="009C28E1" w:rsidRPr="002F17D0">
        <w:rPr>
          <w:szCs w:val="24"/>
        </w:rPr>
        <w:t>Nr. </w:t>
      </w:r>
      <w:r w:rsidR="00F2165A" w:rsidRPr="002F17D0">
        <w:rPr>
          <w:szCs w:val="24"/>
        </w:rPr>
        <w:t>V-174, kuriuo patvirtino Juridiniams asmenims ar kitoms organizacijoms, neturinčioms juridinio asmens statuso, nuosavybės teise priklausančių arba kontroliuojamų subjektų, kuriems taikomos sankcijos, sąrašą. Taigi, nors FNTT skelbė, kad ieškovė dar nuo 2022 m. gegužės mėnesio yra įtraukta į Sąrašą, pats Sąrašas FNTT buvo patvirtintas tik FNTT 2022 m. liepos 20 d. įsakymu.</w:t>
      </w:r>
    </w:p>
    <w:p w14:paraId="5E9E0D41" w14:textId="77777777" w:rsidR="00320695" w:rsidRPr="002F17D0" w:rsidRDefault="00320695" w:rsidP="00320695">
      <w:pPr>
        <w:shd w:val="clear" w:color="auto" w:fill="FFFFFF"/>
        <w:autoSpaceDN/>
        <w:spacing w:after="120"/>
        <w:ind w:left="360"/>
        <w:jc w:val="both"/>
        <w:textAlignment w:val="auto"/>
        <w:rPr>
          <w:szCs w:val="24"/>
        </w:rPr>
      </w:pPr>
    </w:p>
    <w:p w14:paraId="5F22AC73" w14:textId="77777777" w:rsidR="009E7AF2" w:rsidRPr="002F17D0" w:rsidRDefault="00453DF6">
      <w:pPr>
        <w:spacing w:after="120"/>
        <w:ind w:left="357" w:hanging="357"/>
        <w:jc w:val="center"/>
      </w:pPr>
      <w:r w:rsidRPr="002F17D0">
        <w:t>II. Pirmosios ir apeliacinės instancijos teismų procesinių sprendimų esmė</w:t>
      </w:r>
    </w:p>
    <w:p w14:paraId="503EA625" w14:textId="77777777" w:rsidR="009E7AF2" w:rsidRPr="002F17D0" w:rsidRDefault="009E7AF2">
      <w:pPr>
        <w:spacing w:after="120"/>
        <w:ind w:left="357" w:hanging="357"/>
        <w:jc w:val="center"/>
      </w:pPr>
    </w:p>
    <w:p w14:paraId="162A2BDA" w14:textId="08473FEA" w:rsidR="00F2165A" w:rsidRPr="002F17D0" w:rsidRDefault="00F2165A" w:rsidP="00F2165A">
      <w:pPr>
        <w:numPr>
          <w:ilvl w:val="0"/>
          <w:numId w:val="1"/>
        </w:numPr>
        <w:spacing w:after="120"/>
        <w:jc w:val="both"/>
        <w:rPr>
          <w:lang w:bidi="lt-LT"/>
        </w:rPr>
      </w:pPr>
      <w:r w:rsidRPr="002F17D0">
        <w:rPr>
          <w:lang w:bidi="lt-LT"/>
        </w:rPr>
        <w:t>Vilniaus apygardos teismas 2023 m. liepos 10 d. sprendimu ieškovės ieškinį atmetė, priteisė atsakovei 18 834,04 Eur bylinėjimosi išlaidų</w:t>
      </w:r>
      <w:r w:rsidR="00F86E6B" w:rsidRPr="002F17D0">
        <w:rPr>
          <w:lang w:bidi="lt-LT"/>
        </w:rPr>
        <w:t xml:space="preserve"> atlyginimo</w:t>
      </w:r>
      <w:r w:rsidRPr="002F17D0">
        <w:rPr>
          <w:lang w:bidi="lt-LT"/>
        </w:rPr>
        <w:t xml:space="preserve">. </w:t>
      </w:r>
    </w:p>
    <w:p w14:paraId="6AE10E74" w14:textId="64A7B60E" w:rsidR="00F2165A" w:rsidRPr="002F17D0" w:rsidRDefault="0021360A" w:rsidP="00F2165A">
      <w:pPr>
        <w:numPr>
          <w:ilvl w:val="0"/>
          <w:numId w:val="1"/>
        </w:numPr>
        <w:spacing w:after="120"/>
        <w:jc w:val="both"/>
        <w:rPr>
          <w:lang w:bidi="lt-LT"/>
        </w:rPr>
      </w:pPr>
      <w:r w:rsidRPr="002F17D0">
        <w:rPr>
          <w:lang w:bidi="lt-LT"/>
        </w:rPr>
        <w:t>T</w:t>
      </w:r>
      <w:r w:rsidR="00F2165A" w:rsidRPr="002F17D0">
        <w:rPr>
          <w:lang w:bidi="lt-LT"/>
        </w:rPr>
        <w:t xml:space="preserve">eismas nurodė, kad sankcijų (arba teisės aktais nustatytų ribojimų) taikymas yra ne fakto, o teisės taikymo klausimas. Tai yra, kiek tai susiję su sankcijų taikymu ieškovei, jų teisinis pagrindas yra Europos Tarybos 2014 m. kovo 17 d. </w:t>
      </w:r>
      <w:bookmarkStart w:id="15" w:name="_Hlk168385412"/>
      <w:r w:rsidR="00F2165A" w:rsidRPr="002F17D0">
        <w:rPr>
          <w:lang w:bidi="lt-LT"/>
        </w:rPr>
        <w:t xml:space="preserve">sprendimas Nr. 2014/145/BUSP </w:t>
      </w:r>
      <w:bookmarkEnd w:id="15"/>
      <w:r w:rsidR="00F2165A" w:rsidRPr="002F17D0">
        <w:rPr>
          <w:lang w:bidi="lt-LT"/>
        </w:rPr>
        <w:t>dėl ribojamųjų priemonių, taikytinų atsižvelgiant į veiksmus, kuriais kenkiama Ukrainos teritoriniam vientisumui, suverenitetui ir nepriklausomybei arba į juos kėsinamasi</w:t>
      </w:r>
      <w:r w:rsidR="00540B58" w:rsidRPr="002F17D0">
        <w:rPr>
          <w:lang w:bidi="lt-LT"/>
        </w:rPr>
        <w:t xml:space="preserve"> (toliau – ir Sprendimas Nr.</w:t>
      </w:r>
      <w:r w:rsidR="00F86E6B" w:rsidRPr="002F17D0">
        <w:rPr>
          <w:lang w:bidi="lt-LT"/>
        </w:rPr>
        <w:t> </w:t>
      </w:r>
      <w:r w:rsidR="00540B58" w:rsidRPr="002F17D0">
        <w:rPr>
          <w:lang w:bidi="lt-LT"/>
        </w:rPr>
        <w:t>2014/145/BUSP)</w:t>
      </w:r>
      <w:r w:rsidR="00F2165A" w:rsidRPr="002F17D0">
        <w:rPr>
          <w:lang w:bidi="lt-LT"/>
        </w:rPr>
        <w:t xml:space="preserve">, </w:t>
      </w:r>
      <w:bookmarkStart w:id="16" w:name="_Hlk168385695"/>
      <w:r w:rsidR="00540B58" w:rsidRPr="002F17D0">
        <w:rPr>
          <w:lang w:bidi="lt-LT"/>
        </w:rPr>
        <w:t>Europos</w:t>
      </w:r>
      <w:r w:rsidR="00F2165A" w:rsidRPr="002F17D0">
        <w:rPr>
          <w:lang w:bidi="lt-LT"/>
        </w:rPr>
        <w:t xml:space="preserve"> </w:t>
      </w:r>
      <w:bookmarkEnd w:id="16"/>
      <w:r w:rsidR="00F2165A" w:rsidRPr="002F17D0">
        <w:rPr>
          <w:lang w:bidi="lt-LT"/>
        </w:rPr>
        <w:t xml:space="preserve">Tarybos </w:t>
      </w:r>
      <w:r w:rsidR="00540B58" w:rsidRPr="002F17D0">
        <w:rPr>
          <w:lang w:bidi="lt-LT"/>
        </w:rPr>
        <w:t xml:space="preserve">2022 m. vasario 25 d. </w:t>
      </w:r>
      <w:r w:rsidR="00F86E6B" w:rsidRPr="002F17D0">
        <w:rPr>
          <w:lang w:bidi="lt-LT"/>
        </w:rPr>
        <w:t>į</w:t>
      </w:r>
      <w:r w:rsidR="00F2165A" w:rsidRPr="002F17D0">
        <w:rPr>
          <w:lang w:bidi="lt-LT"/>
        </w:rPr>
        <w:t xml:space="preserve">gyvendinimo </w:t>
      </w:r>
      <w:r w:rsidR="00F86E6B" w:rsidRPr="002F17D0">
        <w:rPr>
          <w:lang w:bidi="lt-LT"/>
        </w:rPr>
        <w:t>r</w:t>
      </w:r>
      <w:r w:rsidR="00F2165A" w:rsidRPr="002F17D0">
        <w:rPr>
          <w:lang w:bidi="lt-LT"/>
        </w:rPr>
        <w:t>eglamentas (ES) 2022/332, kuriuo įgyvendinamas</w:t>
      </w:r>
      <w:r w:rsidR="006B4C4D" w:rsidRPr="002F17D0">
        <w:rPr>
          <w:lang w:bidi="lt-LT"/>
        </w:rPr>
        <w:t xml:space="preserve"> Europos Tarybos 2014 m. kovo 14 d.</w:t>
      </w:r>
      <w:r w:rsidR="00F2165A" w:rsidRPr="002F17D0">
        <w:rPr>
          <w:lang w:bidi="lt-LT"/>
        </w:rPr>
        <w:t xml:space="preserve"> </w:t>
      </w:r>
      <w:r w:rsidR="0087173C" w:rsidRPr="002F17D0">
        <w:rPr>
          <w:lang w:bidi="lt-LT"/>
        </w:rPr>
        <w:t>r</w:t>
      </w:r>
      <w:r w:rsidR="00F2165A" w:rsidRPr="002F17D0">
        <w:rPr>
          <w:lang w:bidi="lt-LT"/>
        </w:rPr>
        <w:t xml:space="preserve">eglamentas (ES) Nr. </w:t>
      </w:r>
      <w:bookmarkStart w:id="17" w:name="_Hlk169211672"/>
      <w:r w:rsidR="00F2165A" w:rsidRPr="002F17D0">
        <w:rPr>
          <w:lang w:bidi="lt-LT"/>
        </w:rPr>
        <w:t xml:space="preserve">269/2014 </w:t>
      </w:r>
      <w:bookmarkEnd w:id="17"/>
      <w:r w:rsidR="006B4C4D" w:rsidRPr="002F17D0">
        <w:rPr>
          <w:lang w:bidi="lt-LT"/>
        </w:rPr>
        <w:t xml:space="preserve">(toliau – Reglamentas Nr. 269/2014) </w:t>
      </w:r>
      <w:r w:rsidR="00F2165A" w:rsidRPr="002F17D0">
        <w:rPr>
          <w:lang w:bidi="lt-LT"/>
        </w:rPr>
        <w:t>dėl ribojamųjų priemonių, taikytinų atsižvelgiant į veiksmus, kuriais kenkiama Ukrainos teritoriniam vientisumui, suverenitetui ir nepriklausomybei arba į juos kėsinamasi, bei Lietuvos Respublikos tarptautinių sankcijų įstatymas. Tuo tarpu sankcijų taikymo faktinis pagrindas yra teisės normose nu</w:t>
      </w:r>
      <w:r w:rsidR="00F86E6B" w:rsidRPr="002F17D0">
        <w:rPr>
          <w:lang w:bidi="lt-LT"/>
        </w:rPr>
        <w:t>st</w:t>
      </w:r>
      <w:r w:rsidR="00F2165A" w:rsidRPr="002F17D0">
        <w:rPr>
          <w:lang w:bidi="lt-LT"/>
        </w:rPr>
        <w:t>atytos faktinės aplinkybės, su kurių buvimu teisės aktas sieja sankcijos taikymą.</w:t>
      </w:r>
    </w:p>
    <w:p w14:paraId="56F46430" w14:textId="2AD32586" w:rsidR="00F2165A" w:rsidRPr="002F17D0" w:rsidRDefault="00540B58" w:rsidP="00F2165A">
      <w:pPr>
        <w:numPr>
          <w:ilvl w:val="0"/>
          <w:numId w:val="1"/>
        </w:numPr>
        <w:spacing w:after="120"/>
        <w:jc w:val="both"/>
        <w:rPr>
          <w:lang w:bidi="lt-LT"/>
        </w:rPr>
      </w:pPr>
      <w:r w:rsidRPr="002F17D0">
        <w:rPr>
          <w:lang w:bidi="lt-LT"/>
        </w:rPr>
        <w:t>Teismas pažymėjo, kad s</w:t>
      </w:r>
      <w:r w:rsidR="00F2165A" w:rsidRPr="002F17D0">
        <w:rPr>
          <w:lang w:bidi="lt-LT"/>
        </w:rPr>
        <w:t>ubjektams, kurie nors ir nėra įtraukti į sąrašus, tačiau kuriuos kontroliuoja į sąrašus įtraukti asmenys (pavyzdžiui, tiesiogiai ar netiesiogiai kontroliuojamos įmonės), taikomi tie patys apribojimai. Tokį aiškinimą įtvirtina ir Europos Sąjungos Taryba</w:t>
      </w:r>
      <w:r w:rsidR="00530F1D" w:rsidRPr="002F17D0">
        <w:rPr>
          <w:lang w:bidi="lt-LT"/>
        </w:rPr>
        <w:t>,</w:t>
      </w:r>
      <w:r w:rsidR="00F2165A" w:rsidRPr="002F17D0">
        <w:rPr>
          <w:lang w:bidi="lt-LT"/>
        </w:rPr>
        <w:t xml:space="preserve"> ribojamųjų priemonių veiksmingo įgyvendinimo geriausioje praktikoje išskirdama sankcionuotų asmenų kontrolės </w:t>
      </w:r>
      <w:r w:rsidR="00F70C27" w:rsidRPr="002F17D0">
        <w:rPr>
          <w:lang w:bidi="lt-LT"/>
        </w:rPr>
        <w:t xml:space="preserve">teisės </w:t>
      </w:r>
      <w:r w:rsidR="00F2165A" w:rsidRPr="002F17D0">
        <w:rPr>
          <w:lang w:bidi="lt-LT"/>
        </w:rPr>
        <w:t xml:space="preserve">į juridinius asmenis įgyvendinimo pavyzdžius. Be to, remdamasi nurodyta praktika, Europos Komisija yra konstatavusi, kad sankcijų įgyvendinimui subjekto </w:t>
      </w:r>
      <w:r w:rsidR="00F2165A" w:rsidRPr="002F17D0">
        <w:rPr>
          <w:lang w:bidi="lt-LT"/>
        </w:rPr>
        <w:lastRenderedPageBreak/>
        <w:t xml:space="preserve">įrašymas nėra būtina prielaida, jei nustatomas kontrolės egzistavimas. </w:t>
      </w:r>
      <w:r w:rsidR="00C53C4B" w:rsidRPr="002F17D0">
        <w:rPr>
          <w:lang w:bidi="lt-LT"/>
        </w:rPr>
        <w:t>Teismas nurodė, jog a</w:t>
      </w:r>
      <w:r w:rsidR="00F2165A" w:rsidRPr="002F17D0">
        <w:rPr>
          <w:lang w:bidi="lt-LT"/>
        </w:rPr>
        <w:t xml:space="preserve">plinkybė, kad ieškovei taikomos tarptautinės sankcijos, yra nustatyta Lietuvos Respublikos įstatymų </w:t>
      </w:r>
      <w:r w:rsidR="009C28E1" w:rsidRPr="002F17D0">
        <w:rPr>
          <w:lang w:bidi="lt-LT"/>
        </w:rPr>
        <w:t>įtvirtin</w:t>
      </w:r>
      <w:r w:rsidR="00F2165A" w:rsidRPr="002F17D0">
        <w:rPr>
          <w:lang w:bidi="lt-LT"/>
        </w:rPr>
        <w:t>ta tvarka, kuria atsakovė privalo vadovautis. Teismas sutiko su atsakovės argumentu, kad ji neturi galimybės jos interpretuoti ar turėti kitą nuomonę.</w:t>
      </w:r>
    </w:p>
    <w:p w14:paraId="78B45C93" w14:textId="17869B81" w:rsidR="00F2165A" w:rsidRPr="002F17D0" w:rsidRDefault="00C53C4B" w:rsidP="00F2165A">
      <w:pPr>
        <w:numPr>
          <w:ilvl w:val="0"/>
          <w:numId w:val="1"/>
        </w:numPr>
        <w:spacing w:after="120"/>
        <w:jc w:val="both"/>
        <w:rPr>
          <w:lang w:bidi="lt-LT"/>
        </w:rPr>
      </w:pPr>
      <w:r w:rsidRPr="002F17D0">
        <w:rPr>
          <w:lang w:bidi="lt-LT"/>
        </w:rPr>
        <w:t xml:space="preserve">Teismas nustatė, jog </w:t>
      </w:r>
      <w:r w:rsidR="00F2165A" w:rsidRPr="002F17D0">
        <w:rPr>
          <w:lang w:bidi="lt-LT"/>
        </w:rPr>
        <w:t>FNTT internet</w:t>
      </w:r>
      <w:r w:rsidR="002A1DAF" w:rsidRPr="002F17D0">
        <w:rPr>
          <w:lang w:bidi="lt-LT"/>
        </w:rPr>
        <w:t>o</w:t>
      </w:r>
      <w:r w:rsidR="00F2165A" w:rsidRPr="002F17D0">
        <w:rPr>
          <w:lang w:bidi="lt-LT"/>
        </w:rPr>
        <w:t xml:space="preserve"> puslapio skiltyje „Tarptautinės finansinės sankcijos“ ne vėliau kaip 2022 m. gegužės 24 d. pradėta skelbti, kad ieškovės turtas yra įšaldytas dėl jos sąsajų su sankcionuotais subjektais. Teismas konstatavo, kad teisės aktuose </w:t>
      </w:r>
      <w:r w:rsidR="00530F1D" w:rsidRPr="002F17D0">
        <w:rPr>
          <w:lang w:bidi="lt-LT"/>
        </w:rPr>
        <w:t>įtvirtin</w:t>
      </w:r>
      <w:r w:rsidR="00F2165A" w:rsidRPr="002F17D0">
        <w:rPr>
          <w:lang w:bidi="lt-LT"/>
        </w:rPr>
        <w:t xml:space="preserve">ti apribojimai ieškovei taikomi nepriklausomai nuo to, ar jos pavadinimas įrašytas į konkretų Europos Sąjungos reglamentų ar sprendimų sąrašą. Ši aplinkybė paskelbta ir privaloma Lietuvos Respublikos įstatymų nustatyta tvarka. </w:t>
      </w:r>
      <w:r w:rsidRPr="002F17D0">
        <w:rPr>
          <w:lang w:bidi="lt-LT"/>
        </w:rPr>
        <w:t>Teismas p</w:t>
      </w:r>
      <w:r w:rsidR="00F2165A" w:rsidRPr="002F17D0">
        <w:rPr>
          <w:lang w:bidi="lt-LT"/>
        </w:rPr>
        <w:t xml:space="preserve">ažymėjo, kad FNTT sprendimų ir aktų teisėtumas </w:t>
      </w:r>
      <w:r w:rsidRPr="002F17D0">
        <w:rPr>
          <w:lang w:bidi="lt-LT"/>
        </w:rPr>
        <w:t>bei</w:t>
      </w:r>
      <w:r w:rsidR="00F2165A" w:rsidRPr="002F17D0">
        <w:rPr>
          <w:lang w:bidi="lt-LT"/>
        </w:rPr>
        <w:t xml:space="preserve"> teisėtumo teisminė patikra nėra šios bylos nagrinėjimo dalykas, tai netiesiogiai patvirtina ir Lietuvos apeliacinio teismo nutartis dėl bylos sustabdymo teisėtumo šioje byloje (Lietuvos apeliacinio teismo nutartis Nr. e2-57-407/2023)</w:t>
      </w:r>
      <w:r w:rsidRPr="002F17D0">
        <w:rPr>
          <w:lang w:bidi="lt-LT"/>
        </w:rPr>
        <w:t>,</w:t>
      </w:r>
      <w:r w:rsidR="00F2165A" w:rsidRPr="002F17D0">
        <w:rPr>
          <w:lang w:bidi="lt-LT"/>
        </w:rPr>
        <w:t xml:space="preserve"> todėl atsakovė privalėjo vadovautis Lietuvos Respublikos valstybės institucijų priimtais aktais, kol jų galiojimas nenuginčytas įstatymų nustatyta tvarka.</w:t>
      </w:r>
    </w:p>
    <w:p w14:paraId="3A507D1F" w14:textId="58605A61" w:rsidR="00F2165A" w:rsidRPr="002F17D0" w:rsidRDefault="00F2165A" w:rsidP="00F2165A">
      <w:pPr>
        <w:numPr>
          <w:ilvl w:val="0"/>
          <w:numId w:val="1"/>
        </w:numPr>
        <w:spacing w:after="120"/>
        <w:jc w:val="both"/>
        <w:rPr>
          <w:lang w:bidi="lt-LT"/>
        </w:rPr>
      </w:pPr>
      <w:r w:rsidRPr="002F17D0">
        <w:rPr>
          <w:lang w:bidi="lt-LT"/>
        </w:rPr>
        <w:t xml:space="preserve">Teismas </w:t>
      </w:r>
      <w:r w:rsidR="00AB0921" w:rsidRPr="002F17D0">
        <w:rPr>
          <w:lang w:bidi="lt-LT"/>
        </w:rPr>
        <w:t>vertino</w:t>
      </w:r>
      <w:r w:rsidRPr="002F17D0">
        <w:rPr>
          <w:lang w:bidi="lt-LT"/>
        </w:rPr>
        <w:t xml:space="preserve">, kad ieškovės teiginiai, jog ją kontroliuoja Lietuvos subjektai (pvz., </w:t>
      </w:r>
      <w:r w:rsidR="00DC1DAD" w:rsidRPr="002F17D0">
        <w:rPr>
          <w:lang w:bidi="lt-LT"/>
        </w:rPr>
        <w:t xml:space="preserve">UAB </w:t>
      </w:r>
      <w:r w:rsidRPr="002F17D0">
        <w:rPr>
          <w:lang w:bidi="lt-LT"/>
        </w:rPr>
        <w:t>„Scaent Baltic“)</w:t>
      </w:r>
      <w:r w:rsidR="00530F1D" w:rsidRPr="002F17D0">
        <w:rPr>
          <w:lang w:bidi="lt-LT"/>
        </w:rPr>
        <w:t>,</w:t>
      </w:r>
      <w:r w:rsidRPr="002F17D0">
        <w:rPr>
          <w:lang w:bidi="lt-LT"/>
        </w:rPr>
        <w:t xml:space="preserve"> neatitinka tikrovės. Ieškovės teigimu, AB „I</w:t>
      </w:r>
      <w:r w:rsidR="004C0569" w:rsidRPr="002F17D0">
        <w:rPr>
          <w:lang w:bidi="lt-LT"/>
        </w:rPr>
        <w:t>nter</w:t>
      </w:r>
      <w:r w:rsidRPr="002F17D0">
        <w:rPr>
          <w:lang w:bidi="lt-LT"/>
        </w:rPr>
        <w:t xml:space="preserve"> RAO Lietuva“ 2012 m. liepos 19 d. akcininkų sutartis įrodo Rusijos Federacijos kontrolės nebuvimą, nes pagal šią akcininkų sutartį </w:t>
      </w:r>
      <w:bookmarkStart w:id="18" w:name="_Hlk167190264"/>
      <w:r w:rsidRPr="002F17D0">
        <w:rPr>
          <w:lang w:bidi="lt-LT"/>
        </w:rPr>
        <w:t>UAB</w:t>
      </w:r>
      <w:bookmarkEnd w:id="18"/>
      <w:r w:rsidRPr="002F17D0">
        <w:rPr>
          <w:lang w:bidi="lt-LT"/>
        </w:rPr>
        <w:t xml:space="preserve"> „Scaent Baltic“ deleguoja bendrovės vadovą, o strateginiai bendrovės sprendimai bendrovės valdyboje priimami tik jei tam pritaria UAB „Scaent Baltic“ deleguoti valdybos nariai. Teismas </w:t>
      </w:r>
      <w:r w:rsidR="00BD401E" w:rsidRPr="002F17D0">
        <w:rPr>
          <w:lang w:bidi="lt-LT"/>
        </w:rPr>
        <w:t>šiuos argumentus vertino</w:t>
      </w:r>
      <w:r w:rsidRPr="002F17D0">
        <w:rPr>
          <w:lang w:bidi="lt-LT"/>
        </w:rPr>
        <w:t xml:space="preserve"> </w:t>
      </w:r>
      <w:r w:rsidR="00530F1D" w:rsidRPr="002F17D0">
        <w:rPr>
          <w:lang w:bidi="lt-LT"/>
        </w:rPr>
        <w:t xml:space="preserve">kaip </w:t>
      </w:r>
      <w:r w:rsidRPr="002F17D0">
        <w:rPr>
          <w:lang w:bidi="lt-LT"/>
        </w:rPr>
        <w:t>nepagrįst</w:t>
      </w:r>
      <w:r w:rsidR="00530F1D" w:rsidRPr="002F17D0">
        <w:rPr>
          <w:lang w:bidi="lt-LT"/>
        </w:rPr>
        <w:t>u</w:t>
      </w:r>
      <w:r w:rsidR="00BD401E" w:rsidRPr="002F17D0">
        <w:rPr>
          <w:lang w:bidi="lt-LT"/>
        </w:rPr>
        <w:t>s</w:t>
      </w:r>
      <w:r w:rsidR="002A1DAF" w:rsidRPr="002F17D0">
        <w:rPr>
          <w:lang w:bidi="lt-LT"/>
        </w:rPr>
        <w:t>,</w:t>
      </w:r>
      <w:r w:rsidRPr="002F17D0">
        <w:rPr>
          <w:lang w:bidi="lt-LT"/>
        </w:rPr>
        <w:t xml:space="preserve"> pritardamas atsakovės pozicijai, jog akcininkų sutartis yra tik akcininkų tarpusavio susitarimas. </w:t>
      </w:r>
      <w:r w:rsidR="00AB0921" w:rsidRPr="002F17D0">
        <w:rPr>
          <w:lang w:bidi="lt-LT"/>
        </w:rPr>
        <w:t>Teismas nurodė, kad</w:t>
      </w:r>
      <w:r w:rsidR="00530F1D" w:rsidRPr="002F17D0">
        <w:rPr>
          <w:lang w:bidi="lt-LT"/>
        </w:rPr>
        <w:t>,</w:t>
      </w:r>
      <w:r w:rsidR="00AB0921" w:rsidRPr="002F17D0">
        <w:rPr>
          <w:lang w:bidi="lt-LT"/>
        </w:rPr>
        <w:t xml:space="preserve"> n</w:t>
      </w:r>
      <w:r w:rsidRPr="002F17D0">
        <w:rPr>
          <w:lang w:bidi="lt-LT"/>
        </w:rPr>
        <w:t xml:space="preserve">epaisant susitarimo dėl balsavimo, faktinius balsavimo rezultatus gali nulemti vienas akcininkas – </w:t>
      </w:r>
      <w:r w:rsidR="00530F1D" w:rsidRPr="002F17D0">
        <w:rPr>
          <w:lang w:bidi="lt-LT"/>
        </w:rPr>
        <w:t>„</w:t>
      </w:r>
      <w:r w:rsidRPr="002F17D0">
        <w:rPr>
          <w:lang w:bidi="lt-LT"/>
        </w:rPr>
        <w:t>RAO N</w:t>
      </w:r>
      <w:r w:rsidR="00530F1D" w:rsidRPr="002F17D0">
        <w:rPr>
          <w:lang w:bidi="lt-LT"/>
        </w:rPr>
        <w:t>ordic</w:t>
      </w:r>
      <w:r w:rsidRPr="002F17D0">
        <w:rPr>
          <w:lang w:bidi="lt-LT"/>
        </w:rPr>
        <w:t xml:space="preserve"> OY</w:t>
      </w:r>
      <w:r w:rsidR="00530F1D" w:rsidRPr="002F17D0">
        <w:rPr>
          <w:lang w:bidi="lt-LT"/>
        </w:rPr>
        <w:t>“</w:t>
      </w:r>
      <w:r w:rsidRPr="002F17D0">
        <w:rPr>
          <w:lang w:bidi="lt-LT"/>
        </w:rPr>
        <w:t>. Balsuojant kiti akcininkai gali faktiškai klausyti didžiojo akcininko ar vadovautis jo nuomone, pavyzdžiui</w:t>
      </w:r>
      <w:r w:rsidR="00530F1D" w:rsidRPr="002F17D0">
        <w:rPr>
          <w:lang w:bidi="lt-LT"/>
        </w:rPr>
        <w:t>,</w:t>
      </w:r>
      <w:r w:rsidRPr="002F17D0">
        <w:rPr>
          <w:lang w:bidi="lt-LT"/>
        </w:rPr>
        <w:t xml:space="preserve"> dėl to, kad jis gali nulemti visos įmonės, t</w:t>
      </w:r>
      <w:r w:rsidR="00530F1D" w:rsidRPr="002F17D0">
        <w:rPr>
          <w:lang w:bidi="lt-LT"/>
        </w:rPr>
        <w:t>.</w:t>
      </w:r>
      <w:r w:rsidRPr="002F17D0">
        <w:rPr>
          <w:lang w:bidi="lt-LT"/>
        </w:rPr>
        <w:t xml:space="preserve"> y</w:t>
      </w:r>
      <w:r w:rsidR="00530F1D" w:rsidRPr="002F17D0">
        <w:rPr>
          <w:lang w:bidi="lt-LT"/>
        </w:rPr>
        <w:t>.</w:t>
      </w:r>
      <w:r w:rsidRPr="002F17D0">
        <w:rPr>
          <w:lang w:bidi="lt-LT"/>
        </w:rPr>
        <w:t xml:space="preserve"> ir kitų akcininkų</w:t>
      </w:r>
      <w:r w:rsidR="00530F1D" w:rsidRPr="002F17D0">
        <w:rPr>
          <w:lang w:bidi="lt-LT"/>
        </w:rPr>
        <w:t>,</w:t>
      </w:r>
      <w:r w:rsidRPr="002F17D0">
        <w:rPr>
          <w:lang w:bidi="lt-LT"/>
        </w:rPr>
        <w:t xml:space="preserve"> finansinius rezultatus bei jų gaunamą naudą. Akcininkų sutartis taip pat nepaneigia aplinkybės, kad 51 proc. balsų visuotiniame akcininkų susirinkime, ne mažiau kaip 4 iš 7 stebėtojų tarybos narius </w:t>
      </w:r>
      <w:r w:rsidR="00530F1D" w:rsidRPr="002F17D0">
        <w:rPr>
          <w:lang w:bidi="lt-LT"/>
        </w:rPr>
        <w:t>ir</w:t>
      </w:r>
      <w:r w:rsidRPr="002F17D0">
        <w:rPr>
          <w:lang w:bidi="lt-LT"/>
        </w:rPr>
        <w:t xml:space="preserve"> ne mažiau kaip 3 iš 5 valdybos narius, net ir galiojant akcininkų sutarčiai, kontroliuoja Rusijos bendrovė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xml:space="preserve">. Be to, akcininkų sutarties galiojimas yra pasibaigęs 2022 m. liepos 19 d., t. y. praėjus 10 metų nuo akcininkų sutarties pasirašymo dienos. Taigi akivaizdu, kad </w:t>
      </w:r>
      <w:r w:rsidR="006B05A5" w:rsidRPr="002F17D0">
        <w:rPr>
          <w:lang w:bidi="lt-LT"/>
        </w:rPr>
        <w:t>AB </w:t>
      </w:r>
      <w:r w:rsidR="00530F1D" w:rsidRPr="002F17D0">
        <w:rPr>
          <w:lang w:bidi="lt-LT"/>
        </w:rPr>
        <w:t>„</w:t>
      </w:r>
      <w:r w:rsidRPr="002F17D0">
        <w:rPr>
          <w:lang w:bidi="lt-LT"/>
        </w:rPr>
        <w:t>I</w:t>
      </w:r>
      <w:r w:rsidR="00530F1D" w:rsidRPr="002F17D0">
        <w:rPr>
          <w:lang w:bidi="lt-LT"/>
        </w:rPr>
        <w:t>nter</w:t>
      </w:r>
      <w:r w:rsidRPr="002F17D0">
        <w:rPr>
          <w:lang w:bidi="lt-LT"/>
        </w:rPr>
        <w:t xml:space="preserve"> RAO Lietuva</w:t>
      </w:r>
      <w:r w:rsidR="00530F1D" w:rsidRPr="002F17D0">
        <w:rPr>
          <w:lang w:bidi="lt-LT"/>
        </w:rPr>
        <w:t>“</w:t>
      </w:r>
      <w:r w:rsidRPr="002F17D0">
        <w:rPr>
          <w:lang w:bidi="lt-LT"/>
        </w:rPr>
        <w:t xml:space="preserve"> ir jos </w:t>
      </w:r>
      <w:r w:rsidR="00530F1D" w:rsidRPr="002F17D0">
        <w:rPr>
          <w:lang w:bidi="lt-LT"/>
        </w:rPr>
        <w:t>patronuojamosios</w:t>
      </w:r>
      <w:r w:rsidRPr="002F17D0">
        <w:rPr>
          <w:lang w:bidi="lt-LT"/>
        </w:rPr>
        <w:t xml:space="preserve"> bendrovės </w:t>
      </w:r>
      <w:r w:rsidR="00530F1D" w:rsidRPr="002F17D0">
        <w:rPr>
          <w:lang w:bidi="lt-LT"/>
        </w:rPr>
        <w:t>–</w:t>
      </w:r>
      <w:r w:rsidR="00AB0921" w:rsidRPr="002F17D0">
        <w:rPr>
          <w:lang w:bidi="lt-LT"/>
        </w:rPr>
        <w:t xml:space="preserve"> ieškovės</w:t>
      </w:r>
      <w:r w:rsidRPr="002F17D0">
        <w:rPr>
          <w:lang w:bidi="lt-LT"/>
        </w:rPr>
        <w:t xml:space="preserve"> pagrindiniai ir galutiniai naudos gavėjai bei kontroliuojantys asmenys yra Rusijos Federacija ir nurodyti sankcionuoti asmenys.</w:t>
      </w:r>
    </w:p>
    <w:p w14:paraId="3CDCE2B5" w14:textId="4E21E3A4" w:rsidR="00F2165A" w:rsidRPr="002F17D0" w:rsidRDefault="00F2165A" w:rsidP="00F2165A">
      <w:pPr>
        <w:numPr>
          <w:ilvl w:val="0"/>
          <w:numId w:val="1"/>
        </w:numPr>
        <w:spacing w:after="120"/>
        <w:jc w:val="both"/>
        <w:rPr>
          <w:lang w:bidi="lt-LT"/>
        </w:rPr>
      </w:pPr>
      <w:r w:rsidRPr="002F17D0">
        <w:rPr>
          <w:lang w:bidi="lt-LT"/>
        </w:rPr>
        <w:t>Ieškov</w:t>
      </w:r>
      <w:r w:rsidR="00AB0921" w:rsidRPr="002F17D0">
        <w:rPr>
          <w:lang w:bidi="lt-LT"/>
        </w:rPr>
        <w:t>ei</w:t>
      </w:r>
      <w:r w:rsidRPr="002F17D0">
        <w:rPr>
          <w:lang w:bidi="lt-LT"/>
        </w:rPr>
        <w:t xml:space="preserve"> įrodinėj</w:t>
      </w:r>
      <w:r w:rsidR="00AB0921" w:rsidRPr="002F17D0">
        <w:rPr>
          <w:lang w:bidi="lt-LT"/>
        </w:rPr>
        <w:t>ant</w:t>
      </w:r>
      <w:r w:rsidRPr="002F17D0">
        <w:rPr>
          <w:lang w:bidi="lt-LT"/>
        </w:rPr>
        <w:t xml:space="preserve">, kad </w:t>
      </w:r>
      <w:r w:rsidR="006B05A5" w:rsidRPr="002F17D0">
        <w:rPr>
          <w:lang w:bidi="lt-LT"/>
        </w:rPr>
        <w:t xml:space="preserve">Rusijos bendrovės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xml:space="preserve"> reikšminga akcinink</w:t>
      </w:r>
      <w:r w:rsidR="006B05A5" w:rsidRPr="002F17D0">
        <w:rPr>
          <w:lang w:bidi="lt-LT"/>
        </w:rPr>
        <w:t>ė</w:t>
      </w:r>
      <w:r w:rsidRPr="002F17D0">
        <w:rPr>
          <w:lang w:bidi="lt-LT"/>
        </w:rPr>
        <w:t xml:space="preserve"> yra </w:t>
      </w:r>
      <w:r w:rsidR="00530F1D" w:rsidRPr="002F17D0">
        <w:rPr>
          <w:lang w:bidi="lt-LT"/>
        </w:rPr>
        <w:t>„</w:t>
      </w:r>
      <w:r w:rsidRPr="002F17D0">
        <w:rPr>
          <w:lang w:bidi="lt-LT"/>
        </w:rPr>
        <w:t>Inter RAO Capital Group</w:t>
      </w:r>
      <w:r w:rsidR="00530F1D" w:rsidRPr="002F17D0">
        <w:rPr>
          <w:lang w:bidi="lt-LT"/>
        </w:rPr>
        <w:t>“</w:t>
      </w:r>
      <w:r w:rsidR="00AB0921" w:rsidRPr="002F17D0">
        <w:rPr>
          <w:lang w:bidi="lt-LT"/>
        </w:rPr>
        <w:t>,</w:t>
      </w:r>
      <w:r w:rsidRPr="002F17D0">
        <w:rPr>
          <w:lang w:bidi="lt-LT"/>
        </w:rPr>
        <w:t xml:space="preserve"> teismas </w:t>
      </w:r>
      <w:r w:rsidR="00BD401E" w:rsidRPr="002F17D0">
        <w:rPr>
          <w:lang w:bidi="lt-LT"/>
        </w:rPr>
        <w:t>padarė išvadą</w:t>
      </w:r>
      <w:r w:rsidRPr="002F17D0">
        <w:rPr>
          <w:lang w:bidi="lt-LT"/>
        </w:rPr>
        <w:t xml:space="preserve">, </w:t>
      </w:r>
      <w:r w:rsidR="00BD401E" w:rsidRPr="002F17D0">
        <w:rPr>
          <w:lang w:bidi="lt-LT"/>
        </w:rPr>
        <w:t>jog</w:t>
      </w:r>
      <w:r w:rsidRPr="002F17D0">
        <w:rPr>
          <w:lang w:bidi="lt-LT"/>
        </w:rPr>
        <w:t xml:space="preserve"> </w:t>
      </w:r>
      <w:r w:rsidR="00530F1D" w:rsidRPr="002F17D0">
        <w:rPr>
          <w:lang w:bidi="lt-LT"/>
        </w:rPr>
        <w:t>„</w:t>
      </w:r>
      <w:r w:rsidRPr="002F17D0">
        <w:rPr>
          <w:lang w:bidi="lt-LT"/>
        </w:rPr>
        <w:t>Inter RAO Capital Group</w:t>
      </w:r>
      <w:r w:rsidR="00530F1D" w:rsidRPr="002F17D0">
        <w:rPr>
          <w:lang w:bidi="lt-LT"/>
        </w:rPr>
        <w:t>“</w:t>
      </w:r>
      <w:r w:rsidRPr="002F17D0">
        <w:rPr>
          <w:lang w:bidi="lt-LT"/>
        </w:rPr>
        <w:t xml:space="preserve"> dalis </w:t>
      </w:r>
      <w:r w:rsidR="006B05A5" w:rsidRPr="002F17D0">
        <w:rPr>
          <w:lang w:bidi="lt-LT"/>
        </w:rPr>
        <w:t xml:space="preserve">Rusijos bendrovės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xml:space="preserve"> kapitale negali būti skaičiuojama kaip mažinanti Rusijos Federacijos sankcionuotų asmenų kontrolę, kadangi </w:t>
      </w:r>
      <w:r w:rsidR="00530F1D" w:rsidRPr="002F17D0">
        <w:rPr>
          <w:lang w:bidi="lt-LT"/>
        </w:rPr>
        <w:t>„</w:t>
      </w:r>
      <w:r w:rsidRPr="002F17D0">
        <w:rPr>
          <w:lang w:bidi="lt-LT"/>
        </w:rPr>
        <w:t>Inter RAO Capital Group</w:t>
      </w:r>
      <w:r w:rsidR="00530F1D" w:rsidRPr="002F17D0">
        <w:rPr>
          <w:lang w:bidi="lt-LT"/>
        </w:rPr>
        <w:t>“</w:t>
      </w:r>
      <w:r w:rsidRPr="002F17D0">
        <w:rPr>
          <w:lang w:bidi="lt-LT"/>
        </w:rPr>
        <w:t xml:space="preserve"> yra ne tik </w:t>
      </w:r>
      <w:r w:rsidR="006B05A5" w:rsidRPr="002F17D0">
        <w:rPr>
          <w:lang w:bidi="lt-LT"/>
        </w:rPr>
        <w:t xml:space="preserve">bendrovės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xml:space="preserve"> akcininkė, bet ir atvirkščiai – </w:t>
      </w:r>
      <w:r w:rsidR="006B05A5" w:rsidRPr="002F17D0">
        <w:rPr>
          <w:lang w:bidi="lt-LT"/>
        </w:rPr>
        <w:t xml:space="preserve">bendrovė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xml:space="preserve"> 100 proc. kontroliuoja savo akcininkę </w:t>
      </w:r>
      <w:r w:rsidR="00530F1D" w:rsidRPr="002F17D0">
        <w:rPr>
          <w:lang w:bidi="lt-LT"/>
        </w:rPr>
        <w:t>„</w:t>
      </w:r>
      <w:r w:rsidRPr="002F17D0">
        <w:rPr>
          <w:lang w:bidi="lt-LT"/>
        </w:rPr>
        <w:t>Inter RAO Capital Group</w:t>
      </w:r>
      <w:r w:rsidR="00530F1D" w:rsidRPr="002F17D0">
        <w:rPr>
          <w:lang w:bidi="lt-LT"/>
        </w:rPr>
        <w:t>“</w:t>
      </w:r>
      <w:r w:rsidRPr="002F17D0">
        <w:rPr>
          <w:lang w:bidi="lt-LT"/>
        </w:rPr>
        <w:t>. Dėl šių priežasčių</w:t>
      </w:r>
      <w:r w:rsidR="00BD7FF9" w:rsidRPr="002F17D0">
        <w:rPr>
          <w:lang w:bidi="lt-LT"/>
        </w:rPr>
        <w:t>, teismo vertinimu,</w:t>
      </w:r>
      <w:r w:rsidRPr="002F17D0">
        <w:rPr>
          <w:lang w:bidi="lt-LT"/>
        </w:rPr>
        <w:t xml:space="preserve"> </w:t>
      </w:r>
      <w:r w:rsidR="00530F1D" w:rsidRPr="002F17D0">
        <w:rPr>
          <w:lang w:bidi="lt-LT"/>
        </w:rPr>
        <w:t>„</w:t>
      </w:r>
      <w:r w:rsidRPr="002F17D0">
        <w:rPr>
          <w:lang w:bidi="lt-LT"/>
        </w:rPr>
        <w:t>Inter RAO Capital Group</w:t>
      </w:r>
      <w:r w:rsidR="00530F1D" w:rsidRPr="002F17D0">
        <w:rPr>
          <w:lang w:bidi="lt-LT"/>
        </w:rPr>
        <w:t>“</w:t>
      </w:r>
      <w:r w:rsidRPr="002F17D0">
        <w:rPr>
          <w:lang w:bidi="lt-LT"/>
        </w:rPr>
        <w:t xml:space="preserve"> turimos akcijos turi būti eliminuotos, skaičiuojant akcininkų turimus akcijų paketus, nes </w:t>
      </w:r>
      <w:r w:rsidR="00530F1D" w:rsidRPr="002F17D0">
        <w:rPr>
          <w:lang w:bidi="lt-LT"/>
        </w:rPr>
        <w:t>„</w:t>
      </w:r>
      <w:r w:rsidRPr="002F17D0">
        <w:rPr>
          <w:lang w:bidi="lt-LT"/>
        </w:rPr>
        <w:t>Inter RAO Capital Group</w:t>
      </w:r>
      <w:r w:rsidR="00530F1D" w:rsidRPr="002F17D0">
        <w:rPr>
          <w:lang w:bidi="lt-LT"/>
        </w:rPr>
        <w:t>“</w:t>
      </w:r>
      <w:r w:rsidRPr="002F17D0">
        <w:rPr>
          <w:lang w:bidi="lt-LT"/>
        </w:rPr>
        <w:t xml:space="preserve"> turimą akcijų paketą kontroliuoja pati </w:t>
      </w:r>
      <w:r w:rsidR="006B05A5" w:rsidRPr="002F17D0">
        <w:rPr>
          <w:lang w:bidi="lt-LT"/>
        </w:rPr>
        <w:t xml:space="preserve">Rusijos bendrovė </w:t>
      </w:r>
      <w:r w:rsidR="00530F1D" w:rsidRPr="002F17D0">
        <w:rPr>
          <w:lang w:bidi="lt-LT"/>
        </w:rPr>
        <w:t>„</w:t>
      </w:r>
      <w:r w:rsidRPr="002F17D0">
        <w:rPr>
          <w:lang w:bidi="lt-LT"/>
        </w:rPr>
        <w:t>I</w:t>
      </w:r>
      <w:r w:rsidR="00530F1D" w:rsidRPr="002F17D0">
        <w:rPr>
          <w:lang w:bidi="lt-LT"/>
        </w:rPr>
        <w:t>nter</w:t>
      </w:r>
      <w:r w:rsidRPr="002F17D0">
        <w:rPr>
          <w:lang w:bidi="lt-LT"/>
        </w:rPr>
        <w:t xml:space="preserve"> RAO UES</w:t>
      </w:r>
      <w:r w:rsidR="00530F1D" w:rsidRPr="002F17D0">
        <w:rPr>
          <w:lang w:bidi="lt-LT"/>
        </w:rPr>
        <w:t>“</w:t>
      </w:r>
      <w:r w:rsidRPr="002F17D0">
        <w:rPr>
          <w:lang w:bidi="lt-LT"/>
        </w:rPr>
        <w:t>, t. y. kontroliuoja pati savo akcijas.</w:t>
      </w:r>
    </w:p>
    <w:p w14:paraId="00F2086F" w14:textId="21740D9A" w:rsidR="00F2165A" w:rsidRPr="002F17D0" w:rsidRDefault="00BD7FF9" w:rsidP="00F2165A">
      <w:pPr>
        <w:numPr>
          <w:ilvl w:val="0"/>
          <w:numId w:val="1"/>
        </w:numPr>
        <w:spacing w:after="120"/>
        <w:jc w:val="both"/>
        <w:rPr>
          <w:lang w:bidi="lt-LT"/>
        </w:rPr>
      </w:pPr>
      <w:r w:rsidRPr="002F17D0">
        <w:rPr>
          <w:lang w:bidi="lt-LT"/>
        </w:rPr>
        <w:t>Teismas nurodė, jog i</w:t>
      </w:r>
      <w:r w:rsidR="00F2165A" w:rsidRPr="002F17D0">
        <w:rPr>
          <w:lang w:bidi="lt-LT"/>
        </w:rPr>
        <w:t>š ieškovės pateikto Juridinių asmenų naudos gavėjų informacinės sistemos (toliau – JANGIS) išrašo matyti, kad 2022 m. liepos 29 d., k</w:t>
      </w:r>
      <w:r w:rsidR="00530F1D" w:rsidRPr="002F17D0">
        <w:rPr>
          <w:lang w:bidi="lt-LT"/>
        </w:rPr>
        <w:t>ai</w:t>
      </w:r>
      <w:r w:rsidR="00F2165A" w:rsidRPr="002F17D0">
        <w:rPr>
          <w:lang w:bidi="lt-LT"/>
        </w:rPr>
        <w:t xml:space="preserve"> buvo patvirtintas ieškovės naudos gavėjų sąrašas VĮ Registrų centre, ieškovės galutiniu naudos gavėju buvo nurodytas AB „I</w:t>
      </w:r>
      <w:r w:rsidR="00530F1D" w:rsidRPr="002F17D0">
        <w:rPr>
          <w:lang w:bidi="lt-LT"/>
        </w:rPr>
        <w:t>nter</w:t>
      </w:r>
      <w:r w:rsidR="00F2165A" w:rsidRPr="002F17D0">
        <w:rPr>
          <w:lang w:bidi="lt-LT"/>
        </w:rPr>
        <w:t xml:space="preserve"> RAO Lietuva“ nemokumo administratoriaus UAB Įmonių bankroto administravimo ir teisinių paslaugų biur</w:t>
      </w:r>
      <w:r w:rsidR="00530F1D" w:rsidRPr="002F17D0">
        <w:rPr>
          <w:lang w:bidi="lt-LT"/>
        </w:rPr>
        <w:t>o</w:t>
      </w:r>
      <w:r w:rsidR="00F2165A" w:rsidRPr="002F17D0">
        <w:rPr>
          <w:lang w:bidi="lt-LT"/>
        </w:rPr>
        <w:t xml:space="preserve"> vadovas ir įgaliotas asmuo A</w:t>
      </w:r>
      <w:r w:rsidR="000475FC">
        <w:rPr>
          <w:lang w:bidi="lt-LT"/>
        </w:rPr>
        <w:t>.</w:t>
      </w:r>
      <w:r w:rsidR="00F2165A" w:rsidRPr="002F17D0">
        <w:rPr>
          <w:lang w:bidi="lt-LT"/>
        </w:rPr>
        <w:t xml:space="preserve"> V. Tačiau ši aplinkybė, kad ieškovės galutiniu naudos gavėju šiuo metu JANGIS išraše yra nurodytas A. V</w:t>
      </w:r>
      <w:r w:rsidR="000475FC">
        <w:rPr>
          <w:lang w:bidi="lt-LT"/>
        </w:rPr>
        <w:t>.</w:t>
      </w:r>
      <w:r w:rsidR="00F2165A" w:rsidRPr="002F17D0">
        <w:rPr>
          <w:lang w:bidi="lt-LT"/>
        </w:rPr>
        <w:t xml:space="preserve">, niekaip nepagrindžia teiginio, jog atsakovė turėjo visas galimybes toliau vykdyti Sutartį. Atsakovė apie Sutarties vykdymo </w:t>
      </w:r>
      <w:r w:rsidR="00F2165A" w:rsidRPr="002F17D0">
        <w:rPr>
          <w:lang w:bidi="lt-LT"/>
        </w:rPr>
        <w:lastRenderedPageBreak/>
        <w:t>sustabdymą ieškovei pranešė dar 2022 m. birželio 28 d., t. y. kiek daugiau nei mėn</w:t>
      </w:r>
      <w:r w:rsidR="00530F1D" w:rsidRPr="002F17D0">
        <w:rPr>
          <w:lang w:bidi="lt-LT"/>
        </w:rPr>
        <w:t>uo</w:t>
      </w:r>
      <w:r w:rsidR="00F2165A" w:rsidRPr="002F17D0">
        <w:rPr>
          <w:lang w:bidi="lt-LT"/>
        </w:rPr>
        <w:t xml:space="preserve"> iki ieškovės naudos gavėjų sąrašo JANGIS patvirtinimo – 2022 m. liepos 29 d. Nėra pagrindo vertinti atsakovės veiksmų pagal vėliau įvykusias aplinkybes. </w:t>
      </w:r>
      <w:r w:rsidRPr="002F17D0">
        <w:rPr>
          <w:lang w:bidi="lt-LT"/>
        </w:rPr>
        <w:t>K</w:t>
      </w:r>
      <w:r w:rsidR="00F2165A" w:rsidRPr="002F17D0">
        <w:rPr>
          <w:lang w:bidi="lt-LT"/>
        </w:rPr>
        <w:t xml:space="preserve">ai žiniasklaidoje buvo pradėta skelbti, kad ieškovės vienintelė akcininkė AB „INTER RAO Lietuva“ yra susijusi su sankcionuotais asmenimis, atsakovė 2022 m. kovo 21 d. raštu kreipėsi į ieškovę su prašymu pateikti įrodymus, kurie galėtų patvirtinti, </w:t>
      </w:r>
      <w:r w:rsidRPr="002F17D0">
        <w:rPr>
          <w:lang w:bidi="lt-LT"/>
        </w:rPr>
        <w:t>jog</w:t>
      </w:r>
      <w:r w:rsidR="00F2165A" w:rsidRPr="002F17D0">
        <w:rPr>
          <w:lang w:bidi="lt-LT"/>
        </w:rPr>
        <w:t xml:space="preserve"> sankcionuoti asmenys nekontroliuoja ieškovės. Taigi jau tada atsakovė informavo ieškovę, kad planuoja laikinai sustabdyti Sutarties, sudarytos su ieškove, ir kitų mokėjimų vykdymą.</w:t>
      </w:r>
    </w:p>
    <w:p w14:paraId="603A3329" w14:textId="03992E92" w:rsidR="00F2165A" w:rsidRPr="002F17D0" w:rsidRDefault="00BD7FF9" w:rsidP="00F2165A">
      <w:pPr>
        <w:numPr>
          <w:ilvl w:val="0"/>
          <w:numId w:val="1"/>
        </w:numPr>
        <w:spacing w:after="120"/>
        <w:jc w:val="both"/>
        <w:rPr>
          <w:lang w:bidi="lt-LT"/>
        </w:rPr>
      </w:pPr>
      <w:r w:rsidRPr="002F17D0">
        <w:rPr>
          <w:lang w:bidi="lt-LT"/>
        </w:rPr>
        <w:t>Teismas p</w:t>
      </w:r>
      <w:r w:rsidR="00F2165A" w:rsidRPr="002F17D0">
        <w:rPr>
          <w:lang w:bidi="lt-LT"/>
        </w:rPr>
        <w:t>ažymėjo, kad nemokumo administratorius tik vykdo jam įstatymo suteiktas nemokumo administratoriaus funkcijas. Teismas sutiko su atsakovės pozicija, kad tai atliekama iš esmės kreditorių interesais ir prižiūrint teismui. Tačiau nemokumo administratorius neturi savarankiškų naudos gavimo, turtinių, valdymo ar kontrolės interesų bendrovėje. Tuo tarpu naudos gavėjai, kaip jie apibrėžiami įstatymuose</w:t>
      </w:r>
      <w:r w:rsidRPr="002F17D0">
        <w:rPr>
          <w:lang w:bidi="lt-LT"/>
        </w:rPr>
        <w:t>,</w:t>
      </w:r>
      <w:r w:rsidR="00F2165A" w:rsidRPr="002F17D0">
        <w:rPr>
          <w:lang w:bidi="lt-LT"/>
        </w:rPr>
        <w:t xml:space="preserve"> yra savarankišką naudos interesą turintys asmenys – tiesioginiai ar netiesioginiai įmonės savininkai (dalininkai).</w:t>
      </w:r>
    </w:p>
    <w:p w14:paraId="33C98583" w14:textId="556E3897" w:rsidR="00F2165A" w:rsidRPr="002F17D0" w:rsidRDefault="000260FA" w:rsidP="00F2165A">
      <w:pPr>
        <w:numPr>
          <w:ilvl w:val="0"/>
          <w:numId w:val="1"/>
        </w:numPr>
        <w:spacing w:after="120"/>
        <w:jc w:val="both"/>
        <w:rPr>
          <w:lang w:bidi="lt-LT"/>
        </w:rPr>
      </w:pPr>
      <w:r w:rsidRPr="002F17D0">
        <w:rPr>
          <w:lang w:bidi="lt-LT"/>
        </w:rPr>
        <w:t>Teismas atkreipė dėmesį į tai, jog i</w:t>
      </w:r>
      <w:r w:rsidR="00F2165A" w:rsidRPr="002F17D0">
        <w:rPr>
          <w:lang w:bidi="lt-LT"/>
        </w:rPr>
        <w:t>eškovė savo prašymo dėl papildomų įrodymų pri</w:t>
      </w:r>
      <w:r w:rsidR="00530F1D" w:rsidRPr="002F17D0">
        <w:rPr>
          <w:lang w:bidi="lt-LT"/>
        </w:rPr>
        <w:t>dėj</w:t>
      </w:r>
      <w:r w:rsidR="00F2165A" w:rsidRPr="002F17D0">
        <w:rPr>
          <w:lang w:bidi="lt-LT"/>
        </w:rPr>
        <w:t>imo 12</w:t>
      </w:r>
      <w:r w:rsidR="007C7F17" w:rsidRPr="002F17D0">
        <w:rPr>
          <w:lang w:bidi="lt-LT"/>
        </w:rPr>
        <w:t> </w:t>
      </w:r>
      <w:r w:rsidR="00F2165A" w:rsidRPr="002F17D0">
        <w:rPr>
          <w:lang w:bidi="lt-LT"/>
        </w:rPr>
        <w:t xml:space="preserve">pastraipoje nurodė, kad „Inter RAO Capital Group“ yra 100 proc. valdoma </w:t>
      </w:r>
      <w:r w:rsidR="006B05A5" w:rsidRPr="002F17D0">
        <w:rPr>
          <w:lang w:bidi="lt-LT"/>
        </w:rPr>
        <w:t xml:space="preserve">Rusijos bendrovės </w:t>
      </w:r>
      <w:r w:rsidR="00530F1D" w:rsidRPr="002F17D0">
        <w:rPr>
          <w:lang w:bidi="lt-LT"/>
        </w:rPr>
        <w:t>„</w:t>
      </w:r>
      <w:r w:rsidR="00F2165A" w:rsidRPr="002F17D0">
        <w:rPr>
          <w:lang w:bidi="lt-LT"/>
        </w:rPr>
        <w:t>I</w:t>
      </w:r>
      <w:r w:rsidR="00530F1D" w:rsidRPr="002F17D0">
        <w:rPr>
          <w:lang w:bidi="lt-LT"/>
        </w:rPr>
        <w:t>nter</w:t>
      </w:r>
      <w:r w:rsidR="00F2165A" w:rsidRPr="002F17D0">
        <w:rPr>
          <w:lang w:bidi="lt-LT"/>
        </w:rPr>
        <w:t xml:space="preserve"> RAO UES</w:t>
      </w:r>
      <w:r w:rsidR="00530F1D" w:rsidRPr="002F17D0">
        <w:rPr>
          <w:lang w:bidi="lt-LT"/>
        </w:rPr>
        <w:t>“</w:t>
      </w:r>
      <w:r w:rsidR="00F2165A" w:rsidRPr="002F17D0">
        <w:rPr>
          <w:lang w:bidi="lt-LT"/>
        </w:rPr>
        <w:t xml:space="preserve"> </w:t>
      </w:r>
      <w:r w:rsidR="00530F1D" w:rsidRPr="002F17D0">
        <w:rPr>
          <w:lang w:bidi="lt-LT"/>
        </w:rPr>
        <w:t>ir</w:t>
      </w:r>
      <w:r w:rsidR="00F2165A" w:rsidRPr="002F17D0">
        <w:rPr>
          <w:lang w:bidi="lt-LT"/>
        </w:rPr>
        <w:t xml:space="preserve"> kad pati </w:t>
      </w:r>
      <w:r w:rsidR="006B05A5" w:rsidRPr="002F17D0">
        <w:rPr>
          <w:lang w:bidi="lt-LT"/>
        </w:rPr>
        <w:t xml:space="preserve">Rusijos bendrovė </w:t>
      </w:r>
      <w:r w:rsidR="00530F1D" w:rsidRPr="002F17D0">
        <w:rPr>
          <w:lang w:bidi="lt-LT"/>
        </w:rPr>
        <w:t>„</w:t>
      </w:r>
      <w:r w:rsidR="00F2165A" w:rsidRPr="002F17D0">
        <w:rPr>
          <w:lang w:bidi="lt-LT"/>
        </w:rPr>
        <w:t>I</w:t>
      </w:r>
      <w:r w:rsidR="00530F1D" w:rsidRPr="002F17D0">
        <w:rPr>
          <w:lang w:bidi="lt-LT"/>
        </w:rPr>
        <w:t>nter</w:t>
      </w:r>
      <w:r w:rsidR="00F2165A" w:rsidRPr="002F17D0">
        <w:rPr>
          <w:lang w:bidi="lt-LT"/>
        </w:rPr>
        <w:t xml:space="preserve"> RAO UES</w:t>
      </w:r>
      <w:r w:rsidR="00530F1D" w:rsidRPr="002F17D0">
        <w:rPr>
          <w:lang w:bidi="lt-LT"/>
        </w:rPr>
        <w:t>“</w:t>
      </w:r>
      <w:r w:rsidR="00F2165A" w:rsidRPr="002F17D0">
        <w:rPr>
          <w:lang w:bidi="lt-LT"/>
        </w:rPr>
        <w:t xml:space="preserve"> nuo 2014 metų yra laikoma bendrove, kurios mažumos akcijas valdo Rusijos valstybiniai subjektai. </w:t>
      </w:r>
      <w:r w:rsidR="000149F8" w:rsidRPr="002F17D0">
        <w:rPr>
          <w:lang w:bidi="lt-LT"/>
        </w:rPr>
        <w:t>Teismo vertinimu, v</w:t>
      </w:r>
      <w:r w:rsidR="00F2165A" w:rsidRPr="002F17D0">
        <w:rPr>
          <w:lang w:bidi="lt-LT"/>
        </w:rPr>
        <w:t xml:space="preserve">ien ši aplinkybė, kad </w:t>
      </w:r>
      <w:r w:rsidR="006B05A5" w:rsidRPr="002F17D0">
        <w:rPr>
          <w:lang w:bidi="lt-LT"/>
        </w:rPr>
        <w:t xml:space="preserve">Rusijos bendrovės </w:t>
      </w:r>
      <w:r w:rsidR="007C7F17" w:rsidRPr="002F17D0">
        <w:rPr>
          <w:lang w:bidi="lt-LT"/>
        </w:rPr>
        <w:t>„</w:t>
      </w:r>
      <w:r w:rsidR="00F2165A" w:rsidRPr="002F17D0">
        <w:rPr>
          <w:lang w:bidi="lt-LT"/>
        </w:rPr>
        <w:t>I</w:t>
      </w:r>
      <w:r w:rsidR="007C7F17" w:rsidRPr="002F17D0">
        <w:rPr>
          <w:lang w:bidi="lt-LT"/>
        </w:rPr>
        <w:t>nter</w:t>
      </w:r>
      <w:r w:rsidR="00F2165A" w:rsidRPr="002F17D0">
        <w:rPr>
          <w:lang w:bidi="lt-LT"/>
        </w:rPr>
        <w:t xml:space="preserve"> RAO UES</w:t>
      </w:r>
      <w:r w:rsidR="007C7F17" w:rsidRPr="002F17D0">
        <w:rPr>
          <w:lang w:bidi="lt-LT"/>
        </w:rPr>
        <w:t>“</w:t>
      </w:r>
      <w:r w:rsidR="00F2165A" w:rsidRPr="002F17D0">
        <w:rPr>
          <w:lang w:bidi="lt-LT"/>
        </w:rPr>
        <w:t xml:space="preserve"> mažumos akcijas valdo Rusijos valstybiniai subjektai, nesudaro pagrindo manyti, jog Rusijos valstybiniai subjektai apskritai negali būti laikomi valdančiais ar kontroliuojančiais </w:t>
      </w:r>
      <w:r w:rsidR="006B05A5" w:rsidRPr="002F17D0">
        <w:rPr>
          <w:lang w:bidi="lt-LT"/>
        </w:rPr>
        <w:t xml:space="preserve">Rusijos bendrovę </w:t>
      </w:r>
      <w:r w:rsidR="007C7F17" w:rsidRPr="002F17D0">
        <w:rPr>
          <w:lang w:bidi="lt-LT"/>
        </w:rPr>
        <w:t>„</w:t>
      </w:r>
      <w:r w:rsidR="00F2165A" w:rsidRPr="002F17D0">
        <w:rPr>
          <w:lang w:bidi="lt-LT"/>
        </w:rPr>
        <w:t>I</w:t>
      </w:r>
      <w:r w:rsidR="007C7F17" w:rsidRPr="002F17D0">
        <w:rPr>
          <w:lang w:bidi="lt-LT"/>
        </w:rPr>
        <w:t>nter</w:t>
      </w:r>
      <w:r w:rsidR="00F2165A" w:rsidRPr="002F17D0">
        <w:rPr>
          <w:lang w:bidi="lt-LT"/>
        </w:rPr>
        <w:t xml:space="preserve"> RAO UES</w:t>
      </w:r>
      <w:r w:rsidR="007C7F17" w:rsidRPr="002F17D0">
        <w:rPr>
          <w:lang w:bidi="lt-LT"/>
        </w:rPr>
        <w:t>“</w:t>
      </w:r>
      <w:r w:rsidR="00F2165A" w:rsidRPr="002F17D0">
        <w:rPr>
          <w:lang w:bidi="lt-LT"/>
        </w:rPr>
        <w:t xml:space="preserve">. </w:t>
      </w:r>
      <w:r w:rsidR="000149F8" w:rsidRPr="002F17D0">
        <w:rPr>
          <w:lang w:bidi="lt-LT"/>
        </w:rPr>
        <w:t>Teismas pažymėjo, jog i</w:t>
      </w:r>
      <w:r w:rsidR="00F2165A" w:rsidRPr="002F17D0">
        <w:rPr>
          <w:lang w:bidi="lt-LT"/>
        </w:rPr>
        <w:t xml:space="preserve">š </w:t>
      </w:r>
      <w:r w:rsidR="006B05A5" w:rsidRPr="002F17D0">
        <w:rPr>
          <w:lang w:bidi="lt-LT"/>
        </w:rPr>
        <w:t>„</w:t>
      </w:r>
      <w:r w:rsidR="00F2165A" w:rsidRPr="002F17D0">
        <w:rPr>
          <w:lang w:bidi="lt-LT"/>
        </w:rPr>
        <w:t>Dow Jones</w:t>
      </w:r>
      <w:r w:rsidR="006B05A5" w:rsidRPr="002F17D0">
        <w:rPr>
          <w:lang w:bidi="lt-LT"/>
        </w:rPr>
        <w:t>“</w:t>
      </w:r>
      <w:r w:rsidR="00F2165A" w:rsidRPr="002F17D0">
        <w:rPr>
          <w:lang w:bidi="lt-LT"/>
        </w:rPr>
        <w:t xml:space="preserve"> duomenų bazės originalaus išrašo matyti, kad iki 2014 m. buvo nežinoma ne akcininkų mažuma, bet visiškai priešingai – dauguma (ang</w:t>
      </w:r>
      <w:r w:rsidR="007C7F17" w:rsidRPr="002F17D0">
        <w:rPr>
          <w:lang w:bidi="lt-LT"/>
        </w:rPr>
        <w:t>l</w:t>
      </w:r>
      <w:r w:rsidR="00F2165A" w:rsidRPr="002F17D0">
        <w:rPr>
          <w:lang w:bidi="lt-LT"/>
        </w:rPr>
        <w:t>.</w:t>
      </w:r>
      <w:r w:rsidR="006B05A5" w:rsidRPr="002F17D0">
        <w:rPr>
          <w:lang w:bidi="lt-LT"/>
        </w:rPr>
        <w:t> </w:t>
      </w:r>
      <w:r w:rsidR="00F2165A" w:rsidRPr="002F17D0">
        <w:rPr>
          <w:i/>
          <w:iCs/>
          <w:lang w:bidi="lt-LT"/>
        </w:rPr>
        <w:t>majority</w:t>
      </w:r>
      <w:r w:rsidR="00F2165A" w:rsidRPr="002F17D0">
        <w:rPr>
          <w:lang w:bidi="lt-LT"/>
        </w:rPr>
        <w:t>).</w:t>
      </w:r>
    </w:p>
    <w:p w14:paraId="5973618B" w14:textId="1CF17152" w:rsidR="00B34D2D" w:rsidRPr="002F17D0" w:rsidRDefault="000149F8" w:rsidP="00B34D2D">
      <w:pPr>
        <w:numPr>
          <w:ilvl w:val="0"/>
          <w:numId w:val="1"/>
        </w:numPr>
        <w:spacing w:after="120"/>
        <w:jc w:val="both"/>
        <w:rPr>
          <w:lang w:bidi="lt-LT"/>
        </w:rPr>
      </w:pPr>
      <w:r w:rsidRPr="002F17D0">
        <w:rPr>
          <w:lang w:bidi="lt-LT"/>
        </w:rPr>
        <w:t xml:space="preserve">Pažymėjęs, kad </w:t>
      </w:r>
      <w:r w:rsidR="00F2165A" w:rsidRPr="002F17D0">
        <w:rPr>
          <w:lang w:bidi="lt-LT"/>
        </w:rPr>
        <w:t>Sutartis tarp ieškovės ir atsakovės buvo sudaryta iki sankcijų taikymo pradžios ir sankcijų pritaikymo (paaiškėjimo apie taikymą) metu galiojo</w:t>
      </w:r>
      <w:r w:rsidRPr="002F17D0">
        <w:rPr>
          <w:lang w:bidi="lt-LT"/>
        </w:rPr>
        <w:t>, teismas konstatavo, jog,</w:t>
      </w:r>
      <w:r w:rsidR="00F2165A" w:rsidRPr="002F17D0">
        <w:rPr>
          <w:lang w:bidi="lt-LT"/>
        </w:rPr>
        <w:t xml:space="preserve"> atsižvelgiant į </w:t>
      </w:r>
      <w:r w:rsidRPr="002F17D0">
        <w:rPr>
          <w:lang w:bidi="lt-LT"/>
        </w:rPr>
        <w:t xml:space="preserve">Tarptautinių sankcijų įstatymo </w:t>
      </w:r>
      <w:r w:rsidRPr="002F17D0">
        <w:rPr>
          <w:szCs w:val="24"/>
        </w:rPr>
        <w:t xml:space="preserve">7 straipsnio 3 dalyje įtvirtintą </w:t>
      </w:r>
      <w:r w:rsidR="00F2165A" w:rsidRPr="002F17D0">
        <w:rPr>
          <w:lang w:bidi="lt-LT"/>
        </w:rPr>
        <w:t xml:space="preserve">teisinį reguliavimą, atsakovė privalėjo sustabdyti Sutarties ir prievolių vykdymą arba ją nutraukti. Priešingu atveju tolesni Sutarties vykdymo veiksmai būtų </w:t>
      </w:r>
      <w:r w:rsidR="007C7F17" w:rsidRPr="002F17D0">
        <w:rPr>
          <w:lang w:bidi="lt-LT"/>
        </w:rPr>
        <w:t xml:space="preserve">buvę </w:t>
      </w:r>
      <w:r w:rsidR="00F2165A" w:rsidRPr="002F17D0">
        <w:rPr>
          <w:lang w:bidi="lt-LT"/>
        </w:rPr>
        <w:t xml:space="preserve">niekiniai dėl prieštaravimo imperatyvioms įstatymo normoms, o atsakovei galėjo grėsti baudžiamoji atsakomybė. </w:t>
      </w:r>
      <w:r w:rsidRPr="002F17D0">
        <w:rPr>
          <w:lang w:bidi="lt-LT"/>
        </w:rPr>
        <w:t>A</w:t>
      </w:r>
      <w:r w:rsidR="00F2165A" w:rsidRPr="002F17D0">
        <w:rPr>
          <w:lang w:bidi="lt-LT"/>
        </w:rPr>
        <w:t>tkreip</w:t>
      </w:r>
      <w:r w:rsidRPr="002F17D0">
        <w:rPr>
          <w:lang w:bidi="lt-LT"/>
        </w:rPr>
        <w:t>ęs</w:t>
      </w:r>
      <w:r w:rsidR="00F2165A" w:rsidRPr="002F17D0">
        <w:rPr>
          <w:lang w:bidi="lt-LT"/>
        </w:rPr>
        <w:t xml:space="preserve"> dėmesį</w:t>
      </w:r>
      <w:r w:rsidRPr="002F17D0">
        <w:rPr>
          <w:lang w:bidi="lt-LT"/>
        </w:rPr>
        <w:t xml:space="preserve"> į tai</w:t>
      </w:r>
      <w:r w:rsidR="00F2165A" w:rsidRPr="002F17D0">
        <w:rPr>
          <w:lang w:bidi="lt-LT"/>
        </w:rPr>
        <w:t xml:space="preserve">, kad atsakovė pasiūlė </w:t>
      </w:r>
      <w:r w:rsidR="00DC1DAD" w:rsidRPr="002F17D0">
        <w:rPr>
          <w:lang w:bidi="lt-LT"/>
        </w:rPr>
        <w:t xml:space="preserve">ieškovei </w:t>
      </w:r>
      <w:r w:rsidR="00F2165A" w:rsidRPr="002F17D0">
        <w:rPr>
          <w:lang w:bidi="lt-LT"/>
        </w:rPr>
        <w:t xml:space="preserve">susitarti dėl Sutarties nutraukimo, </w:t>
      </w:r>
      <w:r w:rsidRPr="002F17D0">
        <w:rPr>
          <w:lang w:bidi="lt-LT"/>
        </w:rPr>
        <w:t>tačiau i</w:t>
      </w:r>
      <w:r w:rsidR="00F2165A" w:rsidRPr="002F17D0">
        <w:rPr>
          <w:lang w:bidi="lt-LT"/>
        </w:rPr>
        <w:t>eškovė jokios pozicijos dėl pasiūlymo nepareiškė</w:t>
      </w:r>
      <w:r w:rsidRPr="002F17D0">
        <w:rPr>
          <w:lang w:bidi="lt-LT"/>
        </w:rPr>
        <w:t>,</w:t>
      </w:r>
      <w:r w:rsidR="00F2165A" w:rsidRPr="002F17D0">
        <w:rPr>
          <w:lang w:bidi="lt-LT"/>
        </w:rPr>
        <w:t xml:space="preserve"> </w:t>
      </w:r>
      <w:r w:rsidRPr="002F17D0">
        <w:rPr>
          <w:lang w:bidi="lt-LT"/>
        </w:rPr>
        <w:t xml:space="preserve">teismas </w:t>
      </w:r>
      <w:r w:rsidR="00B34D2D" w:rsidRPr="002F17D0">
        <w:rPr>
          <w:lang w:bidi="lt-LT"/>
        </w:rPr>
        <w:t xml:space="preserve">padarė išvadą, jog </w:t>
      </w:r>
      <w:r w:rsidR="00F2165A" w:rsidRPr="002F17D0">
        <w:rPr>
          <w:lang w:bidi="lt-LT"/>
        </w:rPr>
        <w:t xml:space="preserve">atsakovė pagrįstai pranešė ieškovei apie Sutarties sustabdymą. </w:t>
      </w:r>
    </w:p>
    <w:p w14:paraId="3EFCB399" w14:textId="471AF82B" w:rsidR="004725F3" w:rsidRPr="002F17D0" w:rsidRDefault="00B34D2D" w:rsidP="004725F3">
      <w:pPr>
        <w:numPr>
          <w:ilvl w:val="0"/>
          <w:numId w:val="1"/>
        </w:numPr>
        <w:spacing w:after="120"/>
        <w:jc w:val="both"/>
        <w:rPr>
          <w:lang w:bidi="lt-LT"/>
        </w:rPr>
      </w:pPr>
      <w:r w:rsidRPr="002F17D0">
        <w:rPr>
          <w:lang w:bidi="lt-LT"/>
        </w:rPr>
        <w:t xml:space="preserve">Teismas nusprendė, kad atsakovė </w:t>
      </w:r>
      <w:r w:rsidRPr="002F17D0">
        <w:rPr>
          <w:szCs w:val="24"/>
          <w:lang w:bidi="lt-LT"/>
        </w:rPr>
        <w:t>neturi pareigos mokėti ieškovei baudos už Sutarties nutraukimą, nes atsakovė Sutarties nenutraukė, Sutarties vykdymo sustabdymas, kurį privalėjo atlikti atsakovė, yra teisėtas veiksmas, tarptautinių sankcijų įgyvendinimas negali lemti atsakovės sutartinės atsakomybės, be to</w:t>
      </w:r>
      <w:r w:rsidR="007C7F17" w:rsidRPr="002F17D0">
        <w:rPr>
          <w:szCs w:val="24"/>
          <w:lang w:bidi="lt-LT"/>
        </w:rPr>
        <w:t>,</w:t>
      </w:r>
      <w:r w:rsidRPr="002F17D0">
        <w:rPr>
          <w:szCs w:val="24"/>
          <w:lang w:bidi="lt-LT"/>
        </w:rPr>
        <w:t xml:space="preserve"> ieškovė </w:t>
      </w:r>
      <w:r w:rsidRPr="002F17D0">
        <w:rPr>
          <w:szCs w:val="24"/>
        </w:rPr>
        <w:t>jokių nuostolių byloje neįrodinėja, todėl netesybų ir nuostolių santykio proporcingumas byloje nėra įrodytas.</w:t>
      </w:r>
    </w:p>
    <w:p w14:paraId="4C48ABA5" w14:textId="0092EDE5" w:rsidR="009B1FFD" w:rsidRPr="002F17D0" w:rsidRDefault="00F2165A" w:rsidP="004725F3">
      <w:pPr>
        <w:numPr>
          <w:ilvl w:val="0"/>
          <w:numId w:val="1"/>
        </w:numPr>
        <w:spacing w:after="120"/>
        <w:jc w:val="both"/>
        <w:rPr>
          <w:lang w:bidi="lt-LT"/>
        </w:rPr>
      </w:pPr>
      <w:r w:rsidRPr="002F17D0">
        <w:rPr>
          <w:lang w:bidi="lt-LT"/>
        </w:rPr>
        <w:t>Pasisakydamas dėl atsakovės pareigos atsiskaityti su ieškove</w:t>
      </w:r>
      <w:r w:rsidR="00B1653C" w:rsidRPr="002F17D0">
        <w:rPr>
          <w:lang w:bidi="lt-LT"/>
        </w:rPr>
        <w:t xml:space="preserve"> pagal pateiktas sąskaitas</w:t>
      </w:r>
      <w:r w:rsidRPr="002F17D0">
        <w:rPr>
          <w:lang w:bidi="lt-LT"/>
        </w:rPr>
        <w:t xml:space="preserve">, teismas </w:t>
      </w:r>
      <w:r w:rsidR="00B1653C" w:rsidRPr="002F17D0">
        <w:rPr>
          <w:lang w:bidi="lt-LT"/>
        </w:rPr>
        <w:t>pažymėjo</w:t>
      </w:r>
      <w:r w:rsidRPr="002F17D0">
        <w:rPr>
          <w:lang w:bidi="lt-LT"/>
        </w:rPr>
        <w:t>, kad ieškovė</w:t>
      </w:r>
      <w:r w:rsidR="00B1653C" w:rsidRPr="002F17D0">
        <w:rPr>
          <w:lang w:bidi="lt-LT"/>
        </w:rPr>
        <w:t xml:space="preserve"> teigia, jog</w:t>
      </w:r>
      <w:r w:rsidRPr="002F17D0">
        <w:rPr>
          <w:lang w:bidi="lt-LT"/>
        </w:rPr>
        <w:t xml:space="preserve"> atsakovė privalėjo sumokėti pagal pateiktas sąskaitas, nes Sprendimo Nr. 2014/145/BUSP 2 straipsnio 6 dalies b punktas tiesiogiai leidžia tai daryti. Teismas </w:t>
      </w:r>
      <w:r w:rsidR="009B1FFD" w:rsidRPr="002F17D0">
        <w:rPr>
          <w:lang w:bidi="lt-LT"/>
        </w:rPr>
        <w:t>nurodė</w:t>
      </w:r>
      <w:r w:rsidRPr="002F17D0">
        <w:rPr>
          <w:lang w:bidi="lt-LT"/>
        </w:rPr>
        <w:t xml:space="preserve">, kad </w:t>
      </w:r>
      <w:r w:rsidR="009B1FFD" w:rsidRPr="002F17D0">
        <w:rPr>
          <w:szCs w:val="24"/>
        </w:rPr>
        <w:t>atsiskaitymai su ieškove pagal Sprendimo Nr. 2014/145/BUSP 2 straipsnio 6 dalies b punktą galimi tik už elektros energiją, nupirktą ir parduotą iki sankcijų ieškovei įsigaliojimo. Sutarties vykdym</w:t>
      </w:r>
      <w:r w:rsidR="006B05A5" w:rsidRPr="002F17D0">
        <w:rPr>
          <w:szCs w:val="24"/>
        </w:rPr>
        <w:t>as</w:t>
      </w:r>
      <w:r w:rsidR="009B1FFD" w:rsidRPr="002F17D0">
        <w:rPr>
          <w:szCs w:val="24"/>
        </w:rPr>
        <w:t xml:space="preserve"> </w:t>
      </w:r>
      <w:r w:rsidR="006B05A5" w:rsidRPr="002F17D0">
        <w:rPr>
          <w:szCs w:val="24"/>
        </w:rPr>
        <w:t xml:space="preserve">buvo </w:t>
      </w:r>
      <w:r w:rsidR="009B1FFD" w:rsidRPr="002F17D0">
        <w:rPr>
          <w:szCs w:val="24"/>
        </w:rPr>
        <w:t>sustabdy</w:t>
      </w:r>
      <w:r w:rsidR="006B05A5" w:rsidRPr="002F17D0">
        <w:rPr>
          <w:szCs w:val="24"/>
        </w:rPr>
        <w:t>t</w:t>
      </w:r>
      <w:r w:rsidR="009B1FFD" w:rsidRPr="002F17D0">
        <w:rPr>
          <w:szCs w:val="24"/>
        </w:rPr>
        <w:t>as įsigaliojus sankcijoms, t. y. nuo 2022 m. vasario mėn.</w:t>
      </w:r>
      <w:r w:rsidR="004725F3" w:rsidRPr="002F17D0">
        <w:rPr>
          <w:szCs w:val="24"/>
        </w:rPr>
        <w:t>,</w:t>
      </w:r>
      <w:r w:rsidR="009B1FFD" w:rsidRPr="002F17D0">
        <w:rPr>
          <w:szCs w:val="24"/>
        </w:rPr>
        <w:t xml:space="preserve"> </w:t>
      </w:r>
      <w:r w:rsidR="004725F3" w:rsidRPr="002F17D0">
        <w:rPr>
          <w:szCs w:val="24"/>
        </w:rPr>
        <w:t xml:space="preserve">nepriklausomai nuo vėlesnių FNTT priimtų įsakymų, informacijos paskelbimo ar atsakovės raštų dėl Sutarties vykdymo sustabdymo. </w:t>
      </w:r>
      <w:r w:rsidR="009B1FFD" w:rsidRPr="002F17D0">
        <w:rPr>
          <w:szCs w:val="24"/>
        </w:rPr>
        <w:t>I</w:t>
      </w:r>
      <w:r w:rsidRPr="002F17D0">
        <w:rPr>
          <w:lang w:bidi="lt-LT"/>
        </w:rPr>
        <w:t xml:space="preserve">eškovės akcentuojama išimtis yra aktuali tik lėšų, kurias mokėti pareiga atsirado iki asmens įrašymo į sankcijų sąrašą, mokėjimui. Ši išimtis nereglamentuoja kitų prievolių vykdymo ekonominių išteklių. Tarp šalių nėra ginčo, kad atsakovė yra atsiskaičiusi su ieškove pagal sąskaitas, išrašytas iki 2022 m. vasario 25 d. (datos, kai į </w:t>
      </w:r>
      <w:r w:rsidRPr="002F17D0">
        <w:rPr>
          <w:lang w:bidi="lt-LT"/>
        </w:rPr>
        <w:lastRenderedPageBreak/>
        <w:t>Sprendimo Nr. 2014/145/BUSP priedą buvo įtrauktas Rusijos Federacijos prezidentas V</w:t>
      </w:r>
      <w:r w:rsidR="007C7F17" w:rsidRPr="002F17D0">
        <w:rPr>
          <w:lang w:bidi="lt-LT"/>
        </w:rPr>
        <w:t>. </w:t>
      </w:r>
      <w:r w:rsidRPr="002F17D0">
        <w:rPr>
          <w:lang w:bidi="lt-LT"/>
        </w:rPr>
        <w:t xml:space="preserve">Putinas). </w:t>
      </w:r>
      <w:bookmarkStart w:id="19" w:name="_Hlk168994413"/>
      <w:r w:rsidR="00494529" w:rsidRPr="002F17D0">
        <w:rPr>
          <w:szCs w:val="24"/>
          <w:lang w:bidi="lt-LT"/>
        </w:rPr>
        <w:t xml:space="preserve">Atsakovė </w:t>
      </w:r>
      <w:r w:rsidR="00494529" w:rsidRPr="002F17D0">
        <w:rPr>
          <w:szCs w:val="24"/>
        </w:rPr>
        <w:t>yra teisėtai sustabdžiusi Sutarties vykdymą, todėl ieškovė neturi teisės reikalauti prievolių pagal teisėtai sustabdytą Sutartį vykdymo.</w:t>
      </w:r>
      <w:bookmarkEnd w:id="19"/>
      <w:r w:rsidR="00494529" w:rsidRPr="002F17D0">
        <w:rPr>
          <w:lang w:bidi="lt-LT"/>
        </w:rPr>
        <w:t xml:space="preserve"> Ieškovės atžvilgiu yra įgyvendinamos tarptautinės sankcijos dėl ieškovės ryšių su Rusijos Federacijos prezidentu</w:t>
      </w:r>
      <w:r w:rsidR="00494529" w:rsidRPr="002F17D0">
        <w:rPr>
          <w:szCs w:val="24"/>
        </w:rPr>
        <w:t xml:space="preserve"> V</w:t>
      </w:r>
      <w:r w:rsidR="007C7F17" w:rsidRPr="002F17D0">
        <w:rPr>
          <w:szCs w:val="24"/>
        </w:rPr>
        <w:t>. </w:t>
      </w:r>
      <w:r w:rsidR="00494529" w:rsidRPr="002F17D0">
        <w:rPr>
          <w:szCs w:val="24"/>
        </w:rPr>
        <w:t>Putinu</w:t>
      </w:r>
      <w:r w:rsidR="00AC1EE8" w:rsidRPr="002F17D0">
        <w:rPr>
          <w:lang w:bidi="lt-LT"/>
        </w:rPr>
        <w:t>, todėl</w:t>
      </w:r>
      <w:r w:rsidR="00494529" w:rsidRPr="002F17D0">
        <w:rPr>
          <w:lang w:bidi="lt-LT"/>
        </w:rPr>
        <w:t xml:space="preserve"> atsakovė negali vykdyti jokių prievolių ieškovei.</w:t>
      </w:r>
      <w:r w:rsidR="00AC1EE8" w:rsidRPr="002F17D0">
        <w:rPr>
          <w:lang w:bidi="lt-LT"/>
        </w:rPr>
        <w:t xml:space="preserve"> </w:t>
      </w:r>
      <w:r w:rsidR="00AC1EE8" w:rsidRPr="002F17D0">
        <w:rPr>
          <w:szCs w:val="24"/>
        </w:rPr>
        <w:t xml:space="preserve">Visos byloje ieškovės pateiktos PVM sąskaitos faktūros, pagal kurias </w:t>
      </w:r>
      <w:r w:rsidR="006B05A5" w:rsidRPr="002F17D0">
        <w:rPr>
          <w:szCs w:val="24"/>
        </w:rPr>
        <w:t xml:space="preserve">ieškovė reikalauja priteisti </w:t>
      </w:r>
      <w:r w:rsidR="00AC1EE8" w:rsidRPr="002F17D0">
        <w:rPr>
          <w:szCs w:val="24"/>
        </w:rPr>
        <w:t>skol</w:t>
      </w:r>
      <w:r w:rsidR="006B05A5" w:rsidRPr="002F17D0">
        <w:rPr>
          <w:szCs w:val="24"/>
        </w:rPr>
        <w:t>ą</w:t>
      </w:r>
      <w:r w:rsidR="00AC1EE8" w:rsidRPr="002F17D0">
        <w:rPr>
          <w:szCs w:val="24"/>
        </w:rPr>
        <w:t>, yra išrašytos po tarptautinių sankcijų taikymo Rusijos Federacijos prezidentui V</w:t>
      </w:r>
      <w:r w:rsidR="007C7F17" w:rsidRPr="002F17D0">
        <w:rPr>
          <w:szCs w:val="24"/>
        </w:rPr>
        <w:t>.</w:t>
      </w:r>
      <w:r w:rsidR="00AC1EE8" w:rsidRPr="002F17D0">
        <w:rPr>
          <w:szCs w:val="24"/>
        </w:rPr>
        <w:t xml:space="preserve"> Putinui pradžios. Pagal Sprendimą Nr. 2014/145/BUSP (papildytą Tarybos 2022 m. vasario 25 d. sprendimu Nr.</w:t>
      </w:r>
      <w:r w:rsidR="007C7F17" w:rsidRPr="002F17D0">
        <w:rPr>
          <w:szCs w:val="24"/>
        </w:rPr>
        <w:t> </w:t>
      </w:r>
      <w:r w:rsidR="00AC1EE8" w:rsidRPr="002F17D0">
        <w:rPr>
          <w:szCs w:val="24"/>
        </w:rPr>
        <w:t>2022/331/BUSP)</w:t>
      </w:r>
      <w:r w:rsidR="007C7F17" w:rsidRPr="002F17D0">
        <w:rPr>
          <w:szCs w:val="24"/>
        </w:rPr>
        <w:t>,</w:t>
      </w:r>
      <w:r w:rsidR="00AC1EE8" w:rsidRPr="002F17D0">
        <w:rPr>
          <w:szCs w:val="24"/>
        </w:rPr>
        <w:t xml:space="preserve"> tarptautinės sankcijos Rusijos Federacijos prezidentui V</w:t>
      </w:r>
      <w:r w:rsidR="007C7F17" w:rsidRPr="002F17D0">
        <w:rPr>
          <w:szCs w:val="24"/>
        </w:rPr>
        <w:t>.</w:t>
      </w:r>
      <w:r w:rsidR="00AC1EE8" w:rsidRPr="002F17D0">
        <w:rPr>
          <w:szCs w:val="24"/>
        </w:rPr>
        <w:t xml:space="preserve"> Putinui taikomos nuo 2022 m. vasario 25. Ieškovės į bylą pateiktos PVM sąskaitos faktūros yra išrašytos nuo 2022</w:t>
      </w:r>
      <w:r w:rsidR="007C7F17" w:rsidRPr="002F17D0">
        <w:rPr>
          <w:szCs w:val="24"/>
        </w:rPr>
        <w:t> </w:t>
      </w:r>
      <w:r w:rsidR="00AC1EE8" w:rsidRPr="002F17D0">
        <w:rPr>
          <w:szCs w:val="24"/>
        </w:rPr>
        <w:t>m. vasario 28 d. iki 2022 m. birželio 30 d.</w:t>
      </w:r>
      <w:r w:rsidR="00045798" w:rsidRPr="002F17D0">
        <w:rPr>
          <w:szCs w:val="24"/>
        </w:rPr>
        <w:t>,</w:t>
      </w:r>
      <w:r w:rsidR="00AC1EE8" w:rsidRPr="002F17D0">
        <w:rPr>
          <w:szCs w:val="24"/>
        </w:rPr>
        <w:t xml:space="preserve"> </w:t>
      </w:r>
      <w:r w:rsidR="00045798" w:rsidRPr="002F17D0">
        <w:rPr>
          <w:szCs w:val="24"/>
        </w:rPr>
        <w:t>t</w:t>
      </w:r>
      <w:r w:rsidR="00AC1EE8" w:rsidRPr="002F17D0">
        <w:rPr>
          <w:szCs w:val="24"/>
        </w:rPr>
        <w:t>aigi, visos reikalaujamos priteisti sumos atsirado jau po tarptautinių sankcijų taikymo pradžios.</w:t>
      </w:r>
    </w:p>
    <w:p w14:paraId="73038F57" w14:textId="4AE008D5" w:rsidR="00922C0B" w:rsidRPr="002F17D0" w:rsidRDefault="002F5E84" w:rsidP="00922C0B">
      <w:pPr>
        <w:numPr>
          <w:ilvl w:val="0"/>
          <w:numId w:val="1"/>
        </w:numPr>
        <w:spacing w:after="120"/>
        <w:jc w:val="both"/>
        <w:rPr>
          <w:lang w:bidi="lt-LT"/>
        </w:rPr>
      </w:pPr>
      <w:r w:rsidRPr="002F17D0">
        <w:rPr>
          <w:shd w:val="clear" w:color="auto" w:fill="FFFFFF"/>
        </w:rPr>
        <w:t>Lietuvos apeliacinio</w:t>
      </w:r>
      <w:r w:rsidR="00D43F91" w:rsidRPr="002F17D0">
        <w:rPr>
          <w:shd w:val="clear" w:color="auto" w:fill="FFFFFF"/>
        </w:rPr>
        <w:t xml:space="preserve"> teism</w:t>
      </w:r>
      <w:r w:rsidRPr="002F17D0">
        <w:rPr>
          <w:shd w:val="clear" w:color="auto" w:fill="FFFFFF"/>
        </w:rPr>
        <w:t>o Civilinių bylų skyriaus teisėjų kolegija</w:t>
      </w:r>
      <w:r w:rsidR="00045798" w:rsidRPr="002F17D0">
        <w:rPr>
          <w:shd w:val="clear" w:color="auto" w:fill="FFFFFF"/>
        </w:rPr>
        <w:t>, išnagrinėjusi bylą pagal ieškovės apeliacinį skundą,</w:t>
      </w:r>
      <w:r w:rsidR="003A416A" w:rsidRPr="002F17D0">
        <w:rPr>
          <w:shd w:val="clear" w:color="auto" w:fill="FFFFFF"/>
        </w:rPr>
        <w:t xml:space="preserve"> </w:t>
      </w:r>
      <w:r w:rsidR="00453DF6" w:rsidRPr="002F17D0">
        <w:rPr>
          <w:shd w:val="clear" w:color="auto" w:fill="FFFFFF"/>
        </w:rPr>
        <w:t xml:space="preserve">2023 m. </w:t>
      </w:r>
      <w:r w:rsidR="003714E3" w:rsidRPr="002F17D0">
        <w:rPr>
          <w:shd w:val="clear" w:color="auto" w:fill="FFFFFF"/>
        </w:rPr>
        <w:t>gruodžio 21</w:t>
      </w:r>
      <w:r w:rsidRPr="002F17D0">
        <w:rPr>
          <w:shd w:val="clear" w:color="auto" w:fill="FFFFFF"/>
        </w:rPr>
        <w:t xml:space="preserve"> d. nutartimi </w:t>
      </w:r>
      <w:r w:rsidR="003714E3" w:rsidRPr="002F17D0">
        <w:rPr>
          <w:shd w:val="clear" w:color="auto" w:fill="FFFFFF"/>
        </w:rPr>
        <w:t>Vilniaus</w:t>
      </w:r>
      <w:r w:rsidRPr="002F17D0">
        <w:rPr>
          <w:shd w:val="clear" w:color="auto" w:fill="FFFFFF"/>
        </w:rPr>
        <w:t xml:space="preserve"> apygardos teismo 2023 m. </w:t>
      </w:r>
      <w:r w:rsidR="003714E3" w:rsidRPr="002F17D0">
        <w:rPr>
          <w:shd w:val="clear" w:color="auto" w:fill="FFFFFF"/>
        </w:rPr>
        <w:t>liepos 10</w:t>
      </w:r>
      <w:r w:rsidRPr="002F17D0">
        <w:rPr>
          <w:shd w:val="clear" w:color="auto" w:fill="FFFFFF"/>
        </w:rPr>
        <w:t xml:space="preserve"> d. sprendimą paliko nepakeistą, </w:t>
      </w:r>
      <w:r w:rsidRPr="002F17D0">
        <w:rPr>
          <w:lang w:bidi="lt-LT"/>
        </w:rPr>
        <w:t>priteisė iš ieškovės atsakov</w:t>
      </w:r>
      <w:r w:rsidR="003714E3" w:rsidRPr="002F17D0">
        <w:rPr>
          <w:lang w:bidi="lt-LT"/>
        </w:rPr>
        <w:t>e</w:t>
      </w:r>
      <w:r w:rsidRPr="002F17D0">
        <w:rPr>
          <w:lang w:bidi="lt-LT"/>
        </w:rPr>
        <w:t xml:space="preserve">i </w:t>
      </w:r>
      <w:r w:rsidR="003714E3" w:rsidRPr="002F17D0">
        <w:rPr>
          <w:lang w:bidi="lt-LT"/>
        </w:rPr>
        <w:t>3375,54</w:t>
      </w:r>
      <w:r w:rsidRPr="002F17D0">
        <w:rPr>
          <w:lang w:bidi="lt-LT"/>
        </w:rPr>
        <w:t xml:space="preserve"> Eur teisinės pagalbos išlaidų</w:t>
      </w:r>
      <w:r w:rsidR="007C7F17" w:rsidRPr="002F17D0">
        <w:rPr>
          <w:lang w:bidi="lt-LT"/>
        </w:rPr>
        <w:t xml:space="preserve"> atlyginimo</w:t>
      </w:r>
      <w:r w:rsidRPr="002F17D0">
        <w:rPr>
          <w:lang w:bidi="lt-LT"/>
        </w:rPr>
        <w:t>.</w:t>
      </w:r>
    </w:p>
    <w:p w14:paraId="76BB5927" w14:textId="53563C41" w:rsidR="004649C0" w:rsidRPr="002F17D0" w:rsidRDefault="00767635" w:rsidP="004649C0">
      <w:pPr>
        <w:numPr>
          <w:ilvl w:val="0"/>
          <w:numId w:val="1"/>
        </w:numPr>
        <w:spacing w:after="120"/>
        <w:jc w:val="both"/>
        <w:rPr>
          <w:lang w:bidi="lt-LT"/>
        </w:rPr>
      </w:pPr>
      <w:r w:rsidRPr="002F17D0">
        <w:rPr>
          <w:lang w:bidi="lt-LT"/>
        </w:rPr>
        <w:t>K</w:t>
      </w:r>
      <w:r w:rsidR="003B0F87" w:rsidRPr="002F17D0">
        <w:rPr>
          <w:lang w:bidi="lt-LT"/>
        </w:rPr>
        <w:t>olegij</w:t>
      </w:r>
      <w:r w:rsidR="00922C0B" w:rsidRPr="002F17D0">
        <w:rPr>
          <w:lang w:bidi="lt-LT"/>
        </w:rPr>
        <w:t>os vertinimu, pirmosios instancijos teismas pagrįstai atmetė ieškovės reikalavimą dėl skolos priteisimo, kadangi</w:t>
      </w:r>
      <w:r w:rsidR="007C7F17" w:rsidRPr="002F17D0">
        <w:rPr>
          <w:lang w:bidi="lt-LT"/>
        </w:rPr>
        <w:t>,</w:t>
      </w:r>
      <w:r w:rsidR="00922C0B" w:rsidRPr="002F17D0">
        <w:rPr>
          <w:lang w:bidi="lt-LT"/>
        </w:rPr>
        <w:t xml:space="preserve"> </w:t>
      </w:r>
      <w:r w:rsidR="00AD3AA1" w:rsidRPr="002F17D0">
        <w:rPr>
          <w:lang w:bidi="lt-LT"/>
        </w:rPr>
        <w:t xml:space="preserve">pagal </w:t>
      </w:r>
      <w:r w:rsidR="00AD3AA1" w:rsidRPr="002F17D0">
        <w:rPr>
          <w:szCs w:val="24"/>
        </w:rPr>
        <w:t>Reglamento Nr. 269/2014 2 straipsnio 1, 2 dalyse, 4</w:t>
      </w:r>
      <w:r w:rsidR="007C7F17" w:rsidRPr="002F17D0">
        <w:rPr>
          <w:szCs w:val="24"/>
        </w:rPr>
        <w:t> </w:t>
      </w:r>
      <w:r w:rsidR="00AD3AA1" w:rsidRPr="002F17D0">
        <w:rPr>
          <w:szCs w:val="24"/>
        </w:rPr>
        <w:t>straipsnio 1 dalies a punkte įtvirtintą reglamentavimą</w:t>
      </w:r>
      <w:r w:rsidR="007C7F17" w:rsidRPr="002F17D0">
        <w:rPr>
          <w:szCs w:val="24"/>
        </w:rPr>
        <w:t>,</w:t>
      </w:r>
      <w:r w:rsidR="00AD3AA1" w:rsidRPr="002F17D0">
        <w:rPr>
          <w:szCs w:val="24"/>
        </w:rPr>
        <w:t xml:space="preserve"> </w:t>
      </w:r>
      <w:r w:rsidR="00AD3AA1" w:rsidRPr="002F17D0">
        <w:rPr>
          <w:lang w:bidi="lt-LT"/>
        </w:rPr>
        <w:t>sankcijų įgyvendinimo laikotarpiu jokie mokėjimai nėra atliekami, išskyrus tam tikras nustatytas išimtis, k</w:t>
      </w:r>
      <w:r w:rsidR="007C7F17" w:rsidRPr="002F17D0">
        <w:rPr>
          <w:lang w:bidi="lt-LT"/>
        </w:rPr>
        <w:t>ai</w:t>
      </w:r>
      <w:r w:rsidR="00AD3AA1" w:rsidRPr="002F17D0">
        <w:rPr>
          <w:lang w:bidi="lt-LT"/>
        </w:rPr>
        <w:t xml:space="preserve"> tai leidžia valstybių narių kompetentingos institucijos.</w:t>
      </w:r>
    </w:p>
    <w:p w14:paraId="77A241F6" w14:textId="21259B26" w:rsidR="004649C0" w:rsidRPr="002F17D0" w:rsidRDefault="00AD3AA1" w:rsidP="004649C0">
      <w:pPr>
        <w:numPr>
          <w:ilvl w:val="0"/>
          <w:numId w:val="1"/>
        </w:numPr>
        <w:spacing w:after="120"/>
        <w:jc w:val="both"/>
        <w:rPr>
          <w:lang w:bidi="lt-LT"/>
        </w:rPr>
      </w:pPr>
      <w:bookmarkStart w:id="20" w:name="_Hlk170208262"/>
      <w:r w:rsidRPr="002F17D0">
        <w:rPr>
          <w:lang w:bidi="lt-LT"/>
        </w:rPr>
        <w:t xml:space="preserve">Ieškovei remiantis </w:t>
      </w:r>
      <w:r w:rsidRPr="002F17D0">
        <w:rPr>
          <w:szCs w:val="24"/>
        </w:rPr>
        <w:t xml:space="preserve">Vilniaus apygardos </w:t>
      </w:r>
      <w:bookmarkStart w:id="21" w:name="_Hlk168418495"/>
      <w:r w:rsidRPr="002F17D0">
        <w:rPr>
          <w:szCs w:val="24"/>
        </w:rPr>
        <w:t xml:space="preserve">administracinio teismo </w:t>
      </w:r>
      <w:bookmarkEnd w:id="21"/>
      <w:r w:rsidRPr="002F17D0">
        <w:rPr>
          <w:szCs w:val="24"/>
        </w:rPr>
        <w:t>2023 m. lapkričio 22 d. sprendimu</w:t>
      </w:r>
      <w:r w:rsidRPr="002F17D0">
        <w:t xml:space="preserve"> </w:t>
      </w:r>
      <w:r w:rsidRPr="002F17D0">
        <w:rPr>
          <w:szCs w:val="24"/>
        </w:rPr>
        <w:t xml:space="preserve">administracinėje byloje Nr. eI2-1101-566/2023, kolegija </w:t>
      </w:r>
      <w:r w:rsidRPr="002F17D0">
        <w:rPr>
          <w:lang w:bidi="lt-LT"/>
        </w:rPr>
        <w:t xml:space="preserve">pažymėjo, kad nurodytas </w:t>
      </w:r>
      <w:r w:rsidRPr="002F17D0">
        <w:rPr>
          <w:szCs w:val="24"/>
        </w:rPr>
        <w:t>administracinio teismo</w:t>
      </w:r>
      <w:r w:rsidR="004649C0" w:rsidRPr="002F17D0">
        <w:rPr>
          <w:szCs w:val="24"/>
        </w:rPr>
        <w:t xml:space="preserve"> sprendimas nėra įsiteisėjęs ir gali būti skundžiamas aukštesniam teismui. </w:t>
      </w:r>
      <w:r w:rsidR="004725F3" w:rsidRPr="002F17D0">
        <w:rPr>
          <w:szCs w:val="24"/>
        </w:rPr>
        <w:t>Kolegija nurodė, jog p</w:t>
      </w:r>
      <w:r w:rsidR="004649C0" w:rsidRPr="002F17D0">
        <w:rPr>
          <w:szCs w:val="24"/>
        </w:rPr>
        <w:t>aaiškėjus, kad sankcijos ieškovei netaikytos arba taikytos nepagrįstai ar nebebus taikomos ateityje, ieškovė turi teisę kreiptis į teismą dėl skolos priteisimo</w:t>
      </w:r>
      <w:r w:rsidR="00456B2E" w:rsidRPr="002F17D0">
        <w:rPr>
          <w:szCs w:val="24"/>
        </w:rPr>
        <w:t>,</w:t>
      </w:r>
      <w:r w:rsidR="004649C0" w:rsidRPr="002F17D0">
        <w:rPr>
          <w:szCs w:val="24"/>
        </w:rPr>
        <w:t xml:space="preserve"> įrodinėdama, kad elektros energija pagal ginčo Sutartį buvo patiekta. </w:t>
      </w:r>
    </w:p>
    <w:bookmarkEnd w:id="20"/>
    <w:p w14:paraId="5D06CA21" w14:textId="0C95FE19" w:rsidR="004725F3" w:rsidRPr="002F17D0" w:rsidRDefault="004725F3" w:rsidP="004725F3">
      <w:pPr>
        <w:numPr>
          <w:ilvl w:val="0"/>
          <w:numId w:val="1"/>
        </w:numPr>
        <w:spacing w:after="120"/>
        <w:jc w:val="both"/>
        <w:rPr>
          <w:lang w:bidi="lt-LT"/>
        </w:rPr>
      </w:pPr>
      <w:r w:rsidRPr="002F17D0">
        <w:rPr>
          <w:lang w:bidi="lt-LT"/>
        </w:rPr>
        <w:t xml:space="preserve">Kolegija nurodė </w:t>
      </w:r>
      <w:r w:rsidRPr="002F17D0">
        <w:rPr>
          <w:szCs w:val="24"/>
        </w:rPr>
        <w:t>neturinti pagrindo nesutikti su pirmosios instancijos teismo sprendimo argumentu, kad Sutarties vykdym</w:t>
      </w:r>
      <w:r w:rsidR="00456B2E" w:rsidRPr="002F17D0">
        <w:rPr>
          <w:szCs w:val="24"/>
        </w:rPr>
        <w:t>as</w:t>
      </w:r>
      <w:r w:rsidRPr="002F17D0">
        <w:rPr>
          <w:szCs w:val="24"/>
        </w:rPr>
        <w:t xml:space="preserve"> </w:t>
      </w:r>
      <w:r w:rsidR="00456B2E" w:rsidRPr="002F17D0">
        <w:rPr>
          <w:szCs w:val="24"/>
        </w:rPr>
        <w:t xml:space="preserve">buvo </w:t>
      </w:r>
      <w:r w:rsidRPr="002F17D0">
        <w:rPr>
          <w:szCs w:val="24"/>
        </w:rPr>
        <w:t>sustabdy</w:t>
      </w:r>
      <w:r w:rsidR="00456B2E" w:rsidRPr="002F17D0">
        <w:rPr>
          <w:szCs w:val="24"/>
        </w:rPr>
        <w:t>t</w:t>
      </w:r>
      <w:r w:rsidRPr="002F17D0">
        <w:rPr>
          <w:szCs w:val="24"/>
        </w:rPr>
        <w:t>as įsigaliojus sankcijoms, t. y. nuo 2022 m. vasario mėn., nepriklausomai nuo vėlesnių FNTT priimtų įsakymų, informacijos paskelbimo ar atsakovės raštų dėl Sutarties vykdymo sustabdymo. Kolegijos vertinimu, ieškovė apeliaciniame skunde nenuginčijo aplinkybės, kad tarp šalių nėra ginčo, jog atsakovė yra faktiškai atsiskaičiusi su ieškove pagal sąskaitas, išrašytas iki 2022 m. vasario 25 d., t. y. kai į Sprendimo Nr.</w:t>
      </w:r>
      <w:r w:rsidR="007C7F17" w:rsidRPr="002F17D0">
        <w:rPr>
          <w:szCs w:val="24"/>
        </w:rPr>
        <w:t> </w:t>
      </w:r>
      <w:r w:rsidRPr="002F17D0">
        <w:rPr>
          <w:szCs w:val="24"/>
        </w:rPr>
        <w:t>2014/145/BUSP priedą buvo įtrauktas Rusijos Federacijos prezidentas V</w:t>
      </w:r>
      <w:r w:rsidR="007C7F17" w:rsidRPr="002F17D0">
        <w:rPr>
          <w:szCs w:val="24"/>
        </w:rPr>
        <w:t>.</w:t>
      </w:r>
      <w:r w:rsidRPr="002F17D0">
        <w:rPr>
          <w:szCs w:val="24"/>
        </w:rPr>
        <w:t xml:space="preserve"> Putinas. Galiausiai nepaneigta ir aplinkybė, kad visos PVM sąskaitos faktūros, pateiktos byloje, yra išrašytos jau po nurodytos datos.</w:t>
      </w:r>
    </w:p>
    <w:p w14:paraId="708C8309" w14:textId="75FDB2A1" w:rsidR="00AD3AA1" w:rsidRPr="002F17D0" w:rsidRDefault="004725F3" w:rsidP="00922C0B">
      <w:pPr>
        <w:numPr>
          <w:ilvl w:val="0"/>
          <w:numId w:val="1"/>
        </w:numPr>
        <w:spacing w:after="120"/>
        <w:jc w:val="both"/>
        <w:rPr>
          <w:lang w:bidi="lt-LT"/>
        </w:rPr>
      </w:pPr>
      <w:r w:rsidRPr="002F17D0">
        <w:rPr>
          <w:lang w:bidi="lt-LT"/>
        </w:rPr>
        <w:t xml:space="preserve">Kolegija, pasisakydama dėl Sutarties vykdymo sustabdymo, </w:t>
      </w:r>
      <w:r w:rsidR="00ED417B" w:rsidRPr="002F17D0">
        <w:rPr>
          <w:lang w:bidi="lt-LT"/>
        </w:rPr>
        <w:t>nurodė, kad FNTT priimtų sprendimų pagrįstumo patikra nepatenka į šios bylos nagrinėjimo ribas. Ieškovė tiek bylą nagrinėjant pirmosios instancijos teisme, tiek ir apeliaciniame skunde nurodo argumentus</w:t>
      </w:r>
      <w:r w:rsidR="007C7F17" w:rsidRPr="002F17D0">
        <w:rPr>
          <w:lang w:bidi="lt-LT"/>
        </w:rPr>
        <w:t>,</w:t>
      </w:r>
      <w:r w:rsidR="00ED417B" w:rsidRPr="002F17D0">
        <w:rPr>
          <w:lang w:bidi="lt-LT"/>
        </w:rPr>
        <w:t xml:space="preserve"> susijusius ne su Sutarties vykdymo sustabdymo (ne)pagrįstumu, tačiau su FNTT priimtų administracinių aktų (ne)pagrįstumu, galimai atliktais materialiaisiais ir procedūriniais pažeidimais. Iš esmės šioje byloje nekilo ginč</w:t>
      </w:r>
      <w:r w:rsidR="00456B2E" w:rsidRPr="002F17D0">
        <w:rPr>
          <w:lang w:bidi="lt-LT"/>
        </w:rPr>
        <w:t>o</w:t>
      </w:r>
      <w:r w:rsidR="00ED417B" w:rsidRPr="002F17D0">
        <w:rPr>
          <w:lang w:bidi="lt-LT"/>
        </w:rPr>
        <w:t xml:space="preserve"> dėl to, kad tarptautinės sankcijos yra taikomos Rusijos Federacijos prezident</w:t>
      </w:r>
      <w:r w:rsidR="007C7F17" w:rsidRPr="002F17D0">
        <w:rPr>
          <w:lang w:bidi="lt-LT"/>
        </w:rPr>
        <w:t>ui</w:t>
      </w:r>
      <w:r w:rsidR="00ED417B" w:rsidRPr="002F17D0">
        <w:rPr>
          <w:lang w:bidi="lt-LT"/>
        </w:rPr>
        <w:t xml:space="preserve"> V. Putin</w:t>
      </w:r>
      <w:r w:rsidR="007C7F17" w:rsidRPr="002F17D0">
        <w:rPr>
          <w:lang w:bidi="lt-LT"/>
        </w:rPr>
        <w:t>ui</w:t>
      </w:r>
      <w:r w:rsidR="00ED417B" w:rsidRPr="002F17D0">
        <w:rPr>
          <w:lang w:bidi="lt-LT"/>
        </w:rPr>
        <w:t xml:space="preserve"> ir šios bylos nagrinėjimo metu FNTT yra paviešinusi informaciją ir paskelbusi išvadą, jog ieškovė šioje bylos nagrinėjimo stadijoje vis dar yra laikoma kontroliuojama asmenų, kuriems taikomos tarptautinės sankcijos.</w:t>
      </w:r>
    </w:p>
    <w:p w14:paraId="6912142A" w14:textId="32CC88E5" w:rsidR="006D30C2" w:rsidRPr="002F17D0" w:rsidRDefault="00ED417B" w:rsidP="005317D8">
      <w:pPr>
        <w:pStyle w:val="ListParagraph"/>
        <w:numPr>
          <w:ilvl w:val="0"/>
          <w:numId w:val="1"/>
        </w:numPr>
        <w:autoSpaceDN/>
        <w:spacing w:before="120" w:after="120" w:line="240" w:lineRule="auto"/>
        <w:ind w:left="357" w:hanging="357"/>
        <w:jc w:val="both"/>
        <w:textAlignment w:val="auto"/>
        <w:rPr>
          <w:szCs w:val="24"/>
          <w:shd w:val="clear" w:color="auto" w:fill="FFFFFF"/>
        </w:rPr>
      </w:pPr>
      <w:bookmarkStart w:id="22" w:name="_Hlk170124238"/>
      <w:r w:rsidRPr="002F17D0">
        <w:rPr>
          <w:bCs/>
          <w:szCs w:val="24"/>
        </w:rPr>
        <w:t xml:space="preserve">Atkreipusi dėmesį į tai, kad, atsižvelgiant į kontroliuojamų ir sankcionuotų asmenų santykių latentiškumą, iš atsakovės negali būti reikalaujama į bylą pateikti neginčijamų įrodymų dėl ieškovės ryšių (ne)buvimo su sankcionuotais asmenimis, kadangi iš esmės atsakovė tokių </w:t>
      </w:r>
      <w:r w:rsidRPr="002F17D0">
        <w:rPr>
          <w:bCs/>
          <w:szCs w:val="24"/>
        </w:rPr>
        <w:lastRenderedPageBreak/>
        <w:t xml:space="preserve">neginčijamų įrodymų pateikti ir negalėtų, kolegija nurodė, jog </w:t>
      </w:r>
      <w:r w:rsidR="00456B2E" w:rsidRPr="002F17D0">
        <w:rPr>
          <w:bCs/>
          <w:szCs w:val="24"/>
        </w:rPr>
        <w:t>šiuo</w:t>
      </w:r>
      <w:r w:rsidRPr="002F17D0">
        <w:rPr>
          <w:bCs/>
          <w:szCs w:val="24"/>
        </w:rPr>
        <w:t xml:space="preserve"> atveju būtent ieškovei tenka pareiga paneigti ryšių su Rusijos Federacija egzistavimą. </w:t>
      </w:r>
      <w:r w:rsidR="00767635" w:rsidRPr="002F17D0">
        <w:rPr>
          <w:bCs/>
          <w:szCs w:val="24"/>
        </w:rPr>
        <w:t xml:space="preserve">Atsakovės į bylą pateikti duomenys sukūrė prezumpciją, kad ieškovė yra kontroliuojama sankcionuotų asmenų, taigi ieškovei </w:t>
      </w:r>
      <w:r w:rsidR="007C7F17" w:rsidRPr="002F17D0">
        <w:rPr>
          <w:bCs/>
          <w:szCs w:val="24"/>
        </w:rPr>
        <w:t>šiuo</w:t>
      </w:r>
      <w:r w:rsidR="00767635" w:rsidRPr="002F17D0">
        <w:rPr>
          <w:bCs/>
          <w:szCs w:val="24"/>
        </w:rPr>
        <w:t xml:space="preserve"> atveju kilo pareiga tokią prezumpciją paneigti. Kolegijos vertinimu</w:t>
      </w:r>
      <w:r w:rsidR="0061719A" w:rsidRPr="002F17D0">
        <w:rPr>
          <w:bCs/>
          <w:szCs w:val="24"/>
        </w:rPr>
        <w:t>,</w:t>
      </w:r>
      <w:r w:rsidR="00767635" w:rsidRPr="002F17D0">
        <w:rPr>
          <w:bCs/>
          <w:szCs w:val="24"/>
        </w:rPr>
        <w:t xml:space="preserve"> ieškovė šioje byloje savo pareigos neįvykdė</w:t>
      </w:r>
      <w:r w:rsidR="00424C1B" w:rsidRPr="002F17D0">
        <w:rPr>
          <w:bCs/>
          <w:szCs w:val="24"/>
        </w:rPr>
        <w:t xml:space="preserve">, </w:t>
      </w:r>
      <w:bookmarkEnd w:id="22"/>
      <w:r w:rsidR="00424C1B" w:rsidRPr="002F17D0">
        <w:rPr>
          <w:bCs/>
          <w:szCs w:val="24"/>
        </w:rPr>
        <w:t xml:space="preserve">kvestionuodama pirmosios instancijos teismo sprendimą ir nurodinėdama, kad sankcionuoti asmenys nekontroliuoja </w:t>
      </w:r>
      <w:r w:rsidR="00456B2E" w:rsidRPr="002F17D0">
        <w:rPr>
          <w:bCs/>
          <w:szCs w:val="24"/>
        </w:rPr>
        <w:t xml:space="preserve">Rusijos bendrovės </w:t>
      </w:r>
      <w:r w:rsidR="007C7F17" w:rsidRPr="002F17D0">
        <w:rPr>
          <w:bCs/>
          <w:szCs w:val="24"/>
        </w:rPr>
        <w:t>„</w:t>
      </w:r>
      <w:r w:rsidR="00424C1B" w:rsidRPr="002F17D0">
        <w:rPr>
          <w:bCs/>
          <w:szCs w:val="24"/>
        </w:rPr>
        <w:t>I</w:t>
      </w:r>
      <w:r w:rsidR="007C7F17" w:rsidRPr="002F17D0">
        <w:rPr>
          <w:bCs/>
          <w:szCs w:val="24"/>
        </w:rPr>
        <w:t>nter</w:t>
      </w:r>
      <w:r w:rsidR="00424C1B" w:rsidRPr="002F17D0">
        <w:rPr>
          <w:bCs/>
          <w:szCs w:val="24"/>
        </w:rPr>
        <w:t xml:space="preserve"> RAO UES</w:t>
      </w:r>
      <w:r w:rsidR="007C7F17" w:rsidRPr="002F17D0">
        <w:rPr>
          <w:bCs/>
          <w:szCs w:val="24"/>
        </w:rPr>
        <w:t>“</w:t>
      </w:r>
      <w:r w:rsidR="00424C1B" w:rsidRPr="002F17D0">
        <w:rPr>
          <w:bCs/>
          <w:szCs w:val="24"/>
        </w:rPr>
        <w:t>, ieškovė savo poziciją bando grįsti savo pačios ar pa</w:t>
      </w:r>
      <w:r w:rsidR="00456B2E" w:rsidRPr="002F17D0">
        <w:rPr>
          <w:bCs/>
          <w:szCs w:val="24"/>
        </w:rPr>
        <w:t>čios Rusijos bendrovės</w:t>
      </w:r>
      <w:r w:rsidR="00424C1B" w:rsidRPr="002F17D0">
        <w:rPr>
          <w:bCs/>
          <w:szCs w:val="24"/>
        </w:rPr>
        <w:t xml:space="preserve"> </w:t>
      </w:r>
      <w:r w:rsidR="007C7F17" w:rsidRPr="002F17D0">
        <w:rPr>
          <w:bCs/>
          <w:szCs w:val="24"/>
        </w:rPr>
        <w:t>„</w:t>
      </w:r>
      <w:r w:rsidR="00424C1B" w:rsidRPr="002F17D0">
        <w:rPr>
          <w:bCs/>
          <w:szCs w:val="24"/>
        </w:rPr>
        <w:t>I</w:t>
      </w:r>
      <w:r w:rsidR="007C7F17" w:rsidRPr="002F17D0">
        <w:rPr>
          <w:bCs/>
          <w:szCs w:val="24"/>
        </w:rPr>
        <w:t>nter</w:t>
      </w:r>
      <w:r w:rsidR="00424C1B" w:rsidRPr="002F17D0">
        <w:rPr>
          <w:bCs/>
          <w:szCs w:val="24"/>
        </w:rPr>
        <w:t xml:space="preserve"> RAO UES</w:t>
      </w:r>
      <w:r w:rsidR="007C7F17" w:rsidRPr="002F17D0">
        <w:rPr>
          <w:bCs/>
          <w:szCs w:val="24"/>
        </w:rPr>
        <w:t>“</w:t>
      </w:r>
      <w:r w:rsidR="00424C1B" w:rsidRPr="002F17D0">
        <w:rPr>
          <w:bCs/>
          <w:szCs w:val="24"/>
        </w:rPr>
        <w:t xml:space="preserve"> parengtais tekstais, grafikais, skaičiavimais, tačiau jokių konkrečių ir objektyvių įrodymų į bylą </w:t>
      </w:r>
      <w:r w:rsidR="007C7F17" w:rsidRPr="002F17D0">
        <w:rPr>
          <w:bCs/>
          <w:szCs w:val="24"/>
        </w:rPr>
        <w:t>ne</w:t>
      </w:r>
      <w:r w:rsidR="00424C1B" w:rsidRPr="002F17D0">
        <w:rPr>
          <w:bCs/>
          <w:szCs w:val="24"/>
        </w:rPr>
        <w:t>pateikia.</w:t>
      </w:r>
    </w:p>
    <w:p w14:paraId="55036D0B" w14:textId="478A4CBD" w:rsidR="00897506" w:rsidRPr="002F17D0" w:rsidRDefault="00424C1B" w:rsidP="005317D8">
      <w:pPr>
        <w:pStyle w:val="ListParagraph"/>
        <w:numPr>
          <w:ilvl w:val="0"/>
          <w:numId w:val="1"/>
        </w:numPr>
        <w:autoSpaceDN/>
        <w:spacing w:before="120" w:after="120" w:line="240" w:lineRule="auto"/>
        <w:ind w:left="357" w:hanging="357"/>
        <w:jc w:val="both"/>
        <w:textAlignment w:val="auto"/>
        <w:rPr>
          <w:szCs w:val="24"/>
          <w:shd w:val="clear" w:color="auto" w:fill="FFFFFF"/>
        </w:rPr>
      </w:pPr>
      <w:r w:rsidRPr="002F17D0">
        <w:rPr>
          <w:szCs w:val="24"/>
          <w:shd w:val="clear" w:color="auto" w:fill="FFFFFF"/>
        </w:rPr>
        <w:t xml:space="preserve">Kolegija nustatė, kad </w:t>
      </w:r>
      <w:r w:rsidRPr="002F17D0">
        <w:rPr>
          <w:bCs/>
          <w:szCs w:val="24"/>
          <w:shd w:val="clear" w:color="auto" w:fill="FFFFFF"/>
        </w:rPr>
        <w:t>vienintel</w:t>
      </w:r>
      <w:r w:rsidR="00456B2E" w:rsidRPr="002F17D0">
        <w:rPr>
          <w:bCs/>
          <w:szCs w:val="24"/>
          <w:shd w:val="clear" w:color="auto" w:fill="FFFFFF"/>
        </w:rPr>
        <w:t>ė</w:t>
      </w:r>
      <w:r w:rsidRPr="002F17D0">
        <w:rPr>
          <w:bCs/>
          <w:szCs w:val="24"/>
          <w:shd w:val="clear" w:color="auto" w:fill="FFFFFF"/>
        </w:rPr>
        <w:t xml:space="preserve"> ieškovės akcinink</w:t>
      </w:r>
      <w:r w:rsidR="00456B2E" w:rsidRPr="002F17D0">
        <w:rPr>
          <w:bCs/>
          <w:szCs w:val="24"/>
          <w:shd w:val="clear" w:color="auto" w:fill="FFFFFF"/>
        </w:rPr>
        <w:t>ė</w:t>
      </w:r>
      <w:r w:rsidRPr="002F17D0">
        <w:rPr>
          <w:bCs/>
          <w:szCs w:val="24"/>
          <w:shd w:val="clear" w:color="auto" w:fill="FFFFFF"/>
        </w:rPr>
        <w:t xml:space="preserve"> yra AB „INTER RAO Lietuva“, šios bendrovės </w:t>
      </w:r>
      <w:r w:rsidRPr="002F17D0">
        <w:rPr>
          <w:bCs/>
          <w:szCs w:val="24"/>
        </w:rPr>
        <w:t>bankroto procesas yra pasibaigęs ir ji toliau vykdo veiklą.</w:t>
      </w:r>
      <w:r w:rsidR="006D30C2" w:rsidRPr="002F17D0">
        <w:rPr>
          <w:bCs/>
          <w:szCs w:val="24"/>
        </w:rPr>
        <w:t xml:space="preserve"> Kolegijos vertinimu, </w:t>
      </w:r>
      <w:r w:rsidR="006D30C2" w:rsidRPr="002F17D0">
        <w:rPr>
          <w:szCs w:val="24"/>
        </w:rPr>
        <w:t>duomenys JANGIS negali būti vertinami kaip absoliuti ir nenuginčijama deklaracija apie tai, jog juridinis asmuo neturi jokių sąsajų su sankcionuotais asmenimis.</w:t>
      </w:r>
    </w:p>
    <w:p w14:paraId="0B5CFFA6" w14:textId="7168142A" w:rsidR="004739CF" w:rsidRPr="002F17D0" w:rsidRDefault="00897506" w:rsidP="005317D8">
      <w:pPr>
        <w:pStyle w:val="ListParagraph"/>
        <w:numPr>
          <w:ilvl w:val="0"/>
          <w:numId w:val="1"/>
        </w:numPr>
        <w:autoSpaceDN/>
        <w:spacing w:before="120" w:after="120" w:line="240" w:lineRule="auto"/>
        <w:ind w:left="357" w:hanging="357"/>
        <w:jc w:val="both"/>
        <w:textAlignment w:val="auto"/>
        <w:rPr>
          <w:szCs w:val="24"/>
          <w:shd w:val="clear" w:color="auto" w:fill="FFFFFF"/>
        </w:rPr>
      </w:pPr>
      <w:r w:rsidRPr="002F17D0">
        <w:rPr>
          <w:szCs w:val="24"/>
          <w:shd w:val="clear" w:color="auto" w:fill="FFFFFF"/>
        </w:rPr>
        <w:t xml:space="preserve">Vertindama ieškovės argumentus dėl </w:t>
      </w:r>
      <w:r w:rsidRPr="002F17D0">
        <w:rPr>
          <w:bCs/>
          <w:szCs w:val="24"/>
        </w:rPr>
        <w:t>kriterijų, kuriuos turi atitikti subjektas, kad jį būtų galima laikyti priklausančiu arba kontroliuojamu Sprendime Nr. 2014/145/BUSP ir Reglamente Nr.</w:t>
      </w:r>
      <w:r w:rsidR="007C7F17" w:rsidRPr="002F17D0">
        <w:rPr>
          <w:bCs/>
          <w:szCs w:val="24"/>
        </w:rPr>
        <w:t> </w:t>
      </w:r>
      <w:r w:rsidRPr="002F17D0">
        <w:rPr>
          <w:bCs/>
          <w:szCs w:val="24"/>
        </w:rPr>
        <w:t>269/2014 nurodytų sankcionuotų asmenų, kolegija nurodė, kad</w:t>
      </w:r>
      <w:r w:rsidR="007C7F17" w:rsidRPr="002F17D0">
        <w:rPr>
          <w:bCs/>
          <w:szCs w:val="24"/>
        </w:rPr>
        <w:t>,</w:t>
      </w:r>
      <w:r w:rsidRPr="002F17D0">
        <w:rPr>
          <w:bCs/>
          <w:szCs w:val="24"/>
        </w:rPr>
        <w:t xml:space="preserve"> </w:t>
      </w:r>
      <w:r w:rsidRPr="002F17D0">
        <w:rPr>
          <w:szCs w:val="24"/>
        </w:rPr>
        <w:t>susipažinusi su byloje pateiktais rašytiniais įrodymais bei šalių pateiktų procesinių dokumentų turiniu</w:t>
      </w:r>
      <w:r w:rsidR="007C7F17" w:rsidRPr="002F17D0">
        <w:rPr>
          <w:szCs w:val="24"/>
        </w:rPr>
        <w:t>,</w:t>
      </w:r>
      <w:r w:rsidRPr="002F17D0">
        <w:rPr>
          <w:szCs w:val="24"/>
        </w:rPr>
        <w:t xml:space="preserve"> nesutinka su ieškovės pateiktais skaičiavimais ir proporcijomis, kadangi bylos nagrinėjimo metu ieškovė teikia skirtingus duomenis, teikia juos pasirinktinai savo nuožiūra ir nurodo skirtingas </w:t>
      </w:r>
      <w:r w:rsidR="00456B2E" w:rsidRPr="002F17D0">
        <w:rPr>
          <w:szCs w:val="24"/>
        </w:rPr>
        <w:t xml:space="preserve">Rusijos bendrovės </w:t>
      </w:r>
      <w:r w:rsidR="007C7F17" w:rsidRPr="002F17D0">
        <w:rPr>
          <w:szCs w:val="24"/>
        </w:rPr>
        <w:t>„</w:t>
      </w:r>
      <w:r w:rsidRPr="002F17D0">
        <w:rPr>
          <w:bCs/>
          <w:szCs w:val="24"/>
        </w:rPr>
        <w:t>I</w:t>
      </w:r>
      <w:r w:rsidR="007C7F17" w:rsidRPr="002F17D0">
        <w:rPr>
          <w:bCs/>
          <w:szCs w:val="24"/>
        </w:rPr>
        <w:t>nter</w:t>
      </w:r>
      <w:r w:rsidRPr="002F17D0">
        <w:rPr>
          <w:bCs/>
          <w:szCs w:val="24"/>
        </w:rPr>
        <w:t xml:space="preserve"> RAO UES</w:t>
      </w:r>
      <w:r w:rsidR="007C7F17" w:rsidRPr="002F17D0">
        <w:rPr>
          <w:bCs/>
          <w:szCs w:val="24"/>
        </w:rPr>
        <w:t>“</w:t>
      </w:r>
      <w:r w:rsidRPr="002F17D0">
        <w:rPr>
          <w:bCs/>
          <w:szCs w:val="24"/>
        </w:rPr>
        <w:t xml:space="preserve"> akcijų proporcijas. </w:t>
      </w:r>
    </w:p>
    <w:p w14:paraId="6EBC280C" w14:textId="5848681B" w:rsidR="004739CF" w:rsidRPr="002F17D0" w:rsidRDefault="00897506" w:rsidP="005317D8">
      <w:pPr>
        <w:pStyle w:val="ListParagraph"/>
        <w:numPr>
          <w:ilvl w:val="0"/>
          <w:numId w:val="1"/>
        </w:numPr>
        <w:autoSpaceDN/>
        <w:spacing w:before="120" w:after="120" w:line="240" w:lineRule="auto"/>
        <w:ind w:left="357" w:hanging="357"/>
        <w:jc w:val="both"/>
        <w:textAlignment w:val="auto"/>
        <w:rPr>
          <w:szCs w:val="24"/>
          <w:shd w:val="clear" w:color="auto" w:fill="FFFFFF"/>
        </w:rPr>
      </w:pPr>
      <w:r w:rsidRPr="002F17D0">
        <w:rPr>
          <w:szCs w:val="24"/>
          <w:shd w:val="clear" w:color="auto" w:fill="FFFFFF"/>
        </w:rPr>
        <w:t>Kolegija nepagrįstais pripažino apeliacinio skundo argumentus, kad pirmosios instancijos teismas sprendime padarė nep</w:t>
      </w:r>
      <w:r w:rsidR="00742E61" w:rsidRPr="002F17D0">
        <w:rPr>
          <w:szCs w:val="24"/>
          <w:shd w:val="clear" w:color="auto" w:fill="FFFFFF"/>
        </w:rPr>
        <w:t>a</w:t>
      </w:r>
      <w:r w:rsidRPr="002F17D0">
        <w:rPr>
          <w:szCs w:val="24"/>
          <w:shd w:val="clear" w:color="auto" w:fill="FFFFFF"/>
        </w:rPr>
        <w:t xml:space="preserve">grįstą </w:t>
      </w:r>
      <w:r w:rsidRPr="002F17D0">
        <w:rPr>
          <w:bCs/>
          <w:szCs w:val="24"/>
        </w:rPr>
        <w:t xml:space="preserve">išvadą, jog ieškovės akcininkė AB „INTER RAO Lietuva“ negali būti laikoma kontroliuojama akcininkės UAB „Scaent Baltic“ pagal sudarytą akcininkų sutartį. </w:t>
      </w:r>
      <w:r w:rsidR="004739CF" w:rsidRPr="002F17D0">
        <w:rPr>
          <w:bCs/>
          <w:szCs w:val="24"/>
        </w:rPr>
        <w:t xml:space="preserve">Kolegija nurodė, kad </w:t>
      </w:r>
      <w:r w:rsidR="004739CF" w:rsidRPr="002F17D0">
        <w:rPr>
          <w:szCs w:val="24"/>
          <w:shd w:val="clear" w:color="auto" w:fill="FFFFFF"/>
        </w:rPr>
        <w:t xml:space="preserve">akcininkų sutarties galiojimas šios bylos nagrinėjimo metu yra pasibaigęs, t. y. ji galiojo iki 2022 m. liepos 19 d., o ieškovė nepateikė jokių duomenų apie tai, kad akcininkų sutarties galiojimas buvo pratęstas arba sudaryta nauja akcininkų sutartis. </w:t>
      </w:r>
      <w:bookmarkStart w:id="23" w:name="_Hlk170151534"/>
      <w:r w:rsidR="004739CF" w:rsidRPr="002F17D0">
        <w:rPr>
          <w:szCs w:val="24"/>
        </w:rPr>
        <w:t>Akcininkų sutartis nepaneigia aplinkybės ir ieškovė savo skunde jos taip pat nepaneigė, kad 51 proc. balsų visuotiniame akcininkų susirinkime, ne mažiau kaip 4 iš 7 stebėtojų tarybos narius</w:t>
      </w:r>
      <w:r w:rsidR="003372E8" w:rsidRPr="002F17D0">
        <w:rPr>
          <w:szCs w:val="24"/>
        </w:rPr>
        <w:t xml:space="preserve"> ir</w:t>
      </w:r>
      <w:r w:rsidR="004739CF" w:rsidRPr="002F17D0">
        <w:rPr>
          <w:szCs w:val="24"/>
        </w:rPr>
        <w:t xml:space="preserve"> ne mažiau kaip 3 iš 5 valdybos narius, net ir galiojant akcininkų sutarčiai, kontroliuoja Rusijos bendrovė </w:t>
      </w:r>
      <w:r w:rsidR="003372E8" w:rsidRPr="002F17D0">
        <w:rPr>
          <w:szCs w:val="24"/>
        </w:rPr>
        <w:t>„</w:t>
      </w:r>
      <w:r w:rsidR="004739CF" w:rsidRPr="002F17D0">
        <w:rPr>
          <w:szCs w:val="24"/>
        </w:rPr>
        <w:t>I</w:t>
      </w:r>
      <w:r w:rsidR="003372E8" w:rsidRPr="002F17D0">
        <w:rPr>
          <w:szCs w:val="24"/>
        </w:rPr>
        <w:t>nter</w:t>
      </w:r>
      <w:r w:rsidR="004739CF" w:rsidRPr="002F17D0">
        <w:rPr>
          <w:szCs w:val="24"/>
        </w:rPr>
        <w:t xml:space="preserve"> RAO UES</w:t>
      </w:r>
      <w:r w:rsidR="003372E8" w:rsidRPr="002F17D0">
        <w:rPr>
          <w:szCs w:val="24"/>
        </w:rPr>
        <w:t>“</w:t>
      </w:r>
      <w:r w:rsidR="004739CF" w:rsidRPr="002F17D0">
        <w:rPr>
          <w:szCs w:val="24"/>
        </w:rPr>
        <w:t>. Lietuvos teismuose yra pripažinta, kad ši</w:t>
      </w:r>
      <w:r w:rsidR="003372E8" w:rsidRPr="002F17D0">
        <w:rPr>
          <w:szCs w:val="24"/>
        </w:rPr>
        <w:t>ai</w:t>
      </w:r>
      <w:r w:rsidR="004739CF" w:rsidRPr="002F17D0">
        <w:rPr>
          <w:szCs w:val="24"/>
        </w:rPr>
        <w:t xml:space="preserve"> įmon</w:t>
      </w:r>
      <w:r w:rsidR="003372E8" w:rsidRPr="002F17D0">
        <w:rPr>
          <w:szCs w:val="24"/>
        </w:rPr>
        <w:t>ei</w:t>
      </w:r>
      <w:r w:rsidR="004739CF" w:rsidRPr="002F17D0">
        <w:rPr>
          <w:szCs w:val="24"/>
        </w:rPr>
        <w:t xml:space="preserve"> yra taikomos sankcijos (pavyzdžiui, Lietuvos apeliacinio teismo 2023 m. kovo 18 d. nutartis civilinėje byloje Nr. e2-416-516/2023). Taigi, darytina išvada, kad ieškovė nepaneigė savo ryšių su sankcionuotais asmenimis. </w:t>
      </w:r>
    </w:p>
    <w:bookmarkEnd w:id="23"/>
    <w:p w14:paraId="0F726FA7" w14:textId="353E4BB7" w:rsidR="007E3BE1" w:rsidRPr="002F17D0" w:rsidRDefault="007E3BE1" w:rsidP="007E3BE1">
      <w:pPr>
        <w:numPr>
          <w:ilvl w:val="0"/>
          <w:numId w:val="1"/>
        </w:numPr>
        <w:spacing w:after="120"/>
        <w:jc w:val="both"/>
        <w:rPr>
          <w:lang w:bidi="lt-LT"/>
        </w:rPr>
      </w:pPr>
      <w:r w:rsidRPr="002F17D0">
        <w:rPr>
          <w:lang w:bidi="lt-LT"/>
        </w:rPr>
        <w:t>Kolegij</w:t>
      </w:r>
      <w:r w:rsidR="004739CF" w:rsidRPr="002F17D0">
        <w:rPr>
          <w:lang w:bidi="lt-LT"/>
        </w:rPr>
        <w:t>a nurodė, jog</w:t>
      </w:r>
      <w:r w:rsidRPr="002F17D0">
        <w:rPr>
          <w:lang w:bidi="lt-LT"/>
        </w:rPr>
        <w:t xml:space="preserve"> </w:t>
      </w:r>
      <w:r w:rsidRPr="002F17D0">
        <w:rPr>
          <w:szCs w:val="24"/>
          <w:lang w:bidi="lt-LT"/>
        </w:rPr>
        <w:t>byloje nekyla ginč</w:t>
      </w:r>
      <w:r w:rsidR="00456B2E" w:rsidRPr="002F17D0">
        <w:rPr>
          <w:szCs w:val="24"/>
          <w:lang w:bidi="lt-LT"/>
        </w:rPr>
        <w:t>o</w:t>
      </w:r>
      <w:r w:rsidRPr="002F17D0">
        <w:rPr>
          <w:szCs w:val="24"/>
          <w:lang w:bidi="lt-LT"/>
        </w:rPr>
        <w:t xml:space="preserve"> dėl to, kad Sutartis tarp ieškovės ir atsakovės buvo sudaryta iki sankcijų taikymo pradžios ir sankcijų pritaikymo (paaiškėjimo apie taikymą) metu galiojo. Todėl, kolegijos vertinimu, atsakovė </w:t>
      </w:r>
      <w:r w:rsidRPr="002F17D0">
        <w:rPr>
          <w:szCs w:val="24"/>
        </w:rPr>
        <w:t xml:space="preserve">turėjo ne teisę, </w:t>
      </w:r>
      <w:r w:rsidR="00456B2E" w:rsidRPr="002F17D0">
        <w:rPr>
          <w:szCs w:val="24"/>
        </w:rPr>
        <w:t>o</w:t>
      </w:r>
      <w:r w:rsidRPr="002F17D0">
        <w:rPr>
          <w:szCs w:val="24"/>
        </w:rPr>
        <w:t xml:space="preserve"> pareigą </w:t>
      </w:r>
      <w:r w:rsidRPr="002F17D0">
        <w:rPr>
          <w:szCs w:val="24"/>
          <w:lang w:bidi="lt-LT"/>
        </w:rPr>
        <w:t>sustabdyti Sutarties ir prievolių pagal Sutartį vykdymą arba ją nutraukti. Priešingu atveju tolesni sutarties vykdymo veiksmai būtų niekiniai dėl prieštaravimo imperatyvioms įstatymo normoms.</w:t>
      </w:r>
    </w:p>
    <w:p w14:paraId="253464BC" w14:textId="77777777" w:rsidR="009E7AF2" w:rsidRPr="002F17D0" w:rsidRDefault="009E7AF2">
      <w:pPr>
        <w:spacing w:after="120"/>
        <w:ind w:left="360"/>
        <w:jc w:val="both"/>
        <w:rPr>
          <w:shd w:val="clear" w:color="auto" w:fill="FFFFFF"/>
        </w:rPr>
      </w:pPr>
    </w:p>
    <w:p w14:paraId="660936B1" w14:textId="77155D7B" w:rsidR="009E7AF2" w:rsidRPr="002F17D0" w:rsidRDefault="00453DF6">
      <w:pPr>
        <w:shd w:val="clear" w:color="auto" w:fill="FFFFFF"/>
        <w:tabs>
          <w:tab w:val="left" w:pos="709"/>
        </w:tabs>
        <w:spacing w:after="120"/>
        <w:ind w:left="720" w:hanging="357"/>
        <w:jc w:val="center"/>
      </w:pPr>
      <w:r w:rsidRPr="002F17D0">
        <w:t>III. Kasacinio skundo</w:t>
      </w:r>
      <w:r w:rsidR="00CC1384" w:rsidRPr="002F17D0">
        <w:t xml:space="preserve"> ir atsiliepimo į jį</w:t>
      </w:r>
      <w:r w:rsidRPr="002F17D0">
        <w:t xml:space="preserve"> teisiniai argumentai</w:t>
      </w:r>
    </w:p>
    <w:p w14:paraId="0A841F90" w14:textId="77777777" w:rsidR="009E7AF2" w:rsidRPr="002F17D0" w:rsidRDefault="009E7AF2">
      <w:pPr>
        <w:shd w:val="clear" w:color="auto" w:fill="FFFFFF"/>
        <w:tabs>
          <w:tab w:val="left" w:pos="709"/>
        </w:tabs>
        <w:spacing w:after="120"/>
        <w:ind w:left="720" w:hanging="357"/>
        <w:jc w:val="center"/>
      </w:pPr>
    </w:p>
    <w:p w14:paraId="7052A99C" w14:textId="18E872FE" w:rsidR="005E6634" w:rsidRPr="002F17D0" w:rsidRDefault="00453DF6" w:rsidP="00AB235D">
      <w:pPr>
        <w:numPr>
          <w:ilvl w:val="0"/>
          <w:numId w:val="1"/>
        </w:numPr>
        <w:tabs>
          <w:tab w:val="left" w:pos="900"/>
          <w:tab w:val="left" w:pos="990"/>
        </w:tabs>
        <w:autoSpaceDE w:val="0"/>
        <w:adjustRightInd w:val="0"/>
        <w:spacing w:after="120"/>
        <w:jc w:val="both"/>
        <w:textAlignment w:val="auto"/>
        <w:rPr>
          <w:rFonts w:ascii="TimesNewRomanPSMT" w:hAnsi="TimesNewRomanPSMT" w:cs="TimesNewRomanPSMT"/>
          <w:szCs w:val="24"/>
        </w:rPr>
      </w:pPr>
      <w:bookmarkStart w:id="24" w:name="_Hlk117589090"/>
      <w:bookmarkStart w:id="25" w:name="_Hlk147844638"/>
      <w:r w:rsidRPr="002F17D0">
        <w:rPr>
          <w:lang w:bidi="lt-LT"/>
        </w:rPr>
        <w:t>Kasacini</w:t>
      </w:r>
      <w:r w:rsidR="000E7F85" w:rsidRPr="002F17D0">
        <w:rPr>
          <w:lang w:bidi="lt-LT"/>
        </w:rPr>
        <w:t>u</w:t>
      </w:r>
      <w:r w:rsidRPr="002F17D0">
        <w:rPr>
          <w:lang w:bidi="lt-LT"/>
        </w:rPr>
        <w:t xml:space="preserve"> skund</w:t>
      </w:r>
      <w:r w:rsidR="000E7F85" w:rsidRPr="002F17D0">
        <w:rPr>
          <w:lang w:bidi="lt-LT"/>
        </w:rPr>
        <w:t>u</w:t>
      </w:r>
      <w:r w:rsidRPr="002F17D0">
        <w:rPr>
          <w:lang w:bidi="lt-LT"/>
        </w:rPr>
        <w:t xml:space="preserve"> </w:t>
      </w:r>
      <w:r w:rsidR="00644D71" w:rsidRPr="002F17D0">
        <w:rPr>
          <w:lang w:bidi="lt-LT"/>
        </w:rPr>
        <w:t xml:space="preserve">ieškovė </w:t>
      </w:r>
      <w:r w:rsidRPr="002F17D0">
        <w:rPr>
          <w:lang w:bidi="lt-LT"/>
        </w:rPr>
        <w:t>prašo</w:t>
      </w:r>
      <w:bookmarkStart w:id="26" w:name="_Hlk160611478"/>
      <w:bookmarkStart w:id="27" w:name="_Hlk112937654"/>
      <w:bookmarkStart w:id="28" w:name="_Hlk112937804"/>
      <w:r w:rsidR="000E7F85" w:rsidRPr="002F17D0">
        <w:rPr>
          <w:lang w:bidi="lt-LT"/>
        </w:rPr>
        <w:t>:</w:t>
      </w:r>
      <w:r w:rsidR="00644D71" w:rsidRPr="002F17D0">
        <w:rPr>
          <w:lang w:bidi="lt-LT"/>
        </w:rPr>
        <w:t xml:space="preserve"> </w:t>
      </w:r>
      <w:r w:rsidR="00B34D83" w:rsidRPr="002F17D0">
        <w:rPr>
          <w:lang w:bidi="lt-LT"/>
        </w:rPr>
        <w:t xml:space="preserve">panaikinti Vilniaus apygardos teismo 2023 m. liepos 10 d. sprendimą ir Lietuvos apeliacinio teismo </w:t>
      </w:r>
      <w:r w:rsidR="004739CF" w:rsidRPr="002F17D0">
        <w:rPr>
          <w:shd w:val="clear" w:color="auto" w:fill="FFFFFF"/>
        </w:rPr>
        <w:t>Civilinių bylų skyriaus teisėjų kolegijos</w:t>
      </w:r>
      <w:r w:rsidR="004739CF" w:rsidRPr="002F17D0">
        <w:rPr>
          <w:lang w:bidi="lt-LT"/>
        </w:rPr>
        <w:t xml:space="preserve"> </w:t>
      </w:r>
      <w:r w:rsidR="00B34D83" w:rsidRPr="002F17D0">
        <w:rPr>
          <w:lang w:bidi="lt-LT"/>
        </w:rPr>
        <w:t>2023 m. gruodžio 21 d. nutartį ir</w:t>
      </w:r>
      <w:r w:rsidR="003372E8" w:rsidRPr="002F17D0">
        <w:rPr>
          <w:lang w:bidi="lt-LT"/>
        </w:rPr>
        <w:t>,</w:t>
      </w:r>
      <w:r w:rsidR="00B34D83" w:rsidRPr="002F17D0">
        <w:rPr>
          <w:lang w:bidi="lt-LT"/>
        </w:rPr>
        <w:t xml:space="preserve"> priėmus naują sprendimą</w:t>
      </w:r>
      <w:r w:rsidR="003372E8" w:rsidRPr="002F17D0">
        <w:rPr>
          <w:lang w:bidi="lt-LT"/>
        </w:rPr>
        <w:t>,</w:t>
      </w:r>
      <w:r w:rsidR="004739CF" w:rsidRPr="002F17D0">
        <w:rPr>
          <w:lang w:bidi="lt-LT"/>
        </w:rPr>
        <w:t xml:space="preserve"> </w:t>
      </w:r>
      <w:r w:rsidR="00B34D83" w:rsidRPr="002F17D0">
        <w:rPr>
          <w:lang w:bidi="lt-LT"/>
        </w:rPr>
        <w:t>ieškovės ieškinį tenkinti vis</w:t>
      </w:r>
      <w:r w:rsidR="003372E8" w:rsidRPr="002F17D0">
        <w:rPr>
          <w:lang w:bidi="lt-LT"/>
        </w:rPr>
        <w:t>iškai</w:t>
      </w:r>
      <w:r w:rsidR="004739CF" w:rsidRPr="002F17D0">
        <w:rPr>
          <w:lang w:bidi="lt-LT"/>
        </w:rPr>
        <w:t>,</w:t>
      </w:r>
      <w:r w:rsidR="00B34D83" w:rsidRPr="002F17D0">
        <w:rPr>
          <w:lang w:bidi="lt-LT"/>
        </w:rPr>
        <w:t xml:space="preserve"> </w:t>
      </w:r>
      <w:r w:rsidR="00644D71" w:rsidRPr="002F17D0">
        <w:rPr>
          <w:lang w:bidi="lt-LT"/>
        </w:rPr>
        <w:t>priteisti ieškovės patirt</w:t>
      </w:r>
      <w:r w:rsidR="003372E8" w:rsidRPr="002F17D0">
        <w:rPr>
          <w:lang w:bidi="lt-LT"/>
        </w:rPr>
        <w:t>ų</w:t>
      </w:r>
      <w:r w:rsidR="00644D71" w:rsidRPr="002F17D0">
        <w:rPr>
          <w:lang w:bidi="lt-LT"/>
        </w:rPr>
        <w:t xml:space="preserve"> bylinėjimosi išlaid</w:t>
      </w:r>
      <w:r w:rsidR="003372E8" w:rsidRPr="002F17D0">
        <w:rPr>
          <w:lang w:bidi="lt-LT"/>
        </w:rPr>
        <w:t>ų atlyginimą</w:t>
      </w:r>
      <w:r w:rsidR="000E7F85" w:rsidRPr="002F17D0">
        <w:rPr>
          <w:lang w:bidi="lt-LT"/>
        </w:rPr>
        <w:t xml:space="preserve">; </w:t>
      </w:r>
      <w:bookmarkStart w:id="29" w:name="_Hlk170195846"/>
      <w:r w:rsidR="000E7F85" w:rsidRPr="002F17D0">
        <w:rPr>
          <w:rFonts w:ascii="TimesNewRomanPSMT" w:hAnsi="TimesNewRomanPSMT" w:cs="TimesNewRomanPSMT"/>
          <w:szCs w:val="24"/>
        </w:rPr>
        <w:t>kreiptis į Europos Sąjungos Teisingumo Teismą</w:t>
      </w:r>
      <w:r w:rsidR="00456B2E" w:rsidRPr="002F17D0">
        <w:rPr>
          <w:rFonts w:ascii="TimesNewRomanPSMT" w:hAnsi="TimesNewRomanPSMT" w:cs="TimesNewRomanPSMT"/>
          <w:szCs w:val="24"/>
        </w:rPr>
        <w:t xml:space="preserve"> (toliau – ir ESTT)</w:t>
      </w:r>
      <w:r w:rsidR="000E7F85" w:rsidRPr="002F17D0">
        <w:rPr>
          <w:rFonts w:ascii="TimesNewRomanPSMT" w:hAnsi="TimesNewRomanPSMT" w:cs="TimesNewRomanPSMT"/>
          <w:szCs w:val="24"/>
        </w:rPr>
        <w:t xml:space="preserve"> su prašymu priimti prejudicinį sprendimą šiais klausimais: </w:t>
      </w:r>
      <w:bookmarkEnd w:id="29"/>
      <w:r w:rsidR="000E7F85" w:rsidRPr="002F17D0">
        <w:rPr>
          <w:rFonts w:ascii="TimesNewRomanPSMT" w:hAnsi="TimesNewRomanPSMT" w:cs="TimesNewRomanPSMT"/>
          <w:szCs w:val="24"/>
        </w:rPr>
        <w:t xml:space="preserve">1) </w:t>
      </w:r>
      <w:bookmarkStart w:id="30" w:name="_Hlk170195811"/>
      <w:r w:rsidR="000E7F85" w:rsidRPr="002F17D0">
        <w:rPr>
          <w:rFonts w:ascii="TimesNewRomanPSMT" w:hAnsi="TimesNewRomanPSMT" w:cs="TimesNewRomanPSMT"/>
          <w:szCs w:val="24"/>
        </w:rPr>
        <w:t>ar Reglamento Nr. 269/2014 2</w:t>
      </w:r>
      <w:r w:rsidR="003372E8" w:rsidRPr="002F17D0">
        <w:rPr>
          <w:rFonts w:ascii="TimesNewRomanPSMT" w:hAnsi="TimesNewRomanPSMT" w:cs="TimesNewRomanPSMT"/>
          <w:szCs w:val="24"/>
        </w:rPr>
        <w:t> </w:t>
      </w:r>
      <w:r w:rsidR="000E7F85" w:rsidRPr="002F17D0">
        <w:rPr>
          <w:rFonts w:ascii="TimesNewRomanPSMT" w:hAnsi="TimesNewRomanPSMT" w:cs="TimesNewRomanPSMT"/>
          <w:szCs w:val="24"/>
        </w:rPr>
        <w:t>straipsnyje ir Sprendimo Nr. 2014/145/BUSP 2 straipsnio 1 ir 2 dalyse įtvirtintos lėšų ir ekonominių išteklių įšaldymo priemonės turi būti aiškinamos taip, kad asmuo, kuri</w:t>
      </w:r>
      <w:r w:rsidR="003372E8" w:rsidRPr="002F17D0">
        <w:rPr>
          <w:rFonts w:ascii="TimesNewRomanPSMT" w:hAnsi="TimesNewRomanPSMT" w:cs="TimesNewRomanPSMT"/>
          <w:szCs w:val="24"/>
        </w:rPr>
        <w:t>am</w:t>
      </w:r>
      <w:r w:rsidR="000E7F85" w:rsidRPr="002F17D0">
        <w:rPr>
          <w:rFonts w:ascii="TimesNewRomanPSMT" w:hAnsi="TimesNewRomanPSMT" w:cs="TimesNewRomanPSMT"/>
          <w:szCs w:val="24"/>
        </w:rPr>
        <w:t xml:space="preserve"> yra pritaikytos tokios priemonės, netenka teisės ne tik naudotis savo lėšomis, bet ir reikšti </w:t>
      </w:r>
      <w:r w:rsidR="000E7F85" w:rsidRPr="002F17D0">
        <w:rPr>
          <w:rFonts w:ascii="TimesNewRomanPSMT" w:hAnsi="TimesNewRomanPSMT" w:cs="TimesNewRomanPSMT"/>
          <w:szCs w:val="24"/>
        </w:rPr>
        <w:lastRenderedPageBreak/>
        <w:t>reikalavimus teisme dėl skolų, susidariusių pagal iki minėtų priemonių jo atžvilgiu pritaikymo sudarytus sandorius, priteisimo ir tokie ieškiniai nurodytų priemonių galiojimo metu negali būti tenkinami?</w:t>
      </w:r>
      <w:r w:rsidR="00456B2E" w:rsidRPr="002F17D0">
        <w:rPr>
          <w:rFonts w:ascii="TimesNewRomanPSMT" w:hAnsi="TimesNewRomanPSMT" w:cs="TimesNewRomanPSMT"/>
          <w:szCs w:val="24"/>
        </w:rPr>
        <w:t>;</w:t>
      </w:r>
      <w:r w:rsidR="000E7F85" w:rsidRPr="002F17D0">
        <w:rPr>
          <w:rFonts w:ascii="TimesNewRomanPSMT" w:hAnsi="TimesNewRomanPSMT" w:cs="TimesNewRomanPSMT"/>
          <w:szCs w:val="24"/>
        </w:rPr>
        <w:t xml:space="preserve"> 2) ar Reglamento Nr. 269/2014 7 straipsnio 2 dalies c punktas ir Sprendimo Nr.</w:t>
      </w:r>
      <w:r w:rsidR="003372E8" w:rsidRPr="002F17D0">
        <w:rPr>
          <w:rFonts w:ascii="TimesNewRomanPSMT" w:hAnsi="TimesNewRomanPSMT" w:cs="TimesNewRomanPSMT"/>
          <w:szCs w:val="24"/>
        </w:rPr>
        <w:t> </w:t>
      </w:r>
      <w:r w:rsidR="000E7F85" w:rsidRPr="002F17D0">
        <w:rPr>
          <w:rFonts w:ascii="TimesNewRomanPSMT" w:hAnsi="TimesNewRomanPSMT" w:cs="TimesNewRomanPSMT"/>
          <w:szCs w:val="24"/>
        </w:rPr>
        <w:t>2014/145/BUSP 2 straipsnio 6 dalies c punktas, leidžiantys netaikyti atitinkamų ribojamųjų priemonių mokėjimams pagal teisminių institucijų, administracinius arba arbitražinius sprendimus, priimtus Sąjungoje arba vykdytinus atitinkamoje valstybėje narėje, turi būti aiškinami kaip taikytini tik mokėjimams pagal teisminių institucijų, administracinius arba arbitražinius sprendimus, kurie buvo priimti ir įsiteisėjo tik iki minėtų ribojamųjų priemonių lėšų gavėj</w:t>
      </w:r>
      <w:r w:rsidR="003372E8" w:rsidRPr="002F17D0">
        <w:rPr>
          <w:rFonts w:ascii="TimesNewRomanPSMT" w:hAnsi="TimesNewRomanPSMT" w:cs="TimesNewRomanPSMT"/>
          <w:szCs w:val="24"/>
        </w:rPr>
        <w:t>ui</w:t>
      </w:r>
      <w:r w:rsidR="000E7F85" w:rsidRPr="002F17D0">
        <w:rPr>
          <w:rFonts w:ascii="TimesNewRomanPSMT" w:hAnsi="TimesNewRomanPSMT" w:cs="TimesNewRomanPSMT"/>
          <w:szCs w:val="24"/>
        </w:rPr>
        <w:t xml:space="preserve"> pritaikymo?</w:t>
      </w:r>
      <w:r w:rsidR="00456B2E" w:rsidRPr="002F17D0">
        <w:rPr>
          <w:rFonts w:ascii="TimesNewRomanPSMT" w:hAnsi="TimesNewRomanPSMT" w:cs="TimesNewRomanPSMT"/>
          <w:szCs w:val="24"/>
        </w:rPr>
        <w:t>;</w:t>
      </w:r>
      <w:r w:rsidR="000E7F85" w:rsidRPr="002F17D0">
        <w:rPr>
          <w:rFonts w:ascii="TimesNewRomanPSMT" w:hAnsi="TimesNewRomanPSMT" w:cs="TimesNewRomanPSMT"/>
          <w:szCs w:val="24"/>
        </w:rPr>
        <w:t xml:space="preserve"> 3) ar Reglamento Nr. 269/2014 7 straipsnio 1 dalis ir 2 dalies b ir c punktai bei Sprendimo Nr. 2014/145/BUSP 2 straipsnio 6 dalies b ir c punktai turi būti aiškinami kaip leidžiantys atlikti mokėjimus į įšaldytas sąskaitas tik gavus už atitinkamos ribojamosios priemonės įgyvendinimą atsakingos valstybės institucijos leidimą? </w:t>
      </w:r>
      <w:bookmarkEnd w:id="26"/>
      <w:bookmarkEnd w:id="30"/>
      <w:r w:rsidRPr="002F17D0">
        <w:rPr>
          <w:lang w:bidi="lt-LT"/>
        </w:rPr>
        <w:t xml:space="preserve">Kasacinis skundas </w:t>
      </w:r>
      <w:bookmarkEnd w:id="27"/>
      <w:bookmarkEnd w:id="28"/>
      <w:r w:rsidRPr="002F17D0">
        <w:rPr>
          <w:lang w:bidi="lt-LT"/>
        </w:rPr>
        <w:t>grindžiamas šiais argumentais</w:t>
      </w:r>
      <w:bookmarkEnd w:id="24"/>
      <w:r w:rsidRPr="002F17D0">
        <w:t>:</w:t>
      </w:r>
      <w:bookmarkEnd w:id="25"/>
    </w:p>
    <w:p w14:paraId="04511E7F" w14:textId="2C217951" w:rsidR="00A11D1B" w:rsidRPr="009B4AF5" w:rsidRDefault="00B34D83"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bookmarkStart w:id="31" w:name="_Hlk170121245"/>
      <w:bookmarkStart w:id="32" w:name="Buk_10"/>
      <w:r w:rsidRPr="009B4AF5">
        <w:rPr>
          <w:color w:val="auto"/>
        </w:rPr>
        <w:t xml:space="preserve">Teismai netinkamai aiškino ir taikė </w:t>
      </w:r>
      <w:bookmarkStart w:id="33" w:name="_Hlk169093910"/>
      <w:bookmarkStart w:id="34" w:name="_Hlk169622664"/>
      <w:bookmarkStart w:id="35" w:name="_Hlk169001279"/>
      <w:r w:rsidRPr="009B4AF5">
        <w:rPr>
          <w:color w:val="auto"/>
        </w:rPr>
        <w:t xml:space="preserve">Tarptautinių sankcijų įstatymo 7 straipsnio 2 ir 3 dalis kartu su Sprendimo Nr. 2014/145/BUSP 2 straipsnio 1 ir 2 dalimis, 6 dalies b ir c punktais, Reglamento Nr. 269/2014 2 straipsnio 1 ir 2 dalimis, 7 straipsnio 1 dalimi, 2 dalies </w:t>
      </w:r>
      <w:bookmarkEnd w:id="33"/>
      <w:r w:rsidRPr="009B4AF5">
        <w:rPr>
          <w:color w:val="auto"/>
        </w:rPr>
        <w:t>b ir c</w:t>
      </w:r>
      <w:r w:rsidR="00796088" w:rsidRPr="009B4AF5">
        <w:rPr>
          <w:color w:val="auto"/>
        </w:rPr>
        <w:t> </w:t>
      </w:r>
      <w:r w:rsidRPr="009B4AF5">
        <w:rPr>
          <w:color w:val="auto"/>
        </w:rPr>
        <w:t>punktais.</w:t>
      </w:r>
      <w:bookmarkEnd w:id="34"/>
      <w:r w:rsidRPr="009B4AF5">
        <w:rPr>
          <w:color w:val="auto"/>
        </w:rPr>
        <w:t xml:space="preserve"> </w:t>
      </w:r>
      <w:bookmarkEnd w:id="31"/>
      <w:r w:rsidR="00A11D1B" w:rsidRPr="009B4AF5">
        <w:rPr>
          <w:rFonts w:ascii="TimesNewRomanPSMT" w:hAnsi="TimesNewRomanPSMT" w:cs="TimesNewRomanPSMT"/>
          <w:color w:val="auto"/>
          <w:szCs w:val="24"/>
        </w:rPr>
        <w:t>Šių normų netinkamas aiškinimas ir taikymas pasireiškė teismams pripažinus, kad vien tik asmens įtraukimas į sąrašą atima jam teisę reikalauti teisme priteisti skolą, susidariusią pagal dar iki jo įtraukimo į Sąrašą pradėtą vykdyti sutartį, netgi jei tokios jo naudai priteistos lėšos būtų toliau įšaldytos jau šio asmens sąskaitoje.</w:t>
      </w:r>
    </w:p>
    <w:bookmarkEnd w:id="35"/>
    <w:p w14:paraId="61AD6F58" w14:textId="6A453A9E" w:rsidR="00A11D1B" w:rsidRPr="009B4AF5" w:rsidRDefault="00A11D1B"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rFonts w:ascii="TimesNewRomanPSMT" w:hAnsi="TimesNewRomanPSMT" w:cs="TimesNewRomanPSMT"/>
          <w:color w:val="auto"/>
          <w:szCs w:val="24"/>
        </w:rPr>
        <w:t xml:space="preserve">Teismai padarė nepagrįstą išvadą, kad vien tik asmens įtraukimas į Sąrašą savaime reiškia draudimą vykdyti bet kokius mokėjimus </w:t>
      </w:r>
      <w:r w:rsidR="00796088" w:rsidRPr="009B4AF5">
        <w:rPr>
          <w:rFonts w:ascii="TimesNewRomanPSMT" w:hAnsi="TimesNewRomanPSMT" w:cs="TimesNewRomanPSMT"/>
          <w:color w:val="auto"/>
          <w:szCs w:val="24"/>
        </w:rPr>
        <w:t xml:space="preserve">tokiam asmeniui </w:t>
      </w:r>
      <w:r w:rsidRPr="009B4AF5">
        <w:rPr>
          <w:rFonts w:ascii="TimesNewRomanPSMT" w:hAnsi="TimesNewRomanPSMT" w:cs="TimesNewRomanPSMT"/>
          <w:color w:val="auto"/>
          <w:szCs w:val="24"/>
        </w:rPr>
        <w:t xml:space="preserve">ir priteisti jam skolą pagal jo vykdytas sutartis. Tarptautinių sankcijų įstatymo normos </w:t>
      </w:r>
      <w:r w:rsidR="00796088" w:rsidRPr="009B4AF5">
        <w:rPr>
          <w:rFonts w:ascii="TimesNewRomanPSMT" w:hAnsi="TimesNewRomanPSMT" w:cs="TimesNewRomanPSMT"/>
          <w:color w:val="auto"/>
          <w:szCs w:val="24"/>
        </w:rPr>
        <w:t>įtvirtina</w:t>
      </w:r>
      <w:r w:rsidRPr="009B4AF5">
        <w:rPr>
          <w:rFonts w:ascii="TimesNewRomanPSMT" w:hAnsi="TimesNewRomanPSMT" w:cs="TimesNewRomanPSMT"/>
          <w:color w:val="auto"/>
          <w:szCs w:val="24"/>
        </w:rPr>
        <w:t xml:space="preserve"> ribojimus vykdyti tik tokias prievoles, kurių vykdymą draudžia tarptautines sankcijas nustatantys teisės aktai. Vien tik aplinkybė, kad asmen</w:t>
      </w:r>
      <w:r w:rsidR="00796088" w:rsidRPr="009B4AF5">
        <w:rPr>
          <w:rFonts w:ascii="TimesNewRomanPSMT" w:hAnsi="TimesNewRomanPSMT" w:cs="TimesNewRomanPSMT"/>
          <w:color w:val="auto"/>
          <w:szCs w:val="24"/>
        </w:rPr>
        <w:t>iui</w:t>
      </w:r>
      <w:r w:rsidRPr="009B4AF5">
        <w:rPr>
          <w:rFonts w:ascii="TimesNewRomanPSMT" w:hAnsi="TimesNewRomanPSMT" w:cs="TimesNewRomanPSMT"/>
          <w:color w:val="auto"/>
          <w:szCs w:val="24"/>
        </w:rPr>
        <w:t xml:space="preserve"> yra galimai taikomos tarptautinės sankcijos, savaime nereiškia, kad toks asmuo savaime praranda teisę reikalauti prievolių vykdymo ar skolų grąžinimo.</w:t>
      </w:r>
    </w:p>
    <w:p w14:paraId="5EFC481D" w14:textId="7BDEB271" w:rsidR="00A11D1B" w:rsidRPr="009B4AF5" w:rsidRDefault="00A11D1B"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Skirtingai negu byloje aiškino teismai, nei Reglamentas Nr. 269/2014, nei Sprendimas Nr.</w:t>
      </w:r>
      <w:r w:rsidR="00796088" w:rsidRPr="009B4AF5">
        <w:rPr>
          <w:color w:val="auto"/>
        </w:rPr>
        <w:t> </w:t>
      </w:r>
      <w:r w:rsidRPr="009B4AF5">
        <w:rPr>
          <w:color w:val="auto"/>
        </w:rPr>
        <w:t>2014/145/BUSP neįtvirtina jokių nuostatų, kurios būtų kliūti</w:t>
      </w:r>
      <w:r w:rsidR="000D41B1" w:rsidRPr="009B4AF5">
        <w:rPr>
          <w:color w:val="auto"/>
        </w:rPr>
        <w:t>s</w:t>
      </w:r>
      <w:r w:rsidRPr="009B4AF5">
        <w:rPr>
          <w:color w:val="auto"/>
        </w:rPr>
        <w:t xml:space="preserve"> teismo sprendimu pripažinti egzistuojant skolą į Sąrašą įtraukto asmens naudai ir tokią skolą jam priteisti. Nėra jokių nuostatų, kurios negaliojančiomis pripažintų į sankcijų sąrašus įtrauktų asmenų turtines teises, įskaitant reikalavimo teises į pagal sutartis susidariusias skolas, ar atleistų tokių asmenų kontrahentus nuo skolų į sankcijų sąrašus įtraukt</w:t>
      </w:r>
      <w:r w:rsidR="000D41B1" w:rsidRPr="009B4AF5">
        <w:rPr>
          <w:color w:val="auto"/>
        </w:rPr>
        <w:t>iems</w:t>
      </w:r>
      <w:r w:rsidRPr="009B4AF5">
        <w:rPr>
          <w:color w:val="auto"/>
        </w:rPr>
        <w:t xml:space="preserve"> asmen</w:t>
      </w:r>
      <w:r w:rsidR="000D41B1" w:rsidRPr="009B4AF5">
        <w:rPr>
          <w:color w:val="auto"/>
        </w:rPr>
        <w:t>ims</w:t>
      </w:r>
      <w:r w:rsidRPr="009B4AF5">
        <w:rPr>
          <w:color w:val="auto"/>
        </w:rPr>
        <w:t>.</w:t>
      </w:r>
    </w:p>
    <w:p w14:paraId="77B61957" w14:textId="2A458BDD" w:rsidR="00A11D1B" w:rsidRPr="009B4AF5" w:rsidRDefault="00A11D1B"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Tiek Reglamentas Nr. 269/2014, tiek Sprendimas Nr. 2014/145/BUSP tiesiogiai suteikia galimybę netgi į sankcionuotų asmenų sąskaitas pervesti lėšas, kuriomis padengiam</w:t>
      </w:r>
      <w:r w:rsidR="00AB792A" w:rsidRPr="009B4AF5">
        <w:rPr>
          <w:color w:val="auto"/>
        </w:rPr>
        <w:t>os</w:t>
      </w:r>
      <w:r w:rsidRPr="009B4AF5">
        <w:rPr>
          <w:color w:val="auto"/>
        </w:rPr>
        <w:t xml:space="preserve"> susidar</w:t>
      </w:r>
      <w:r w:rsidR="00AB792A" w:rsidRPr="009B4AF5">
        <w:rPr>
          <w:color w:val="auto"/>
        </w:rPr>
        <w:t>iusios</w:t>
      </w:r>
      <w:r w:rsidRPr="009B4AF5">
        <w:rPr>
          <w:color w:val="auto"/>
        </w:rPr>
        <w:t xml:space="preserve"> </w:t>
      </w:r>
      <w:r w:rsidR="00AB792A" w:rsidRPr="009B4AF5">
        <w:rPr>
          <w:color w:val="auto"/>
        </w:rPr>
        <w:t>skolos</w:t>
      </w:r>
      <w:r w:rsidRPr="009B4AF5">
        <w:rPr>
          <w:color w:val="auto"/>
        </w:rPr>
        <w:t xml:space="preserve"> </w:t>
      </w:r>
      <w:r w:rsidR="00796088" w:rsidRPr="009B4AF5">
        <w:rPr>
          <w:color w:val="auto"/>
        </w:rPr>
        <w:t xml:space="preserve">tokiems asmenims </w:t>
      </w:r>
      <w:r w:rsidRPr="009B4AF5">
        <w:rPr>
          <w:color w:val="auto"/>
        </w:rPr>
        <w:t>(i) pagal vykdytas sutartis arba (ii) pagal teismo sprendimus. Tokiam pervedimui yra taikoma vienintelė sąlyga – perverstos lėšos turi toliau likti įšaldytos jau jas gavusio asmens sąskaitoje.</w:t>
      </w:r>
    </w:p>
    <w:p w14:paraId="232F82B5" w14:textId="29CE6963" w:rsidR="00A11D1B" w:rsidRPr="009B4AF5" w:rsidRDefault="00A11D1B"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Atmesdami ieškovės reikalavimą dėl skolos, kurios neginčijo net pati atsakovė, priteisimo</w:t>
      </w:r>
      <w:r w:rsidR="00A82E41" w:rsidRPr="009B4AF5">
        <w:rPr>
          <w:color w:val="auto"/>
        </w:rPr>
        <w:t xml:space="preserve">, </w:t>
      </w:r>
      <w:bookmarkStart w:id="36" w:name="_Hlk169626732"/>
      <w:r w:rsidR="00A82E41" w:rsidRPr="009B4AF5">
        <w:rPr>
          <w:color w:val="auto"/>
        </w:rPr>
        <w:t>teismai</w:t>
      </w:r>
      <w:r w:rsidRPr="009B4AF5">
        <w:rPr>
          <w:color w:val="auto"/>
        </w:rPr>
        <w:t xml:space="preserve"> </w:t>
      </w:r>
      <w:r w:rsidR="00A82E41" w:rsidRPr="009B4AF5">
        <w:rPr>
          <w:color w:val="auto"/>
        </w:rPr>
        <w:t>nepagrįstai išplėtė lėšų ir ekonominių išteklių įšaldymo sąvoką, visiškai ignoruodami Reglamento Nr. 269/2014 7 straipsnio bei Sprendimo Nr. 2014/145/BUSP 2 straipsnio 6</w:t>
      </w:r>
      <w:r w:rsidR="00796088" w:rsidRPr="009B4AF5">
        <w:rPr>
          <w:color w:val="auto"/>
        </w:rPr>
        <w:t> </w:t>
      </w:r>
      <w:r w:rsidR="00A82E41" w:rsidRPr="009B4AF5">
        <w:rPr>
          <w:color w:val="auto"/>
        </w:rPr>
        <w:t xml:space="preserve">dalies b ir c punktų nuostatas, tiesiogiai leidžiančias atlikti mokėjimus į sankcionuotų asmenų sąskaitas, su sąlyga, kad tokios lėšos gavėjo sąskaitose bus įšaldytos. Be to, reikalavimo dėl skolos priteisimo atmetimas iš esmės reiškia pripažinimą, kad atsakovė neturi pareigos mokėti nurodytą sumą ieškovei, o ieškovė neturi reikalavimo teisės į šią sumą. </w:t>
      </w:r>
      <w:bookmarkEnd w:id="36"/>
      <w:r w:rsidR="00A82E41" w:rsidRPr="009B4AF5">
        <w:rPr>
          <w:color w:val="auto"/>
        </w:rPr>
        <w:t xml:space="preserve">Atsižvelgiant į tai, kad toks teismo sprendimas po jo įsiteisėjimo įgyja </w:t>
      </w:r>
      <w:r w:rsidR="00A82E41" w:rsidRPr="009B4AF5">
        <w:rPr>
          <w:i/>
          <w:iCs/>
          <w:color w:val="auto"/>
        </w:rPr>
        <w:t>res judicata</w:t>
      </w:r>
      <w:r w:rsidR="00A82E41" w:rsidRPr="009B4AF5">
        <w:rPr>
          <w:color w:val="auto"/>
        </w:rPr>
        <w:t xml:space="preserve"> </w:t>
      </w:r>
      <w:r w:rsidR="00796088" w:rsidRPr="009B4AF5">
        <w:rPr>
          <w:color w:val="auto"/>
        </w:rPr>
        <w:t xml:space="preserve">(teismo galutinai išspręstas klausimas) </w:t>
      </w:r>
      <w:r w:rsidR="00A82E41" w:rsidRPr="009B4AF5">
        <w:rPr>
          <w:color w:val="auto"/>
        </w:rPr>
        <w:t>teisinę galią, minėtas teismo sprendimas faktiškai reiškia atsakovės atleidimą nuo nurodytos prievolės vykdymo.</w:t>
      </w:r>
    </w:p>
    <w:p w14:paraId="027E8F65" w14:textId="09A9E985" w:rsidR="00730255" w:rsidRPr="009B4AF5" w:rsidRDefault="00B34D83" w:rsidP="00BA4B35">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bookmarkStart w:id="37" w:name="_Hlk170125437"/>
      <w:r w:rsidRPr="009B4AF5">
        <w:rPr>
          <w:color w:val="auto"/>
        </w:rPr>
        <w:lastRenderedPageBreak/>
        <w:t xml:space="preserve">Apeliacinės instancijos teismas </w:t>
      </w:r>
      <w:bookmarkStart w:id="38" w:name="_Hlk170121304"/>
      <w:r w:rsidRPr="009B4AF5">
        <w:rPr>
          <w:color w:val="auto"/>
        </w:rPr>
        <w:t xml:space="preserve">netinkamai taikė </w:t>
      </w:r>
      <w:r w:rsidR="000D41B1" w:rsidRPr="009B4AF5">
        <w:rPr>
          <w:color w:val="auto"/>
        </w:rPr>
        <w:t xml:space="preserve">Lietuvos Respublikos civilinio proceso kodekso (toliau – ir </w:t>
      </w:r>
      <w:r w:rsidR="00BA4B35" w:rsidRPr="009B4AF5">
        <w:rPr>
          <w:color w:val="auto"/>
        </w:rPr>
        <w:t>CPK</w:t>
      </w:r>
      <w:r w:rsidR="000D41B1" w:rsidRPr="009B4AF5">
        <w:rPr>
          <w:color w:val="auto"/>
        </w:rPr>
        <w:t>)</w:t>
      </w:r>
      <w:r w:rsidR="00BA4B35" w:rsidRPr="009B4AF5">
        <w:rPr>
          <w:color w:val="auto"/>
        </w:rPr>
        <w:t xml:space="preserve"> 176</w:t>
      </w:r>
      <w:r w:rsidR="00796088" w:rsidRPr="009B4AF5">
        <w:rPr>
          <w:color w:val="auto"/>
        </w:rPr>
        <w:t>–</w:t>
      </w:r>
      <w:r w:rsidR="00BA4B35" w:rsidRPr="009B4AF5">
        <w:rPr>
          <w:color w:val="auto"/>
        </w:rPr>
        <w:t xml:space="preserve">178 straipsniuose, 182 straipsnio 4 punkte, 185 straipsnyje įtvirtintas </w:t>
      </w:r>
      <w:r w:rsidRPr="009B4AF5">
        <w:rPr>
          <w:color w:val="auto"/>
        </w:rPr>
        <w:t xml:space="preserve">įrodinėjimo ir įrodymų vertinimo taisykles, </w:t>
      </w:r>
      <w:bookmarkEnd w:id="38"/>
      <w:r w:rsidRPr="009B4AF5">
        <w:rPr>
          <w:color w:val="auto"/>
        </w:rPr>
        <w:t xml:space="preserve">skundžiamoje nutartyje konstatuodamas, kad vien tik FNTT paskelbta informacija apie ieškovės įtraukimą į Sąrašą sukuria prezumpciją, </w:t>
      </w:r>
      <w:r w:rsidR="00796088" w:rsidRPr="009B4AF5">
        <w:rPr>
          <w:color w:val="auto"/>
        </w:rPr>
        <w:t>jog</w:t>
      </w:r>
      <w:r w:rsidRPr="009B4AF5">
        <w:rPr>
          <w:color w:val="auto"/>
        </w:rPr>
        <w:t xml:space="preserve"> </w:t>
      </w:r>
      <w:r w:rsidR="00730255" w:rsidRPr="009B4AF5">
        <w:rPr>
          <w:color w:val="auto"/>
        </w:rPr>
        <w:t>ieškovė</w:t>
      </w:r>
      <w:r w:rsidRPr="009B4AF5">
        <w:rPr>
          <w:color w:val="auto"/>
        </w:rPr>
        <w:t xml:space="preserve"> yra kontroliuojama sankcionuotų asmenų, nepais</w:t>
      </w:r>
      <w:r w:rsidR="000D41B1" w:rsidRPr="009B4AF5">
        <w:rPr>
          <w:color w:val="auto"/>
        </w:rPr>
        <w:t>ydamas</w:t>
      </w:r>
      <w:r w:rsidRPr="009B4AF5">
        <w:rPr>
          <w:color w:val="auto"/>
        </w:rPr>
        <w:t xml:space="preserve"> to, kad kol kas neįsiteisėjusiu administracinio teismo sprendimu </w:t>
      </w:r>
      <w:r w:rsidR="00730255" w:rsidRPr="009B4AF5">
        <w:rPr>
          <w:color w:val="auto"/>
        </w:rPr>
        <w:t>ieškovės</w:t>
      </w:r>
      <w:r w:rsidRPr="009B4AF5">
        <w:rPr>
          <w:color w:val="auto"/>
        </w:rPr>
        <w:t xml:space="preserve"> įtraukimas į Sąrašą jau yra pripažintas neteisėtu ir nepagrįstu. </w:t>
      </w:r>
      <w:r w:rsidR="00730255" w:rsidRPr="009B4AF5">
        <w:rPr>
          <w:color w:val="auto"/>
        </w:rPr>
        <w:t>Be to, a</w:t>
      </w:r>
      <w:r w:rsidRPr="009B4AF5">
        <w:rPr>
          <w:color w:val="auto"/>
        </w:rPr>
        <w:t>peliacin</w:t>
      </w:r>
      <w:r w:rsidR="00730255" w:rsidRPr="009B4AF5">
        <w:rPr>
          <w:color w:val="auto"/>
        </w:rPr>
        <w:t>ės instancijos</w:t>
      </w:r>
      <w:r w:rsidRPr="009B4AF5">
        <w:rPr>
          <w:color w:val="auto"/>
        </w:rPr>
        <w:t xml:space="preserve"> teismas, atsisakydamas atsižvelgti į kol kas neįsiteisėjusio administracinio teismo sprendimo išvadas dėl </w:t>
      </w:r>
      <w:r w:rsidR="00730255" w:rsidRPr="009B4AF5">
        <w:rPr>
          <w:color w:val="auto"/>
        </w:rPr>
        <w:t>ieškovės</w:t>
      </w:r>
      <w:r w:rsidRPr="009B4AF5">
        <w:rPr>
          <w:color w:val="auto"/>
        </w:rPr>
        <w:t xml:space="preserve"> sąsajų su sankcionuotais asmenimis nepagrįstumo ir </w:t>
      </w:r>
      <w:r w:rsidR="00BA4B35" w:rsidRPr="009B4AF5">
        <w:rPr>
          <w:color w:val="auto"/>
        </w:rPr>
        <w:t>s</w:t>
      </w:r>
      <w:r w:rsidRPr="009B4AF5">
        <w:rPr>
          <w:color w:val="auto"/>
        </w:rPr>
        <w:t xml:space="preserve">kundžiamoje nutartyje padarydamas priešingas išvadas, pažeidė </w:t>
      </w:r>
      <w:r w:rsidR="00730255" w:rsidRPr="009B4AF5">
        <w:rPr>
          <w:color w:val="auto"/>
        </w:rPr>
        <w:t xml:space="preserve">kasacinio teismo </w:t>
      </w:r>
      <w:r w:rsidRPr="009B4AF5">
        <w:rPr>
          <w:color w:val="auto"/>
        </w:rPr>
        <w:t>praktikoje suformuluotą pareigą teismams išvengti tarpusavyje prieštaringų sprendimų priėmimo</w:t>
      </w:r>
      <w:r w:rsidR="00730255" w:rsidRPr="009B4AF5">
        <w:rPr>
          <w:color w:val="auto"/>
        </w:rPr>
        <w:t>.</w:t>
      </w:r>
    </w:p>
    <w:p w14:paraId="44E60FE1" w14:textId="0F7268C2" w:rsidR="00A82E41" w:rsidRPr="009B4AF5" w:rsidRDefault="00A82E41" w:rsidP="00D329B4">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Esant priimtam teismo sprendimui administracinėje byloje Nr. eI2-1101-566/2023 ir jo išvadoms esant visiškai priešingoms FNTT skelbiamai informacijai, toks neįsiteisėjęs teismo sprendimas negalėjo būti laikomas nereikšminga aplinkybe ir jame nurodyta informacija negalėjo būti teismo nevertinama. Todėl apeliacinės instancijos teismas galėjo atmesti minėto neįsiteisėjusio teismo sprendimo išvadas ir vadovautis priešinga FNTT skelbiama informacija tik konkrečiais įrodymais paneigdamas ir motyvuodamas, kodėl minėtos teismo kitoje byloje padarytos išvados turėtų būti laikomos neteisingomis ar bylai neaktualiomis. Šiuo atveju apeliacinės instancijos teismas ne tik neatliko minimo sprendimo išvadų vertinimo, tačiau nagrinėjamoje byloje padarė priešingą išvadą, kad ieškovė yra kontroliuojama sankcionuotų asmenų.</w:t>
      </w:r>
      <w:r w:rsidR="00BA4B35" w:rsidRPr="009B4AF5">
        <w:rPr>
          <w:color w:val="auto"/>
        </w:rPr>
        <w:t xml:space="preserve"> Apeliacinės instancijos teismas, ignoruodamas administracinio teismo išvadas byloje, kuri būtent ir buvo skirta FNTT paskelbtų tariamų ieškovės sąsajų su sankcionuotais asmenimis pagrįstum</w:t>
      </w:r>
      <w:r w:rsidR="009F63B2" w:rsidRPr="009B4AF5">
        <w:rPr>
          <w:color w:val="auto"/>
        </w:rPr>
        <w:t>ui nustatyti</w:t>
      </w:r>
      <w:r w:rsidR="00BA4B35" w:rsidRPr="009B4AF5">
        <w:rPr>
          <w:color w:val="auto"/>
        </w:rPr>
        <w:t>, bei nepaisydamas minėtų administracinio teismo išvadų</w:t>
      </w:r>
      <w:r w:rsidR="009F63B2" w:rsidRPr="009B4AF5">
        <w:rPr>
          <w:color w:val="auto"/>
        </w:rPr>
        <w:t>, t. y.</w:t>
      </w:r>
      <w:r w:rsidR="00BA4B35" w:rsidRPr="009B4AF5">
        <w:rPr>
          <w:color w:val="auto"/>
        </w:rPr>
        <w:t xml:space="preserve"> vis tiek preziumuodamas ieškovės įtraukimo į Sąrašą pagrįstumą, pažeidė savo pareigą visapusiškai ir objektyviai įvertinti visas bylai reikšmingas aplinkybes.</w:t>
      </w:r>
    </w:p>
    <w:bookmarkEnd w:id="37"/>
    <w:p w14:paraId="008C4CD4" w14:textId="77777777" w:rsidR="00566018" w:rsidRPr="009B4AF5" w:rsidRDefault="00A933B1" w:rsidP="00566018">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Apeliacinės instancijos teismas, padarydamas visiškai priešingas išvadas dėl sankcionuotų asmenų tariamai turimos ieškovės kontrolės, negu padarė Vilniaus apygardos administracinis teismas 2023 m. lapkričio 22 d. sprendime administracinėje byloje Nr. eI2-1101-566/2023, sudarė prielaidas skirtingose bylose priimti vienas kitam prieštaraujančius sprendimus.</w:t>
      </w:r>
      <w:bookmarkStart w:id="39" w:name="_Hlk169215210"/>
    </w:p>
    <w:p w14:paraId="4AACF302" w14:textId="67B77DD5" w:rsidR="00D329B4" w:rsidRPr="009B4AF5" w:rsidRDefault="00B34D83" w:rsidP="00566018">
      <w:pPr>
        <w:numPr>
          <w:ilvl w:val="1"/>
          <w:numId w:val="1"/>
        </w:numPr>
        <w:tabs>
          <w:tab w:val="left" w:pos="900"/>
        </w:tabs>
        <w:autoSpaceDE w:val="0"/>
        <w:adjustRightInd w:val="0"/>
        <w:spacing w:after="120"/>
        <w:jc w:val="both"/>
        <w:textAlignment w:val="auto"/>
        <w:rPr>
          <w:rFonts w:ascii="TimesNewRomanPSMT" w:hAnsi="TimesNewRomanPSMT" w:cs="TimesNewRomanPSMT"/>
          <w:color w:val="auto"/>
          <w:szCs w:val="24"/>
        </w:rPr>
      </w:pPr>
      <w:r w:rsidRPr="009B4AF5">
        <w:rPr>
          <w:color w:val="auto"/>
        </w:rPr>
        <w:t>Apeliacin</w:t>
      </w:r>
      <w:r w:rsidR="00730255" w:rsidRPr="009B4AF5">
        <w:rPr>
          <w:color w:val="auto"/>
        </w:rPr>
        <w:t>ės instancijos</w:t>
      </w:r>
      <w:r w:rsidRPr="009B4AF5">
        <w:rPr>
          <w:color w:val="auto"/>
        </w:rPr>
        <w:t xml:space="preserve"> teismas netinkamai taikė </w:t>
      </w:r>
      <w:bookmarkStart w:id="40" w:name="_Hlk170121390"/>
      <w:r w:rsidR="000E7F85" w:rsidRPr="009B4AF5">
        <w:rPr>
          <w:color w:val="auto"/>
        </w:rPr>
        <w:t xml:space="preserve">CPK 182 straipsnio 2 punkte įtvirtintą </w:t>
      </w:r>
      <w:r w:rsidRPr="009B4AF5">
        <w:rPr>
          <w:color w:val="auto"/>
        </w:rPr>
        <w:t xml:space="preserve">prejudicialumo taisyklę ir nukrypo nuo </w:t>
      </w:r>
      <w:r w:rsidR="00730255" w:rsidRPr="009B4AF5">
        <w:rPr>
          <w:color w:val="auto"/>
        </w:rPr>
        <w:t>kasacinio teismo</w:t>
      </w:r>
      <w:r w:rsidRPr="009B4AF5">
        <w:rPr>
          <w:color w:val="auto"/>
        </w:rPr>
        <w:t xml:space="preserve"> praktikos</w:t>
      </w:r>
      <w:bookmarkEnd w:id="40"/>
      <w:r w:rsidRPr="009B4AF5">
        <w:rPr>
          <w:color w:val="auto"/>
        </w:rPr>
        <w:t xml:space="preserve">, </w:t>
      </w:r>
      <w:r w:rsidR="00730255" w:rsidRPr="009B4AF5">
        <w:rPr>
          <w:color w:val="auto"/>
        </w:rPr>
        <w:t>ieškovės</w:t>
      </w:r>
      <w:r w:rsidRPr="009B4AF5">
        <w:rPr>
          <w:color w:val="auto"/>
        </w:rPr>
        <w:t xml:space="preserve"> tariamus ryšius su sankcionuotais asmenimis konstatuodamas Lietuvos apeliacinio teismo civilinėje byloje Nr. e2-416-516/2023 </w:t>
      </w:r>
      <w:r w:rsidR="00730255" w:rsidRPr="009B4AF5">
        <w:rPr>
          <w:color w:val="auto"/>
        </w:rPr>
        <w:t xml:space="preserve">2023 m. kovo 18 d. </w:t>
      </w:r>
      <w:r w:rsidRPr="009B4AF5">
        <w:rPr>
          <w:color w:val="auto"/>
        </w:rPr>
        <w:t>priimtos nutarties motyv</w:t>
      </w:r>
      <w:r w:rsidR="000D41B1" w:rsidRPr="009B4AF5">
        <w:rPr>
          <w:color w:val="auto"/>
        </w:rPr>
        <w:t>ų pagrindu</w:t>
      </w:r>
      <w:bookmarkEnd w:id="39"/>
      <w:r w:rsidRPr="009B4AF5">
        <w:rPr>
          <w:color w:val="auto"/>
        </w:rPr>
        <w:t>, nors minėtoje byloje nedalyvavo n</w:t>
      </w:r>
      <w:r w:rsidR="009F63B2" w:rsidRPr="009B4AF5">
        <w:rPr>
          <w:color w:val="auto"/>
        </w:rPr>
        <w:t>ė</w:t>
      </w:r>
      <w:r w:rsidRPr="009B4AF5">
        <w:rPr>
          <w:color w:val="auto"/>
        </w:rPr>
        <w:t xml:space="preserve"> viena iš </w:t>
      </w:r>
      <w:r w:rsidR="00D329B4" w:rsidRPr="009B4AF5">
        <w:rPr>
          <w:color w:val="auto"/>
        </w:rPr>
        <w:t>b</w:t>
      </w:r>
      <w:r w:rsidRPr="009B4AF5">
        <w:rPr>
          <w:color w:val="auto"/>
        </w:rPr>
        <w:t xml:space="preserve">ylos šalių, teismo cituotos aplinkybės nebuvo pirmosios bylos </w:t>
      </w:r>
      <w:r w:rsidR="00730255" w:rsidRPr="009B4AF5">
        <w:rPr>
          <w:color w:val="auto"/>
        </w:rPr>
        <w:t>nagrinėjimo dalykas ir šalys dėl jų nesirungė, minėta nutartis net nebuvo baigiamasis teismo aktas, kuriuo išsprendžiamas šalių ginčas, o ja tik buvo išspręstas atskiras procesinio pobūdžio prašymas.</w:t>
      </w:r>
      <w:r w:rsidR="000E7F85" w:rsidRPr="009B4AF5">
        <w:rPr>
          <w:color w:val="auto"/>
        </w:rPr>
        <w:t xml:space="preserve"> </w:t>
      </w:r>
    </w:p>
    <w:p w14:paraId="0F9019D9" w14:textId="1F28CF36" w:rsidR="0061719A" w:rsidRPr="009B4AF5" w:rsidRDefault="000E7F85" w:rsidP="00D329B4">
      <w:pPr>
        <w:numPr>
          <w:ilvl w:val="1"/>
          <w:numId w:val="1"/>
        </w:numPr>
        <w:tabs>
          <w:tab w:val="left" w:pos="900"/>
          <w:tab w:val="left" w:pos="990"/>
        </w:tabs>
        <w:autoSpaceDE w:val="0"/>
        <w:adjustRightInd w:val="0"/>
        <w:spacing w:after="120"/>
        <w:jc w:val="both"/>
        <w:textAlignment w:val="auto"/>
        <w:rPr>
          <w:rFonts w:ascii="TimesNewRomanPSMT" w:hAnsi="TimesNewRomanPSMT" w:cs="TimesNewRomanPSMT"/>
          <w:color w:val="auto"/>
          <w:szCs w:val="24"/>
        </w:rPr>
      </w:pPr>
      <w:r w:rsidRPr="009B4AF5">
        <w:rPr>
          <w:rFonts w:ascii="TimesNewRomanPSMT" w:hAnsi="TimesNewRomanPSMT" w:cs="TimesNewRomanPSMT"/>
          <w:color w:val="auto"/>
          <w:szCs w:val="24"/>
        </w:rPr>
        <w:t>Bylai aktualių Reglamento Nr. 269/2014 ir Sprendimo Nr. 2014/145/BUSP nuostatų aiškinimo ir taikymo praktika iki šiol nėra suformuota nei Lietuvos Aukščiausiojo Teismo</w:t>
      </w:r>
      <w:r w:rsidR="009F63B2" w:rsidRPr="009B4AF5">
        <w:rPr>
          <w:rFonts w:ascii="TimesNewRomanPSMT" w:hAnsi="TimesNewRomanPSMT" w:cs="TimesNewRomanPSMT"/>
          <w:color w:val="auto"/>
          <w:szCs w:val="24"/>
        </w:rPr>
        <w:t>,</w:t>
      </w:r>
      <w:r w:rsidRPr="009B4AF5">
        <w:rPr>
          <w:rFonts w:ascii="TimesNewRomanPSMT" w:hAnsi="TimesNewRomanPSMT" w:cs="TimesNewRomanPSMT"/>
          <w:color w:val="auto"/>
          <w:szCs w:val="24"/>
        </w:rPr>
        <w:t xml:space="preserve"> nei ESTT. </w:t>
      </w:r>
      <w:r w:rsidR="00063069" w:rsidRPr="009B4AF5">
        <w:rPr>
          <w:rFonts w:ascii="TimesNewRomanPSMT" w:hAnsi="TimesNewRomanPSMT" w:cs="TimesNewRomanPSMT"/>
          <w:color w:val="auto"/>
          <w:szCs w:val="24"/>
        </w:rPr>
        <w:t xml:space="preserve">Minėti </w:t>
      </w:r>
      <w:r w:rsidR="0061719A" w:rsidRPr="009B4AF5">
        <w:rPr>
          <w:rFonts w:ascii="TimesNewRomanPSMT" w:hAnsi="TimesNewRomanPSMT" w:cs="TimesNewRomanPSMT"/>
          <w:color w:val="auto"/>
          <w:szCs w:val="24"/>
        </w:rPr>
        <w:t>teismai iki šiol nėra aiškinę nei Reglamente Nr. 269/2014 ir Sprendime Nr.</w:t>
      </w:r>
      <w:r w:rsidR="006468E3" w:rsidRPr="009B4AF5">
        <w:rPr>
          <w:rFonts w:ascii="TimesNewRomanPSMT" w:hAnsi="TimesNewRomanPSMT" w:cs="TimesNewRomanPSMT"/>
          <w:color w:val="auto"/>
          <w:szCs w:val="24"/>
        </w:rPr>
        <w:t> </w:t>
      </w:r>
      <w:r w:rsidR="0061719A" w:rsidRPr="009B4AF5">
        <w:rPr>
          <w:rFonts w:ascii="TimesNewRomanPSMT" w:hAnsi="TimesNewRomanPSMT" w:cs="TimesNewRomanPSMT"/>
          <w:color w:val="auto"/>
          <w:szCs w:val="24"/>
        </w:rPr>
        <w:t>2014/145/BUSP įtvirtintos lėšų ir ekonominių išteklių įšaldymo sąvokos, nei tokiu įšaldymu konkre</w:t>
      </w:r>
      <w:r w:rsidR="006468E3" w:rsidRPr="009B4AF5">
        <w:rPr>
          <w:rFonts w:ascii="TimesNewRomanPSMT" w:hAnsi="TimesNewRomanPSMT" w:cs="TimesNewRomanPSMT"/>
          <w:color w:val="auto"/>
          <w:szCs w:val="24"/>
        </w:rPr>
        <w:t>tiems</w:t>
      </w:r>
      <w:r w:rsidR="0061719A" w:rsidRPr="009B4AF5">
        <w:rPr>
          <w:rFonts w:ascii="TimesNewRomanPSMT" w:hAnsi="TimesNewRomanPSMT" w:cs="TimesNewRomanPSMT"/>
          <w:color w:val="auto"/>
          <w:szCs w:val="24"/>
        </w:rPr>
        <w:t xml:space="preserve"> asmen</w:t>
      </w:r>
      <w:r w:rsidR="006468E3" w:rsidRPr="009B4AF5">
        <w:rPr>
          <w:rFonts w:ascii="TimesNewRomanPSMT" w:hAnsi="TimesNewRomanPSMT" w:cs="TimesNewRomanPSMT"/>
          <w:color w:val="auto"/>
          <w:szCs w:val="24"/>
        </w:rPr>
        <w:t>ims</w:t>
      </w:r>
      <w:r w:rsidR="0061719A" w:rsidRPr="009B4AF5">
        <w:rPr>
          <w:rFonts w:ascii="TimesNewRomanPSMT" w:hAnsi="TimesNewRomanPSMT" w:cs="TimesNewRomanPSMT"/>
          <w:color w:val="auto"/>
          <w:szCs w:val="24"/>
        </w:rPr>
        <w:t xml:space="preserve"> taikomų apribojimų, nei kokios yra galimybės į sankcijų sąrašus įtrauktiems asmenims reikšti naujus reikalavimus dėl pagal dar iki sankcijų pritaikymo sudarytas sutartis susidariusių skolų </w:t>
      </w:r>
      <w:r w:rsidR="000D41B1" w:rsidRPr="009B4AF5">
        <w:rPr>
          <w:rFonts w:ascii="TimesNewRomanPSMT" w:hAnsi="TimesNewRomanPSMT" w:cs="TimesNewRomanPSMT"/>
          <w:color w:val="auto"/>
          <w:szCs w:val="24"/>
        </w:rPr>
        <w:t xml:space="preserve">jiems </w:t>
      </w:r>
      <w:r w:rsidR="0061719A" w:rsidRPr="009B4AF5">
        <w:rPr>
          <w:rFonts w:ascii="TimesNewRomanPSMT" w:hAnsi="TimesNewRomanPSMT" w:cs="TimesNewRomanPSMT"/>
          <w:color w:val="auto"/>
          <w:szCs w:val="24"/>
        </w:rPr>
        <w:t>priteisimo ir sumokėjimo.</w:t>
      </w:r>
      <w:r w:rsidR="00063069" w:rsidRPr="009B4AF5">
        <w:rPr>
          <w:color w:val="auto"/>
        </w:rPr>
        <w:t xml:space="preserve"> </w:t>
      </w:r>
      <w:r w:rsidR="00063069" w:rsidRPr="009B4AF5">
        <w:rPr>
          <w:rFonts w:ascii="TimesNewRomanPSMT" w:hAnsi="TimesNewRomanPSMT" w:cs="TimesNewRomanPSMT"/>
          <w:color w:val="auto"/>
          <w:szCs w:val="24"/>
        </w:rPr>
        <w:t>Kadangi byloje kyla būtent minėti fundamentalūs su Reglamento Nr. 269/2014 ir Sprendimo Nr.</w:t>
      </w:r>
      <w:r w:rsidR="006468E3" w:rsidRPr="009B4AF5">
        <w:rPr>
          <w:rFonts w:ascii="TimesNewRomanPSMT" w:hAnsi="TimesNewRomanPSMT" w:cs="TimesNewRomanPSMT"/>
          <w:color w:val="auto"/>
          <w:szCs w:val="24"/>
        </w:rPr>
        <w:t> </w:t>
      </w:r>
      <w:r w:rsidR="00063069" w:rsidRPr="009B4AF5">
        <w:rPr>
          <w:rFonts w:ascii="TimesNewRomanPSMT" w:hAnsi="TimesNewRomanPSMT" w:cs="TimesNewRomanPSMT"/>
          <w:color w:val="auto"/>
          <w:szCs w:val="24"/>
        </w:rPr>
        <w:t xml:space="preserve">2014/145/BUSP taikymu susiję klausimai, kuriais ESTT iki šiol nėra pasisakęs, Lietuvos Aukščiausiajam Teismui, kuris yra galutinė instancija nagrinėjamoje byloje, atsiranda </w:t>
      </w:r>
      <w:r w:rsidR="00063069" w:rsidRPr="009B4AF5">
        <w:rPr>
          <w:rFonts w:ascii="TimesNewRomanPSMT" w:hAnsi="TimesNewRomanPSMT" w:cs="TimesNewRomanPSMT"/>
          <w:color w:val="auto"/>
          <w:szCs w:val="24"/>
        </w:rPr>
        <w:lastRenderedPageBreak/>
        <w:t>pareiga prašyti kompetentingos Europos Sąjungos teisminės institucijos prejudicinio sprendimo.</w:t>
      </w:r>
    </w:p>
    <w:p w14:paraId="0777C677" w14:textId="2B00E63D" w:rsidR="003062DA" w:rsidRPr="002F17D0" w:rsidRDefault="003062DA" w:rsidP="00730255">
      <w:pPr>
        <w:numPr>
          <w:ilvl w:val="0"/>
          <w:numId w:val="1"/>
        </w:numPr>
        <w:tabs>
          <w:tab w:val="left" w:pos="900"/>
        </w:tabs>
        <w:autoSpaceDE w:val="0"/>
        <w:adjustRightInd w:val="0"/>
        <w:spacing w:after="120"/>
        <w:jc w:val="both"/>
        <w:textAlignment w:val="auto"/>
        <w:rPr>
          <w:rFonts w:ascii="TimesNewRomanPSMT" w:hAnsi="TimesNewRomanPSMT" w:cs="TimesNewRomanPSMT"/>
          <w:szCs w:val="24"/>
        </w:rPr>
      </w:pPr>
      <w:r w:rsidRPr="009B4AF5">
        <w:rPr>
          <w:color w:val="auto"/>
        </w:rPr>
        <w:t>Atsakov</w:t>
      </w:r>
      <w:r w:rsidR="00663E9F" w:rsidRPr="009B4AF5">
        <w:rPr>
          <w:color w:val="auto"/>
        </w:rPr>
        <w:t>ė</w:t>
      </w:r>
      <w:bookmarkEnd w:id="32"/>
      <w:r w:rsidR="00663E9F" w:rsidRPr="002F17D0">
        <w:t xml:space="preserve"> </w:t>
      </w:r>
      <w:r w:rsidRPr="002F17D0">
        <w:t>atsiliepim</w:t>
      </w:r>
      <w:r w:rsidR="004739CF" w:rsidRPr="002F17D0">
        <w:t>u</w:t>
      </w:r>
      <w:r w:rsidRPr="002F17D0">
        <w:t xml:space="preserve"> į kasacinį skundą </w:t>
      </w:r>
      <w:bookmarkStart w:id="41" w:name="_Hlk148611705"/>
      <w:r w:rsidRPr="002F17D0">
        <w:t xml:space="preserve">prašo </w:t>
      </w:r>
      <w:bookmarkEnd w:id="41"/>
      <w:r w:rsidRPr="002F17D0">
        <w:t xml:space="preserve">ieškovės kasacinį skundą atmesti, </w:t>
      </w:r>
      <w:r w:rsidR="00825B7F" w:rsidRPr="002F17D0">
        <w:t xml:space="preserve">taip pat </w:t>
      </w:r>
      <w:r w:rsidR="00663E9F" w:rsidRPr="002F17D0">
        <w:t>atmesti ieškovės prašymą kreiptis į Europos Sąjungos Teisingumo Teismą dėl prejudicinio sprendimo priėmimo;</w:t>
      </w:r>
      <w:r w:rsidRPr="002F17D0">
        <w:t xml:space="preserve"> priteisti iš ieškovės atsakov</w:t>
      </w:r>
      <w:r w:rsidR="00663E9F" w:rsidRPr="002F17D0">
        <w:t>e</w:t>
      </w:r>
      <w:r w:rsidRPr="002F17D0">
        <w:t>i bylinėjimosi išlaid</w:t>
      </w:r>
      <w:r w:rsidR="006468E3" w:rsidRPr="002F17D0">
        <w:t>ų atlyginimą</w:t>
      </w:r>
      <w:r w:rsidRPr="002F17D0">
        <w:t>. Atsiliepimas į kasacinį skundą grindžiamas šiais esminiais argumentais:</w:t>
      </w:r>
    </w:p>
    <w:p w14:paraId="755EF38F" w14:textId="13573D2A" w:rsidR="00663E9F" w:rsidRPr="002F17D0" w:rsidRDefault="002C46DA" w:rsidP="00663E9F">
      <w:pPr>
        <w:numPr>
          <w:ilvl w:val="1"/>
          <w:numId w:val="1"/>
        </w:numPr>
        <w:tabs>
          <w:tab w:val="left" w:pos="900"/>
        </w:tabs>
        <w:autoSpaceDE w:val="0"/>
        <w:adjustRightInd w:val="0"/>
        <w:spacing w:after="120"/>
        <w:jc w:val="both"/>
        <w:textAlignment w:val="auto"/>
        <w:rPr>
          <w:lang w:bidi="lt-LT"/>
        </w:rPr>
      </w:pPr>
      <w:r w:rsidRPr="002F17D0">
        <w:t>Nors ieškovė kasaciniu skundu ir prašo jos ieškinį tenkinti vis</w:t>
      </w:r>
      <w:r w:rsidR="006468E3" w:rsidRPr="002F17D0">
        <w:t>iškai</w:t>
      </w:r>
      <w:r w:rsidRPr="002F17D0">
        <w:t>, b</w:t>
      </w:r>
      <w:r w:rsidR="00663E9F" w:rsidRPr="002F17D0">
        <w:t xml:space="preserve">ylos nagrinėjimo Lietuvos Aukščiausiajame Teisme ribas sudaro tik </w:t>
      </w:r>
      <w:r w:rsidR="006468E3" w:rsidRPr="002F17D0">
        <w:t>pirmosios ir apeliacinės</w:t>
      </w:r>
      <w:r w:rsidR="0061719A" w:rsidRPr="002F17D0">
        <w:t xml:space="preserve"> instancijos </w:t>
      </w:r>
      <w:r w:rsidR="00663E9F" w:rsidRPr="002F17D0">
        <w:t>teismų</w:t>
      </w:r>
      <w:r w:rsidR="00663E9F" w:rsidRPr="002F17D0">
        <w:rPr>
          <w:lang w:bidi="lt-LT"/>
        </w:rPr>
        <w:t xml:space="preserve"> </w:t>
      </w:r>
      <w:r w:rsidR="00663E9F" w:rsidRPr="002F17D0">
        <w:t>procesinių sprendimų dėl ieškov</w:t>
      </w:r>
      <w:r w:rsidRPr="002F17D0">
        <w:t>ės</w:t>
      </w:r>
      <w:r w:rsidR="00663E9F" w:rsidRPr="002F17D0">
        <w:t xml:space="preserve"> ieškinio reikalavimo </w:t>
      </w:r>
      <w:r w:rsidR="006468E3" w:rsidRPr="002F17D0">
        <w:t>priteisti</w:t>
      </w:r>
      <w:r w:rsidR="00663E9F" w:rsidRPr="002F17D0">
        <w:t xml:space="preserve"> skol</w:t>
      </w:r>
      <w:r w:rsidR="006468E3" w:rsidRPr="002F17D0">
        <w:t>ą</w:t>
      </w:r>
      <w:r w:rsidR="00663E9F" w:rsidRPr="002F17D0">
        <w:t xml:space="preserve"> p</w:t>
      </w:r>
      <w:r w:rsidR="006468E3" w:rsidRPr="002F17D0">
        <w:t>atikra</w:t>
      </w:r>
      <w:r w:rsidRPr="002F17D0">
        <w:t>, kadangi argumentų dėl kitų reikalavimų pagrįstumo kasaciniame skunde nėra. Be to, ieškovė siekia, kad kasacinis te</w:t>
      </w:r>
      <w:r w:rsidR="0061719A" w:rsidRPr="002F17D0">
        <w:t>is</w:t>
      </w:r>
      <w:r w:rsidRPr="002F17D0">
        <w:t>mas vertintų du byloje nesančius (procesine prasme neegzistuojančius) įrodymus – Vilniaus apygardos administracinio teismo 2023 m. lapkričio 22 d. sprendimą administracinėje byloje Nr. eI2-1101-566/2023 ir jau po apeliacinės instancijos teismo nutarties priimtą Regionų administracinio teismo 2024 m. sausio 23 d. sprendimą administracinėje byloje Nr. eI2-744-566/2024. Toks</w:t>
      </w:r>
      <w:r w:rsidR="00663E9F" w:rsidRPr="002F17D0">
        <w:t xml:space="preserve"> ieškovės siekis yra nepagrįstas.</w:t>
      </w:r>
    </w:p>
    <w:p w14:paraId="0E4FFD64" w14:textId="5E3F7DF9" w:rsidR="00663E9F" w:rsidRPr="002F17D0" w:rsidRDefault="00663E9F" w:rsidP="00663E9F">
      <w:pPr>
        <w:numPr>
          <w:ilvl w:val="1"/>
          <w:numId w:val="1"/>
        </w:numPr>
        <w:tabs>
          <w:tab w:val="left" w:pos="900"/>
        </w:tabs>
        <w:autoSpaceDE w:val="0"/>
        <w:adjustRightInd w:val="0"/>
        <w:spacing w:after="120"/>
        <w:jc w:val="both"/>
        <w:textAlignment w:val="auto"/>
      </w:pPr>
      <w:r w:rsidRPr="002F17D0">
        <w:t xml:space="preserve">Kasaciniu skundu ieškovė nepaneigia (ir net nebando paneigti) bylą nagrinėjusių teismų sprendimų išvadų dėl </w:t>
      </w:r>
      <w:bookmarkStart w:id="42" w:name="_Hlk168994595"/>
      <w:r w:rsidRPr="002F17D0">
        <w:t xml:space="preserve">Sutarties vykdymo sustabdymo teisėtumo. Sutarties vykdymo sustabdymas buvo teisėtas atsakovės veikimo modelis, </w:t>
      </w:r>
      <w:r w:rsidR="006468E3" w:rsidRPr="002F17D0">
        <w:t>t</w:t>
      </w:r>
      <w:r w:rsidRPr="002F17D0">
        <w:t>ą patvirtino tiek pirmosios, tiek apeliacinės instancijos teismas.</w:t>
      </w:r>
      <w:r w:rsidR="001F64EF" w:rsidRPr="002F17D0">
        <w:t xml:space="preserve"> Ieškovės elektrinėje pagaminama (bent jau anksčiau gaminta) elektra neabejotinai yra ieškovės turtas ir atitinka ekonominių išteklių sąvoką. Kadangi visi ieškovės ekonominiai ištekliai turi būti įšaldyti, akivaizdu, kad ieškovė nuo sankcijų įsigaliojimo negali patiekti, o atsakovė negali priimti sankcionuoto asmens gaminamos elektros energijos (turto).</w:t>
      </w:r>
      <w:r w:rsidR="00414378" w:rsidRPr="002F17D0">
        <w:t xml:space="preserve"> Toks teisėtas atsakovės veiksmas negali būti laikomas sutarties pažeidimu.</w:t>
      </w:r>
    </w:p>
    <w:p w14:paraId="1C2E1B32" w14:textId="473176BC" w:rsidR="00663E9F" w:rsidRPr="002F17D0" w:rsidRDefault="00663E9F" w:rsidP="00663E9F">
      <w:pPr>
        <w:numPr>
          <w:ilvl w:val="1"/>
          <w:numId w:val="1"/>
        </w:numPr>
        <w:tabs>
          <w:tab w:val="left" w:pos="900"/>
        </w:tabs>
        <w:autoSpaceDE w:val="0"/>
        <w:adjustRightInd w:val="0"/>
        <w:spacing w:after="120"/>
        <w:jc w:val="both"/>
        <w:textAlignment w:val="auto"/>
      </w:pPr>
      <w:r w:rsidRPr="002F17D0">
        <w:t xml:space="preserve">Kasaciniu skundu ieškovė nepaneigia (ir net nebando paneigti) bylą nagrinėjusių teismų sprendimų išvadų dėl ieškovės reikalavimų priteisti baudą, delspinigius ir procesines palūkanas atmetimo. </w:t>
      </w:r>
      <w:bookmarkEnd w:id="42"/>
      <w:r w:rsidRPr="002F17D0">
        <w:t>Šiuo aspektu kasaciniame skunde nėra jokių argumentų, o sąžiningai sankcijų besilaikiusiai ir besilaikančiai atsakovei jokia atsakomybė negali kilti.</w:t>
      </w:r>
      <w:r w:rsidR="00414378" w:rsidRPr="002F17D0">
        <w:t xml:space="preserve"> Be to, bauda yra civilinės atsakomybės forma, tačiau nėra įrodytų atsakovės atsakomybės sąlygų</w:t>
      </w:r>
      <w:r w:rsidR="006468E3" w:rsidRPr="002F17D0">
        <w:t xml:space="preserve"> –</w:t>
      </w:r>
      <w:r w:rsidR="00414378" w:rsidRPr="002F17D0">
        <w:t xml:space="preserve"> neteisėtų veiksmų ir kaltės.</w:t>
      </w:r>
    </w:p>
    <w:p w14:paraId="30BC9E80" w14:textId="66623FE1" w:rsidR="00CC0568" w:rsidRPr="002F17D0" w:rsidRDefault="00663E9F" w:rsidP="00F91229">
      <w:pPr>
        <w:numPr>
          <w:ilvl w:val="1"/>
          <w:numId w:val="1"/>
        </w:numPr>
        <w:tabs>
          <w:tab w:val="left" w:pos="900"/>
        </w:tabs>
        <w:autoSpaceDE w:val="0"/>
        <w:adjustRightInd w:val="0"/>
        <w:spacing w:after="120"/>
        <w:jc w:val="both"/>
        <w:textAlignment w:val="auto"/>
      </w:pPr>
      <w:r w:rsidRPr="002F17D0">
        <w:t xml:space="preserve">Kasacinio skundo argumentai dėl apeliacinės instancijos teismo išvadų dėl reikalavimo </w:t>
      </w:r>
      <w:r w:rsidR="00156C60" w:rsidRPr="002F17D0">
        <w:t>priteisti skolą</w:t>
      </w:r>
      <w:r w:rsidRPr="002F17D0">
        <w:t xml:space="preserve"> yra nepagrįsti. Tiek Lietuvos, tiek Europos Sąjungos teismų praktika ir reguliavimas pagrindžia, kad sankcijų galiojimo laikotarpiu jokie sankcionuotų asmenų (</w:t>
      </w:r>
      <w:r w:rsidR="006468E3" w:rsidRPr="002F17D0">
        <w:t>toks sankcionuotas asmuo</w:t>
      </w:r>
      <w:r w:rsidRPr="002F17D0">
        <w:t xml:space="preserve"> yra ieškovė) reikalavimai negali būti tenkinami. </w:t>
      </w:r>
      <w:r w:rsidR="00414378" w:rsidRPr="002F17D0">
        <w:t xml:space="preserve">Kasacinio teismo praktika dėl sankcionuotų asmenų reikalavimų </w:t>
      </w:r>
      <w:r w:rsidR="006468E3" w:rsidRPr="002F17D0">
        <w:t>priteisti</w:t>
      </w:r>
      <w:r w:rsidR="00414378" w:rsidRPr="002F17D0">
        <w:t xml:space="preserve"> skol</w:t>
      </w:r>
      <w:r w:rsidR="006468E3" w:rsidRPr="002F17D0">
        <w:t>ą</w:t>
      </w:r>
      <w:r w:rsidR="00414378" w:rsidRPr="002F17D0">
        <w:t xml:space="preserve"> nepagrįstumo jau yra suformuota (Lietuvos Aukščiausiojo Teismo 2023</w:t>
      </w:r>
      <w:r w:rsidR="00F91229" w:rsidRPr="002F17D0">
        <w:t xml:space="preserve"> m. rugsėjo 27 d.</w:t>
      </w:r>
      <w:r w:rsidR="00414378" w:rsidRPr="002F17D0">
        <w:t xml:space="preserve"> nutarti</w:t>
      </w:r>
      <w:r w:rsidR="00F91229" w:rsidRPr="002F17D0">
        <w:t>s</w:t>
      </w:r>
      <w:r w:rsidR="00414378" w:rsidRPr="002F17D0">
        <w:t xml:space="preserve"> civilinėje byloje Nr. e3K-3-233-916/2023</w:t>
      </w:r>
      <w:r w:rsidR="00F91229" w:rsidRPr="002F17D0">
        <w:t xml:space="preserve">) </w:t>
      </w:r>
      <w:r w:rsidR="00414378" w:rsidRPr="002F17D0">
        <w:t>ir joje aiškiai nurodoma, kad jokie mokėjimai sankcijų įgyvendinimo laikotarpiu sankcionuotiems asmenims nėra atliekami.</w:t>
      </w:r>
      <w:r w:rsidR="00F91229" w:rsidRPr="002F17D0">
        <w:t xml:space="preserve"> </w:t>
      </w:r>
    </w:p>
    <w:p w14:paraId="526589B4" w14:textId="62399878" w:rsidR="002C46DA" w:rsidRPr="002F17D0" w:rsidRDefault="00F91229" w:rsidP="00F91229">
      <w:pPr>
        <w:numPr>
          <w:ilvl w:val="1"/>
          <w:numId w:val="1"/>
        </w:numPr>
        <w:tabs>
          <w:tab w:val="left" w:pos="900"/>
        </w:tabs>
        <w:autoSpaceDE w:val="0"/>
        <w:adjustRightInd w:val="0"/>
        <w:spacing w:after="120"/>
        <w:jc w:val="both"/>
        <w:textAlignment w:val="auto"/>
      </w:pPr>
      <w:r w:rsidRPr="002F17D0">
        <w:t>Lėšų įšaldymas apima ir pareigą netenkinti jokių subjekto, kurio atžvilgiu įgyvendinamos tarptautinės sankcijos, piniginių reikalavimų. Todėl apeliacinės instancijos teismo nutartyje tarptautinių sankcijų reikšmė ir pasekmės sutartiniams santykiams išaiškinti kaip tik taip, kaip nu</w:t>
      </w:r>
      <w:r w:rsidR="006468E3" w:rsidRPr="002F17D0">
        <w:t>st</w:t>
      </w:r>
      <w:r w:rsidRPr="002F17D0">
        <w:t>ato aktualūs teisės šaltiniai – skolos reikalavimas atmestas pagrįstai. Ieškovė nepaneigė apeliacinės instancijos teismo nutarties išvadų, kad visos ginčo PVM sąskaitos faktūros yra išrašytos po sankcijų taikymo, todėl jokios sankcijų išimtys negali būti taikomos. Ieškovės nurodoma tarptautinių sankcijų išimtis dėl teismo sprendimų vykdymo taip pat nėra aktuali, kadangi šioje byloje nėra nagrinėjamas ginčas dėl teismo sprendimo vykdymo.</w:t>
      </w:r>
    </w:p>
    <w:p w14:paraId="1B188EE5" w14:textId="569B1C7E" w:rsidR="00CC0568" w:rsidRPr="002F17D0" w:rsidRDefault="00CC0568" w:rsidP="00F91229">
      <w:pPr>
        <w:numPr>
          <w:ilvl w:val="1"/>
          <w:numId w:val="1"/>
        </w:numPr>
        <w:tabs>
          <w:tab w:val="left" w:pos="900"/>
        </w:tabs>
        <w:autoSpaceDE w:val="0"/>
        <w:adjustRightInd w:val="0"/>
        <w:spacing w:after="120"/>
        <w:jc w:val="both"/>
        <w:textAlignment w:val="auto"/>
      </w:pPr>
      <w:r w:rsidRPr="002F17D0">
        <w:lastRenderedPageBreak/>
        <w:t>Ieškovės teiginiai</w:t>
      </w:r>
      <w:r w:rsidR="00993C5D" w:rsidRPr="002F17D0">
        <w:t>,</w:t>
      </w:r>
      <w:r w:rsidRPr="002F17D0">
        <w:t xml:space="preserve"> neva pirmosios instancijos teismo sprendimas ir apeliacinės instancijos teismo nutartis reiškia nuosavybės nusavinimą</w:t>
      </w:r>
      <w:r w:rsidR="00993C5D" w:rsidRPr="002F17D0">
        <w:t>,</w:t>
      </w:r>
      <w:r w:rsidRPr="002F17D0">
        <w:t xml:space="preserve"> yra nepagrįsti</w:t>
      </w:r>
      <w:r w:rsidR="006468E3" w:rsidRPr="002F17D0">
        <w:t>:</w:t>
      </w:r>
      <w:r w:rsidRPr="002F17D0">
        <w:t xml:space="preserve"> teismai padarė aiškią išvadą, kad ieškovė, jei ateityje nebebus sankcionuota, turės teisę kreiptis į teismą dėl skolos priteisimo nauju pagrindu.</w:t>
      </w:r>
    </w:p>
    <w:p w14:paraId="5C18A3AC" w14:textId="1497300D" w:rsidR="00663E9F" w:rsidRPr="002F17D0" w:rsidRDefault="00663E9F" w:rsidP="002C46DA">
      <w:pPr>
        <w:numPr>
          <w:ilvl w:val="1"/>
          <w:numId w:val="1"/>
        </w:numPr>
        <w:tabs>
          <w:tab w:val="left" w:pos="900"/>
        </w:tabs>
        <w:autoSpaceDE w:val="0"/>
        <w:adjustRightInd w:val="0"/>
        <w:spacing w:after="120"/>
        <w:jc w:val="both"/>
        <w:textAlignment w:val="auto"/>
      </w:pPr>
      <w:r w:rsidRPr="002F17D0">
        <w:t>Apeliacinės instancijos teismas tinkamai taikė įrodinėjimą ir įrodymų vertinimą</w:t>
      </w:r>
      <w:r w:rsidR="002C46DA" w:rsidRPr="002F17D0">
        <w:t xml:space="preserve"> </w:t>
      </w:r>
      <w:r w:rsidRPr="002F17D0">
        <w:t>reglamentuojančias CPK normas. Turėdama pareigą įrodyti, kad nėra sankcionuota,</w:t>
      </w:r>
      <w:r w:rsidR="002C46DA" w:rsidRPr="002F17D0">
        <w:t xml:space="preserve"> i</w:t>
      </w:r>
      <w:r w:rsidRPr="002F17D0">
        <w:t>eškov</w:t>
      </w:r>
      <w:r w:rsidR="002C46DA" w:rsidRPr="002F17D0">
        <w:t>ė</w:t>
      </w:r>
      <w:r w:rsidRPr="002F17D0">
        <w:t xml:space="preserve"> to nepadarė. Todėl teismai teisėtai </w:t>
      </w:r>
      <w:r w:rsidR="006468E3" w:rsidRPr="002F17D0">
        <w:t>nu</w:t>
      </w:r>
      <w:r w:rsidRPr="002F17D0">
        <w:t xml:space="preserve">sprendė, kad </w:t>
      </w:r>
      <w:r w:rsidR="002C46DA" w:rsidRPr="002F17D0">
        <w:t>i</w:t>
      </w:r>
      <w:r w:rsidRPr="002F17D0">
        <w:t>eškov</w:t>
      </w:r>
      <w:r w:rsidR="002C46DA" w:rsidRPr="002F17D0">
        <w:t>ė</w:t>
      </w:r>
      <w:r w:rsidRPr="002F17D0">
        <w:t xml:space="preserve"> yra sankcionuota.</w:t>
      </w:r>
      <w:r w:rsidR="002C46DA" w:rsidRPr="002F17D0">
        <w:t xml:space="preserve"> </w:t>
      </w:r>
      <w:r w:rsidRPr="002F17D0">
        <w:t>Atsakov</w:t>
      </w:r>
      <w:r w:rsidR="002C46DA" w:rsidRPr="002F17D0">
        <w:t>ė</w:t>
      </w:r>
      <w:r w:rsidRPr="002F17D0">
        <w:t xml:space="preserve"> negalėjo nesivadovauti įrodymais, kuriuos pateikė į bylą (vieša FNTT</w:t>
      </w:r>
      <w:r w:rsidR="002C46DA" w:rsidRPr="002F17D0">
        <w:t xml:space="preserve"> </w:t>
      </w:r>
      <w:r w:rsidRPr="002F17D0">
        <w:t xml:space="preserve">informacija, kita vieša informacija, specializuotų duomenų bazių </w:t>
      </w:r>
      <w:r w:rsidR="00825B7F" w:rsidRPr="002F17D0">
        <w:t xml:space="preserve">duomenimis </w:t>
      </w:r>
      <w:r w:rsidRPr="002F17D0">
        <w:t>ir kt.), kurie</w:t>
      </w:r>
      <w:r w:rsidR="002C46DA" w:rsidRPr="002F17D0">
        <w:t xml:space="preserve"> </w:t>
      </w:r>
      <w:r w:rsidRPr="002F17D0">
        <w:t>pagrindė poreikį stabdyti sutartinių įsipareigojimų vykdymą</w:t>
      </w:r>
      <w:r w:rsidR="00CC0568" w:rsidRPr="002F17D0">
        <w:t xml:space="preserve">, </w:t>
      </w:r>
      <w:r w:rsidR="006468E3" w:rsidRPr="002F17D0">
        <w:t>o</w:t>
      </w:r>
      <w:r w:rsidR="00CC0568" w:rsidRPr="002F17D0">
        <w:t xml:space="preserve"> ieškovės cituojamos nutartys administracinėse bylose šioje byloje nebuvo tirtos. Be to, darydamas išvadas dėl ieškovės statuso</w:t>
      </w:r>
      <w:r w:rsidR="00825B7F" w:rsidRPr="002F17D0">
        <w:t>,</w:t>
      </w:r>
      <w:r w:rsidR="00CC0568" w:rsidRPr="002F17D0">
        <w:t xml:space="preserve"> apeliacinės instancijos teismas vertino ne vien FNTT pateiktą informaciją, bet visus byloje esančius įrodymus ir motyvus.</w:t>
      </w:r>
    </w:p>
    <w:p w14:paraId="6F94FD27" w14:textId="38FB087D" w:rsidR="00CC0568" w:rsidRPr="002F17D0" w:rsidRDefault="00CC0568" w:rsidP="00CC0568">
      <w:pPr>
        <w:numPr>
          <w:ilvl w:val="1"/>
          <w:numId w:val="1"/>
        </w:numPr>
        <w:tabs>
          <w:tab w:val="left" w:pos="900"/>
        </w:tabs>
        <w:autoSpaceDE w:val="0"/>
        <w:adjustRightInd w:val="0"/>
        <w:spacing w:after="120"/>
        <w:jc w:val="both"/>
        <w:textAlignment w:val="auto"/>
      </w:pPr>
      <w:r w:rsidRPr="002F17D0">
        <w:t>Ieškovė kasaciniame skunde dėl n</w:t>
      </w:r>
      <w:r w:rsidR="006468E3" w:rsidRPr="002F17D0">
        <w:t>ė</w:t>
      </w:r>
      <w:r w:rsidRPr="002F17D0">
        <w:t xml:space="preserve"> vieno iš apeliacinės instancijos teismo nutartyje </w:t>
      </w:r>
      <w:r w:rsidRPr="002F17D0">
        <w:rPr>
          <w:i/>
          <w:iCs/>
        </w:rPr>
        <w:t>expressis verbis</w:t>
      </w:r>
      <w:r w:rsidRPr="002F17D0">
        <w:t xml:space="preserve"> </w:t>
      </w:r>
      <w:r w:rsidR="006468E3" w:rsidRPr="002F17D0">
        <w:t xml:space="preserve">(aiškiais žodžiais) </w:t>
      </w:r>
      <w:r w:rsidRPr="002F17D0">
        <w:t>nurodytų ar kitų atsakovės pateiktų įrodymų vertinimų nepasisako, šių įrodymų vertinimo kritikos nepateikia, nenurodo, kaip vertinant byloje esančius įrodymus būtų galima padaryti priešingą išvadą.</w:t>
      </w:r>
    </w:p>
    <w:p w14:paraId="1B631A2C" w14:textId="118170F7" w:rsidR="00CC0568" w:rsidRPr="002F17D0" w:rsidRDefault="00CC0568" w:rsidP="00CC0568">
      <w:pPr>
        <w:numPr>
          <w:ilvl w:val="1"/>
          <w:numId w:val="1"/>
        </w:numPr>
        <w:tabs>
          <w:tab w:val="left" w:pos="900"/>
        </w:tabs>
        <w:autoSpaceDE w:val="0"/>
        <w:adjustRightInd w:val="0"/>
        <w:spacing w:after="120"/>
        <w:jc w:val="both"/>
        <w:textAlignment w:val="auto"/>
      </w:pPr>
      <w:r w:rsidRPr="002F17D0">
        <w:t>Atsakovės veiksmai dėl Sutarties sustabdymo turi būti vertinami retrospektyviai, pagal tuo metu buvusią situaciją, o ne pagal vėliau (po Sutarties vykdymo sustabdymo ir netgi po pirmosios instancijos teismo sprendimo priėmimo) įvykusius faktus. Atsakovė, vykdydama įstatym</w:t>
      </w:r>
      <w:r w:rsidR="006468E3" w:rsidRPr="002F17D0">
        <w:t>e įtvirtintas</w:t>
      </w:r>
      <w:r w:rsidRPr="002F17D0">
        <w:t xml:space="preserve"> pareigas, ieškovei nepateikus įrodymų, kad ji nėra kontroliuojama sankcionuotų asmenų, pagal tuometinę informaciją, patvirtintą FNTT, sustabdė Sutarties vykdymą.</w:t>
      </w:r>
    </w:p>
    <w:p w14:paraId="7221027F" w14:textId="2DD76722" w:rsidR="00B47C94" w:rsidRPr="002F17D0" w:rsidRDefault="00B47C94" w:rsidP="00B47C94">
      <w:pPr>
        <w:numPr>
          <w:ilvl w:val="1"/>
          <w:numId w:val="1"/>
        </w:numPr>
        <w:tabs>
          <w:tab w:val="left" w:pos="900"/>
          <w:tab w:val="left" w:pos="990"/>
          <w:tab w:val="left" w:pos="1080"/>
          <w:tab w:val="left" w:pos="1170"/>
        </w:tabs>
        <w:autoSpaceDE w:val="0"/>
        <w:adjustRightInd w:val="0"/>
        <w:spacing w:after="120"/>
        <w:jc w:val="both"/>
        <w:textAlignment w:val="auto"/>
      </w:pPr>
      <w:r w:rsidRPr="002F17D0">
        <w:t>Iš atsakovės (nesankcionuoto asmens) negali būti reikalaujama neginčijamais įrodymais įrodyti, kad įrodymus slepianti, nebendradarbiaujanti, didžiulę korporatyvinę schemą turinti, prieštaringus duomenis teikianti ieškovė tikrai yra kontroliuojama Rusijos Federacijos prezidento V</w:t>
      </w:r>
      <w:r w:rsidR="006468E3" w:rsidRPr="002F17D0">
        <w:t>.</w:t>
      </w:r>
      <w:r w:rsidRPr="002F17D0">
        <w:t xml:space="preserve"> Putino.</w:t>
      </w:r>
    </w:p>
    <w:p w14:paraId="61883CD1" w14:textId="3B9C4E0E" w:rsidR="00B47C94" w:rsidRPr="002F17D0" w:rsidRDefault="00663E9F" w:rsidP="00B47C94">
      <w:pPr>
        <w:numPr>
          <w:ilvl w:val="1"/>
          <w:numId w:val="1"/>
        </w:numPr>
        <w:tabs>
          <w:tab w:val="left" w:pos="900"/>
          <w:tab w:val="left" w:pos="990"/>
          <w:tab w:val="left" w:pos="1080"/>
          <w:tab w:val="left" w:pos="1170"/>
        </w:tabs>
        <w:autoSpaceDE w:val="0"/>
        <w:adjustRightInd w:val="0"/>
        <w:spacing w:after="120"/>
        <w:jc w:val="both"/>
        <w:textAlignment w:val="auto"/>
      </w:pPr>
      <w:r w:rsidRPr="002F17D0">
        <w:t>Apeliacinės instancijos teismo nutartyje nėra remiamasi jokiais prejudiciniais faktais, tačiau</w:t>
      </w:r>
      <w:r w:rsidR="002C46DA" w:rsidRPr="002F17D0">
        <w:t xml:space="preserve"> </w:t>
      </w:r>
      <w:r w:rsidRPr="002F17D0">
        <w:t>tai nebuvo kliūtis remtis įsiteisėjusia teismo nutartimi kaip įrodymu. Lietuvos apeliacinio</w:t>
      </w:r>
      <w:r w:rsidR="002C46DA" w:rsidRPr="002F17D0">
        <w:t xml:space="preserve"> </w:t>
      </w:r>
      <w:r w:rsidRPr="002F17D0">
        <w:t>teismo 2023</w:t>
      </w:r>
      <w:r w:rsidR="002C46DA" w:rsidRPr="002F17D0">
        <w:t xml:space="preserve"> m. balandžio 18 d.</w:t>
      </w:r>
      <w:r w:rsidRPr="002F17D0">
        <w:t xml:space="preserve"> nutartis civilinėje byloje Nr. e2-416-516/2023 (vieša), kurioje</w:t>
      </w:r>
      <w:r w:rsidR="002C46DA" w:rsidRPr="002F17D0">
        <w:t xml:space="preserve"> </w:t>
      </w:r>
      <w:r w:rsidRPr="002F17D0">
        <w:t xml:space="preserve">konstatuota, kad </w:t>
      </w:r>
      <w:r w:rsidR="002C46DA" w:rsidRPr="002F17D0">
        <w:t>i</w:t>
      </w:r>
      <w:r w:rsidRPr="002F17D0">
        <w:t>eškov</w:t>
      </w:r>
      <w:r w:rsidR="002C46DA" w:rsidRPr="002F17D0">
        <w:t>ės</w:t>
      </w:r>
      <w:r w:rsidRPr="002F17D0">
        <w:t xml:space="preserve"> kontrolės grandinėje esanti Rusijos įmonė </w:t>
      </w:r>
      <w:r w:rsidR="006468E3" w:rsidRPr="002F17D0">
        <w:t>„</w:t>
      </w:r>
      <w:r w:rsidRPr="002F17D0">
        <w:t>I</w:t>
      </w:r>
      <w:r w:rsidR="006468E3" w:rsidRPr="002F17D0">
        <w:t>nter</w:t>
      </w:r>
      <w:r w:rsidRPr="002F17D0">
        <w:t xml:space="preserve"> RAO UES</w:t>
      </w:r>
      <w:r w:rsidR="006468E3" w:rsidRPr="002F17D0">
        <w:t>“</w:t>
      </w:r>
      <w:r w:rsidRPr="002F17D0">
        <w:t xml:space="preserve"> yra</w:t>
      </w:r>
      <w:r w:rsidR="002C46DA" w:rsidRPr="002F17D0">
        <w:t xml:space="preserve"> </w:t>
      </w:r>
      <w:r w:rsidRPr="002F17D0">
        <w:t xml:space="preserve">sankcionuota, yra bylos nagrinėjimo </w:t>
      </w:r>
      <w:r w:rsidR="002C46DA" w:rsidRPr="002F17D0">
        <w:t>p</w:t>
      </w:r>
      <w:r w:rsidRPr="002F17D0">
        <w:t>irmosios instancijos teisme metu ištirtas rašytinis</w:t>
      </w:r>
      <w:r w:rsidR="002C46DA" w:rsidRPr="002F17D0">
        <w:t xml:space="preserve"> </w:t>
      </w:r>
      <w:r w:rsidRPr="002F17D0">
        <w:t xml:space="preserve">įrodymas, dėl kurio pasisakė ir </w:t>
      </w:r>
      <w:r w:rsidR="002C46DA" w:rsidRPr="002F17D0">
        <w:t>i</w:t>
      </w:r>
      <w:r w:rsidRPr="002F17D0">
        <w:t>eškov</w:t>
      </w:r>
      <w:r w:rsidR="002C46DA" w:rsidRPr="002F17D0">
        <w:t>ė</w:t>
      </w:r>
      <w:r w:rsidR="00CC0568" w:rsidRPr="002F17D0">
        <w:t>.</w:t>
      </w:r>
    </w:p>
    <w:p w14:paraId="15B2FBD4" w14:textId="766B4C98" w:rsidR="00B47C94" w:rsidRPr="002F17D0" w:rsidRDefault="00663E9F" w:rsidP="00B47C94">
      <w:pPr>
        <w:numPr>
          <w:ilvl w:val="1"/>
          <w:numId w:val="1"/>
        </w:numPr>
        <w:tabs>
          <w:tab w:val="left" w:pos="900"/>
          <w:tab w:val="left" w:pos="990"/>
          <w:tab w:val="left" w:pos="1080"/>
          <w:tab w:val="left" w:pos="1170"/>
        </w:tabs>
        <w:autoSpaceDE w:val="0"/>
        <w:adjustRightInd w:val="0"/>
        <w:spacing w:after="120"/>
        <w:jc w:val="both"/>
        <w:textAlignment w:val="auto"/>
      </w:pPr>
      <w:r w:rsidRPr="002F17D0">
        <w:t>Apeliacinės instancijos teismas pagrįstai išnagrinėjo bylą jos nesustabdęs. Atsakov</w:t>
      </w:r>
      <w:r w:rsidR="002C46DA" w:rsidRPr="002F17D0">
        <w:t xml:space="preserve">ės </w:t>
      </w:r>
      <w:r w:rsidRPr="002F17D0">
        <w:t xml:space="preserve">veiksmų teisėtumo vertinimas </w:t>
      </w:r>
      <w:r w:rsidR="002C46DA" w:rsidRPr="002F17D0">
        <w:t>i</w:t>
      </w:r>
      <w:r w:rsidRPr="002F17D0">
        <w:t>eškov</w:t>
      </w:r>
      <w:r w:rsidR="002C46DA" w:rsidRPr="002F17D0">
        <w:t>ės</w:t>
      </w:r>
      <w:r w:rsidRPr="002F17D0">
        <w:t xml:space="preserve"> atžvilgiu ir FNTT veiksmų teisėtumo vertinimas</w:t>
      </w:r>
      <w:r w:rsidR="002C46DA" w:rsidRPr="002F17D0">
        <w:t xml:space="preserve"> i</w:t>
      </w:r>
      <w:r w:rsidRPr="002F17D0">
        <w:t>eškov</w:t>
      </w:r>
      <w:r w:rsidR="002C46DA" w:rsidRPr="002F17D0">
        <w:t>ės</w:t>
      </w:r>
      <w:r w:rsidRPr="002F17D0">
        <w:t xml:space="preserve"> atžvilgiu yra skirtingi ir vienas su kitu nesusiję klausimai. Jei FNTT veiksmai ateityje</w:t>
      </w:r>
      <w:r w:rsidR="002C46DA" w:rsidRPr="002F17D0">
        <w:t xml:space="preserve"> </w:t>
      </w:r>
      <w:r w:rsidRPr="002F17D0">
        <w:t xml:space="preserve">ir būtų pripažinti neteisėtais, tai neturi jokios įtakos spręsti, kad </w:t>
      </w:r>
      <w:r w:rsidR="002C46DA" w:rsidRPr="002F17D0">
        <w:t>a</w:t>
      </w:r>
      <w:r w:rsidRPr="002F17D0">
        <w:t>tsakov</w:t>
      </w:r>
      <w:r w:rsidR="002C46DA" w:rsidRPr="002F17D0">
        <w:t>ė</w:t>
      </w:r>
      <w:r w:rsidRPr="002F17D0">
        <w:t xml:space="preserve"> prieš 2</w:t>
      </w:r>
      <w:r w:rsidR="006468E3" w:rsidRPr="002F17D0">
        <w:t> </w:t>
      </w:r>
      <w:r w:rsidRPr="002F17D0">
        <w:t>metus,</w:t>
      </w:r>
      <w:r w:rsidR="002C46DA" w:rsidRPr="002F17D0">
        <w:t xml:space="preserve"> </w:t>
      </w:r>
      <w:r w:rsidRPr="002F17D0">
        <w:t>2022 m., vadovaudamasi FNTT veiksmais ir paskelbta informacija, elgėsi netinkamai</w:t>
      </w:r>
      <w:r w:rsidR="002C46DA" w:rsidRPr="002F17D0">
        <w:t xml:space="preserve"> </w:t>
      </w:r>
      <w:r w:rsidRPr="002F17D0">
        <w:t>(neteisėtai).</w:t>
      </w:r>
    </w:p>
    <w:p w14:paraId="74E94B3A" w14:textId="50340A09" w:rsidR="00B47C94" w:rsidRPr="002F17D0" w:rsidRDefault="00B47C94" w:rsidP="00B47C94">
      <w:pPr>
        <w:numPr>
          <w:ilvl w:val="1"/>
          <w:numId w:val="1"/>
        </w:numPr>
        <w:tabs>
          <w:tab w:val="left" w:pos="900"/>
          <w:tab w:val="left" w:pos="990"/>
          <w:tab w:val="left" w:pos="1080"/>
          <w:tab w:val="left" w:pos="1170"/>
        </w:tabs>
        <w:autoSpaceDE w:val="0"/>
        <w:adjustRightInd w:val="0"/>
        <w:spacing w:after="120"/>
        <w:jc w:val="both"/>
        <w:textAlignment w:val="auto"/>
      </w:pPr>
      <w:r w:rsidRPr="002F17D0">
        <w:t>Ieškovės prašymas kreiptis į Europos Sąjungos Teisingumo Teismą yra nepagrįstas. Minėtas teismas jau yra nagrinėjęs tarptautinių sankcijų įgyvendinimo klausimus. Nacionalinio teismo kreipimuisi į ESTT dėl prejudicinio sprendimo priėmimo turi egzistuoti šių sąlygų visetas: (1) klausimas turi būti dėl Europos Sąjungos teisės išaiškinimo (t. y. ne dėl nacionalinės teisės ir ne dėl fakto klausimų); (2) atsakymas į klausimą turi būti būtinas byl</w:t>
      </w:r>
      <w:r w:rsidR="00405986" w:rsidRPr="002F17D0">
        <w:t>ai</w:t>
      </w:r>
      <w:r w:rsidRPr="002F17D0">
        <w:t xml:space="preserve"> nacionaliniame teisme išnagrinė</w:t>
      </w:r>
      <w:r w:rsidR="00405986" w:rsidRPr="002F17D0">
        <w:t>ti</w:t>
      </w:r>
      <w:r w:rsidRPr="002F17D0">
        <w:t>. Šių sąlygų ieškovė neįrodinėja, jos neegzistuoja. Be to, ieškovės formuluojami klausimai nėra aktualūs nagrinėjamoje byloje.</w:t>
      </w:r>
    </w:p>
    <w:p w14:paraId="09745FF6" w14:textId="77777777" w:rsidR="00466CCE" w:rsidRPr="002F17D0" w:rsidRDefault="00466CCE" w:rsidP="00466CCE">
      <w:pPr>
        <w:tabs>
          <w:tab w:val="left" w:pos="900"/>
          <w:tab w:val="left" w:pos="990"/>
          <w:tab w:val="left" w:pos="1080"/>
          <w:tab w:val="left" w:pos="1170"/>
        </w:tabs>
        <w:autoSpaceDE w:val="0"/>
        <w:adjustRightInd w:val="0"/>
        <w:spacing w:after="120"/>
        <w:ind w:left="792"/>
        <w:jc w:val="both"/>
        <w:textAlignment w:val="auto"/>
      </w:pPr>
    </w:p>
    <w:p w14:paraId="336F772D" w14:textId="77777777" w:rsidR="00AB235D" w:rsidRPr="002F17D0" w:rsidRDefault="00AB235D" w:rsidP="00AB235D">
      <w:pPr>
        <w:tabs>
          <w:tab w:val="left" w:pos="900"/>
          <w:tab w:val="left" w:pos="1080"/>
          <w:tab w:val="left" w:pos="1440"/>
        </w:tabs>
        <w:spacing w:after="120"/>
        <w:ind w:firstLine="720"/>
        <w:jc w:val="both"/>
      </w:pPr>
      <w:r w:rsidRPr="002F17D0">
        <w:lastRenderedPageBreak/>
        <w:t>Teisėjų kolegija</w:t>
      </w:r>
    </w:p>
    <w:p w14:paraId="563BCAB8" w14:textId="77777777" w:rsidR="00AB235D" w:rsidRPr="002F17D0" w:rsidRDefault="00AB235D" w:rsidP="00AB235D">
      <w:pPr>
        <w:tabs>
          <w:tab w:val="left" w:pos="900"/>
          <w:tab w:val="left" w:pos="1080"/>
          <w:tab w:val="left" w:pos="1440"/>
        </w:tabs>
        <w:spacing w:after="120"/>
        <w:ind w:left="792"/>
        <w:jc w:val="both"/>
      </w:pPr>
    </w:p>
    <w:p w14:paraId="4EDCD8B9" w14:textId="77777777" w:rsidR="00AB235D" w:rsidRPr="002F17D0" w:rsidRDefault="00AB235D" w:rsidP="00AB235D">
      <w:pPr>
        <w:tabs>
          <w:tab w:val="left" w:pos="900"/>
          <w:tab w:val="left" w:pos="1080"/>
          <w:tab w:val="left" w:pos="1440"/>
        </w:tabs>
        <w:spacing w:after="120"/>
        <w:jc w:val="both"/>
      </w:pPr>
      <w:r w:rsidRPr="002F17D0">
        <w:t>k o n s t a t u o j a :</w:t>
      </w:r>
    </w:p>
    <w:p w14:paraId="09730FEC" w14:textId="77777777" w:rsidR="00AB235D" w:rsidRPr="002F17D0" w:rsidRDefault="00AB235D" w:rsidP="00AB235D">
      <w:pPr>
        <w:tabs>
          <w:tab w:val="left" w:pos="900"/>
          <w:tab w:val="left" w:pos="1080"/>
          <w:tab w:val="left" w:pos="1440"/>
        </w:tabs>
        <w:spacing w:after="120"/>
        <w:ind w:left="792"/>
        <w:jc w:val="both"/>
      </w:pPr>
      <w:r w:rsidRPr="002F17D0">
        <w:tab/>
      </w:r>
    </w:p>
    <w:p w14:paraId="1E3674A1" w14:textId="77777777" w:rsidR="00AB235D" w:rsidRPr="002F17D0" w:rsidRDefault="00AB235D" w:rsidP="00AB235D">
      <w:pPr>
        <w:tabs>
          <w:tab w:val="left" w:pos="900"/>
          <w:tab w:val="left" w:pos="1080"/>
          <w:tab w:val="left" w:pos="1440"/>
        </w:tabs>
        <w:spacing w:after="120"/>
        <w:ind w:left="792"/>
        <w:jc w:val="center"/>
      </w:pPr>
      <w:r w:rsidRPr="002F17D0">
        <w:t>IV. Kasacinio teismo argumentai ir išaiškinimai</w:t>
      </w:r>
    </w:p>
    <w:p w14:paraId="1492F37C" w14:textId="77777777" w:rsidR="00AB235D" w:rsidRPr="002F17D0" w:rsidRDefault="00AB235D" w:rsidP="00AB235D">
      <w:pPr>
        <w:tabs>
          <w:tab w:val="left" w:pos="900"/>
          <w:tab w:val="left" w:pos="1080"/>
          <w:tab w:val="left" w:pos="1440"/>
        </w:tabs>
        <w:spacing w:after="120"/>
        <w:ind w:left="792"/>
        <w:jc w:val="center"/>
      </w:pPr>
    </w:p>
    <w:p w14:paraId="08825F73" w14:textId="18824BA7" w:rsidR="00AB235D" w:rsidRPr="002F17D0" w:rsidRDefault="00AB235D" w:rsidP="00421E0C">
      <w:pPr>
        <w:tabs>
          <w:tab w:val="left" w:pos="630"/>
          <w:tab w:val="left" w:pos="900"/>
          <w:tab w:val="left" w:pos="990"/>
        </w:tabs>
        <w:suppressAutoHyphens w:val="0"/>
        <w:autoSpaceDN/>
        <w:spacing w:after="120"/>
        <w:ind w:firstLine="720"/>
        <w:jc w:val="both"/>
        <w:textAlignment w:val="auto"/>
        <w:rPr>
          <w:rFonts w:eastAsia="Times New Roman"/>
          <w:bCs/>
          <w:i/>
          <w:color w:val="auto"/>
          <w:szCs w:val="24"/>
          <w:lang w:eastAsia="lt-LT" w:bidi="lt-LT"/>
        </w:rPr>
      </w:pPr>
      <w:r w:rsidRPr="002F17D0">
        <w:rPr>
          <w:rFonts w:eastAsia="Times New Roman"/>
          <w:bCs/>
          <w:i/>
          <w:color w:val="auto"/>
          <w:szCs w:val="24"/>
          <w:lang w:eastAsia="lt-LT" w:bidi="lt-LT"/>
        </w:rPr>
        <w:t xml:space="preserve">Dėl bylos nagrinėjimo kasacine tvarka ribų </w:t>
      </w:r>
      <w:r w:rsidR="00725418" w:rsidRPr="002F17D0">
        <w:rPr>
          <w:i/>
          <w:iCs/>
        </w:rPr>
        <w:t>ir kasacinio nagrinėjimo dalyko</w:t>
      </w:r>
    </w:p>
    <w:p w14:paraId="0BADFC97" w14:textId="77777777" w:rsidR="00AB235D" w:rsidRPr="002F17D0" w:rsidRDefault="00AB235D" w:rsidP="00AB235D">
      <w:pPr>
        <w:tabs>
          <w:tab w:val="left" w:pos="630"/>
          <w:tab w:val="left" w:pos="900"/>
          <w:tab w:val="left" w:pos="990"/>
        </w:tabs>
        <w:suppressAutoHyphens w:val="0"/>
        <w:autoSpaceDN/>
        <w:spacing w:after="120"/>
        <w:ind w:left="360" w:firstLine="706"/>
        <w:jc w:val="both"/>
        <w:textAlignment w:val="auto"/>
        <w:rPr>
          <w:rFonts w:eastAsia="Times New Roman"/>
          <w:bCs/>
          <w:i/>
          <w:color w:val="auto"/>
          <w:szCs w:val="24"/>
          <w:lang w:eastAsia="lt-LT" w:bidi="lt-LT"/>
        </w:rPr>
      </w:pPr>
    </w:p>
    <w:p w14:paraId="3F6C7BCD" w14:textId="1F912A81" w:rsidR="00D22571" w:rsidRPr="002F17D0" w:rsidRDefault="00D22571" w:rsidP="000475FC">
      <w:pPr>
        <w:pStyle w:val="ListParagraph"/>
        <w:numPr>
          <w:ilvl w:val="0"/>
          <w:numId w:val="11"/>
        </w:numPr>
        <w:autoSpaceDN/>
        <w:spacing w:before="120" w:after="120" w:line="240" w:lineRule="auto"/>
        <w:ind w:left="357" w:hanging="357"/>
        <w:jc w:val="both"/>
        <w:textAlignment w:val="auto"/>
        <w:rPr>
          <w:bCs/>
          <w:iCs/>
          <w:szCs w:val="24"/>
        </w:rPr>
      </w:pPr>
      <w:r w:rsidRPr="002F17D0">
        <w:rPr>
          <w:szCs w:val="24"/>
        </w:rPr>
        <w:t xml:space="preserve">Bylos nagrinėjimo kasaciniame teisme ribas </w:t>
      </w:r>
      <w:r w:rsidRPr="002F17D0">
        <w:rPr>
          <w:color w:val="auto"/>
          <w:szCs w:val="24"/>
        </w:rPr>
        <w:t xml:space="preserve">apibrėžia </w:t>
      </w:r>
      <w:hyperlink r:id="rId9" w:tgtFrame="_blank" w:tooltip="Lietuvos Respublikos civilinio proceso kodeksas" w:history="1">
        <w:r w:rsidRPr="002F17D0">
          <w:rPr>
            <w:rStyle w:val="Hyperlink"/>
            <w:color w:val="auto"/>
            <w:szCs w:val="24"/>
            <w:u w:val="none"/>
          </w:rPr>
          <w:t>CPK</w:t>
        </w:r>
      </w:hyperlink>
      <w:r w:rsidRPr="002F17D0">
        <w:rPr>
          <w:color w:val="auto"/>
          <w:szCs w:val="24"/>
        </w:rPr>
        <w:t xml:space="preserve"> </w:t>
      </w:r>
      <w:hyperlink r:id="rId10" w:tgtFrame="_blank" w:tooltip="Bylos nagrinėjimo ribos" w:history="1">
        <w:r w:rsidRPr="002F17D0">
          <w:rPr>
            <w:rStyle w:val="Hyperlink"/>
            <w:color w:val="auto"/>
            <w:szCs w:val="24"/>
            <w:u w:val="none"/>
          </w:rPr>
          <w:t>353</w:t>
        </w:r>
      </w:hyperlink>
      <w:r w:rsidRPr="002F17D0">
        <w:rPr>
          <w:color w:val="auto"/>
          <w:szCs w:val="24"/>
        </w:rPr>
        <w:t xml:space="preserve"> straipsnis. Nurodyto straipsnio 1</w:t>
      </w:r>
      <w:r w:rsidR="00405986" w:rsidRPr="002F17D0">
        <w:rPr>
          <w:color w:val="auto"/>
          <w:szCs w:val="24"/>
        </w:rPr>
        <w:t> </w:t>
      </w:r>
      <w:r w:rsidRPr="002F17D0">
        <w:rPr>
          <w:color w:val="auto"/>
          <w:szCs w:val="24"/>
        </w:rPr>
        <w:t xml:space="preserve">dalyje nustatyta, kad kasacinis teismas, neperžengdamas kasacinio skundo ribų, patikrina apskųstus sprendimus ir (ar) nutartis teisės taikymo aspektu; kasacinis teismas yra saistomas pirmosios ir apeliacinės instancijos teismų nustatytų aplinkybių. </w:t>
      </w:r>
      <w:r w:rsidR="008204DD" w:rsidRPr="002F17D0">
        <w:rPr>
          <w:color w:val="auto"/>
          <w:szCs w:val="24"/>
        </w:rPr>
        <w:t xml:space="preserve">Aiškindamas šią teisės normą kasacinis teismas ne kartą yra nurodęs, kad pagal ją kasacinis teismas sprendžia tik teisės klausimus, be to, tik tuos teisės klausimus, kurie yra tiesiogiai iškelti kasaciniame skunde (žr., pvz., Lietuvos </w:t>
      </w:r>
      <w:r w:rsidR="000475FC">
        <w:rPr>
          <w:color w:val="auto"/>
          <w:szCs w:val="24"/>
        </w:rPr>
        <w:t>Aukš</w:t>
      </w:r>
      <w:r w:rsidR="008204DD" w:rsidRPr="002F17D0">
        <w:rPr>
          <w:color w:val="auto"/>
          <w:szCs w:val="24"/>
        </w:rPr>
        <w:t xml:space="preserve">čiausiojo Teismo 2024 m. balandžio 19 d. nutarties civilinėje byloje 3K-7-50-313/2024 56 punktą ir jame nurodytą kasacinio teismo praktiką). </w:t>
      </w:r>
      <w:r w:rsidRPr="002F17D0">
        <w:rPr>
          <w:bCs/>
          <w:iCs/>
          <w:color w:val="auto"/>
          <w:szCs w:val="24"/>
        </w:rPr>
        <w:t xml:space="preserve">Nuostatos, kad kasacinis teismas kasacijos funkciją vykdo </w:t>
      </w:r>
      <w:r w:rsidRPr="002F17D0">
        <w:rPr>
          <w:bCs/>
          <w:iCs/>
          <w:szCs w:val="24"/>
        </w:rPr>
        <w:t xml:space="preserve">neperžengdamas kasacinio skundo ribų, teisėjų kolegija laikosi nagrinėdama </w:t>
      </w:r>
      <w:r w:rsidRPr="002F17D0">
        <w:rPr>
          <w:rFonts w:asciiTheme="majorBidi" w:hAnsiTheme="majorBidi" w:cstheme="majorBidi"/>
          <w:bCs/>
          <w:iCs/>
          <w:szCs w:val="24"/>
        </w:rPr>
        <w:t xml:space="preserve">ieškovės </w:t>
      </w:r>
      <w:r w:rsidRPr="002F17D0">
        <w:rPr>
          <w:rFonts w:asciiTheme="majorBidi" w:hAnsiTheme="majorBidi" w:cstheme="majorBidi"/>
          <w:iCs/>
          <w:szCs w:val="24"/>
        </w:rPr>
        <w:t xml:space="preserve">UAB </w:t>
      </w:r>
      <w:r w:rsidR="00405986" w:rsidRPr="002F17D0">
        <w:rPr>
          <w:rFonts w:asciiTheme="majorBidi" w:hAnsiTheme="majorBidi" w:cstheme="majorBidi"/>
          <w:iCs/>
          <w:szCs w:val="24"/>
        </w:rPr>
        <w:t>„</w:t>
      </w:r>
      <w:r w:rsidRPr="002F17D0">
        <w:rPr>
          <w:rFonts w:asciiTheme="majorBidi" w:hAnsiTheme="majorBidi" w:cstheme="majorBidi"/>
        </w:rPr>
        <w:t>Vydmantai wind park</w:t>
      </w:r>
      <w:r w:rsidR="00405986" w:rsidRPr="002F17D0">
        <w:rPr>
          <w:rFonts w:asciiTheme="majorBidi" w:hAnsiTheme="majorBidi" w:cstheme="majorBidi"/>
        </w:rPr>
        <w:t>“</w:t>
      </w:r>
      <w:r w:rsidRPr="002F17D0">
        <w:rPr>
          <w:rFonts w:asciiTheme="majorBidi" w:hAnsiTheme="majorBidi" w:cstheme="majorBidi"/>
        </w:rPr>
        <w:t xml:space="preserve"> </w:t>
      </w:r>
      <w:r w:rsidRPr="002F17D0">
        <w:rPr>
          <w:rFonts w:asciiTheme="majorBidi" w:hAnsiTheme="majorBidi" w:cstheme="majorBidi"/>
          <w:bCs/>
          <w:iCs/>
          <w:szCs w:val="24"/>
        </w:rPr>
        <w:t>kasacinį</w:t>
      </w:r>
      <w:r w:rsidRPr="002F17D0">
        <w:rPr>
          <w:bCs/>
          <w:iCs/>
          <w:szCs w:val="24"/>
        </w:rPr>
        <w:t xml:space="preserve"> skundą, nes nenustatyta pagrindo peržengti kasacinio skundo ribas (CPK 353 straipsnio 1, 2 dalys).</w:t>
      </w:r>
    </w:p>
    <w:p w14:paraId="28BCDD06" w14:textId="77777777" w:rsidR="008204DD" w:rsidRPr="002F17D0" w:rsidRDefault="008204DD" w:rsidP="000475FC">
      <w:pPr>
        <w:numPr>
          <w:ilvl w:val="0"/>
          <w:numId w:val="11"/>
        </w:numPr>
        <w:autoSpaceDN/>
        <w:spacing w:before="120" w:after="120"/>
        <w:ind w:left="357" w:hanging="357"/>
        <w:jc w:val="both"/>
        <w:textAlignment w:val="auto"/>
        <w:rPr>
          <w:iCs/>
        </w:rPr>
      </w:pPr>
      <w:r w:rsidRPr="002F17D0">
        <w:rPr>
          <w:bCs/>
          <w:iCs/>
        </w:rPr>
        <w:t xml:space="preserve">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w:t>
      </w:r>
      <w:r w:rsidRPr="002F17D0">
        <w:rPr>
          <w:iCs/>
        </w:rPr>
        <w:t xml:space="preserve">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w:t>
      </w:r>
      <w:r w:rsidRPr="002F17D0">
        <w:rPr>
          <w:bCs/>
          <w:iCs/>
        </w:rPr>
        <w:t>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w:t>
      </w:r>
    </w:p>
    <w:p w14:paraId="5916B239" w14:textId="74DE789D" w:rsidR="00566018" w:rsidRPr="002F17D0" w:rsidRDefault="00566018" w:rsidP="000475FC">
      <w:pPr>
        <w:pStyle w:val="ListParagraph"/>
        <w:numPr>
          <w:ilvl w:val="0"/>
          <w:numId w:val="11"/>
        </w:numPr>
        <w:autoSpaceDN/>
        <w:spacing w:before="120" w:after="120" w:line="240" w:lineRule="auto"/>
        <w:ind w:left="357" w:hanging="357"/>
        <w:jc w:val="both"/>
        <w:textAlignment w:val="auto"/>
        <w:rPr>
          <w:bCs/>
          <w:iCs/>
          <w:szCs w:val="24"/>
        </w:rPr>
      </w:pPr>
      <w:r w:rsidRPr="002F17D0">
        <w:rPr>
          <w:color w:val="auto"/>
        </w:rPr>
        <w:t xml:space="preserve">Ieškovė, nesutikdama su apeliacinės instancijos teismo procesiniu sprendimu, kasaciniame skunde </w:t>
      </w:r>
      <w:r w:rsidRPr="002F17D0">
        <w:rPr>
          <w:rFonts w:eastAsia="Times New Roman"/>
          <w:bCs/>
          <w:iCs/>
          <w:color w:val="auto"/>
          <w:szCs w:val="24"/>
          <w:lang w:eastAsia="lt-LT" w:bidi="lt-LT"/>
        </w:rPr>
        <w:t xml:space="preserve">teigia, kad bylą nagrinėję teismai </w:t>
      </w:r>
      <w:r w:rsidRPr="002F17D0">
        <w:t xml:space="preserve">netinkamai aiškino ir taikė Tarptautinių sankcijų įstatymo 7 straipsnio 2 ir 3 dalis kartu su Sprendimo Nr. 2014/145/BUSP 2 straipsnio 1 ir 2 dalimis, 6 dalies b ir c punktais, Reglamento Nr. 269/2014 2 straipsnio 1 ir 2 dalimis, 7 straipsnio 1 dalimi, 2 dalies b ir c punktais, apeliacinės instancijos teismas </w:t>
      </w:r>
      <w:bookmarkStart w:id="43" w:name="_Hlk170121413"/>
      <w:r w:rsidRPr="002F17D0">
        <w:t xml:space="preserve">netinkamai taikė </w:t>
      </w:r>
      <w:bookmarkStart w:id="44" w:name="_Hlk170123480"/>
      <w:bookmarkEnd w:id="43"/>
      <w:r w:rsidRPr="002F17D0">
        <w:t>CPK 176</w:t>
      </w:r>
      <w:r w:rsidR="00405986" w:rsidRPr="002F17D0">
        <w:t>–</w:t>
      </w:r>
      <w:r w:rsidRPr="002F17D0">
        <w:t>178 straipsniuose, 182 straipsnio 4 punkte, 185 straipsnyje įtvirtintas įrodinėjimo ir įrodymų vertinimo taisykles,</w:t>
      </w:r>
      <w:bookmarkEnd w:id="44"/>
      <w:r w:rsidRPr="002F17D0">
        <w:t xml:space="preserve"> taip pat netinkamai taikė CPK 182 straipsnio 2 punkte įtvirtintą prejudicialumo taisyklę ir nukrypo nuo kasacinio teismo praktikos. </w:t>
      </w:r>
      <w:r w:rsidRPr="002F17D0">
        <w:rPr>
          <w:color w:val="auto"/>
        </w:rPr>
        <w:t>Teisėjų kolegija, laikydamasi bylos nagrinėjimo kasaciniame</w:t>
      </w:r>
      <w:r w:rsidRPr="002F17D0">
        <w:t xml:space="preserve"> teisme ribų, toliau pasisakys šiais teisės aiškinimo ir taikymo klausimais.</w:t>
      </w:r>
    </w:p>
    <w:p w14:paraId="0A7BD88C" w14:textId="77777777" w:rsidR="00F07A94" w:rsidRPr="002F17D0" w:rsidRDefault="00F07A94" w:rsidP="00F07A94">
      <w:pPr>
        <w:pStyle w:val="ListParagraph"/>
        <w:suppressAutoHyphens w:val="0"/>
        <w:autoSpaceDN/>
        <w:spacing w:before="120" w:after="120" w:line="240" w:lineRule="auto"/>
        <w:ind w:left="360"/>
        <w:jc w:val="both"/>
        <w:textAlignment w:val="auto"/>
        <w:rPr>
          <w:bCs/>
          <w:iCs/>
          <w:szCs w:val="24"/>
        </w:rPr>
      </w:pPr>
    </w:p>
    <w:p w14:paraId="738B58D3" w14:textId="20555196" w:rsidR="00F95979" w:rsidRPr="002F17D0" w:rsidRDefault="00F95979" w:rsidP="002E3578">
      <w:pPr>
        <w:tabs>
          <w:tab w:val="left" w:pos="630"/>
          <w:tab w:val="left" w:pos="900"/>
          <w:tab w:val="left" w:pos="990"/>
        </w:tabs>
        <w:autoSpaceDN/>
        <w:spacing w:after="120"/>
        <w:ind w:firstLine="720"/>
        <w:jc w:val="both"/>
        <w:textAlignment w:val="auto"/>
        <w:rPr>
          <w:rFonts w:eastAsia="Times New Roman"/>
          <w:bCs/>
          <w:i/>
          <w:color w:val="auto"/>
          <w:szCs w:val="24"/>
          <w:lang w:eastAsia="lt-LT" w:bidi="lt-LT"/>
        </w:rPr>
      </w:pPr>
      <w:bookmarkStart w:id="45" w:name="_Hlk170213278"/>
      <w:r w:rsidRPr="002F17D0">
        <w:rPr>
          <w:rFonts w:eastAsia="Times New Roman"/>
          <w:bCs/>
          <w:i/>
          <w:color w:val="auto"/>
          <w:szCs w:val="24"/>
          <w:lang w:eastAsia="lt-LT" w:bidi="lt-LT"/>
        </w:rPr>
        <w:lastRenderedPageBreak/>
        <w:t xml:space="preserve">Dėl </w:t>
      </w:r>
      <w:bookmarkStart w:id="46" w:name="_Hlk169093766"/>
      <w:bookmarkStart w:id="47" w:name="_Hlk169248289"/>
      <w:r w:rsidRPr="002F17D0">
        <w:rPr>
          <w:rFonts w:eastAsia="Times New Roman"/>
          <w:bCs/>
          <w:i/>
          <w:color w:val="auto"/>
          <w:szCs w:val="24"/>
          <w:lang w:eastAsia="lt-LT" w:bidi="lt-LT"/>
        </w:rPr>
        <w:t xml:space="preserve">įrodinėjimą bei įrodymų vertinimą </w:t>
      </w:r>
      <w:bookmarkEnd w:id="46"/>
      <w:r w:rsidRPr="002F17D0">
        <w:rPr>
          <w:rFonts w:eastAsia="Times New Roman"/>
          <w:bCs/>
          <w:i/>
          <w:color w:val="auto"/>
          <w:szCs w:val="24"/>
          <w:lang w:eastAsia="lt-LT" w:bidi="lt-LT"/>
        </w:rPr>
        <w:t>reglamentuojančių proceso teisės normų</w:t>
      </w:r>
      <w:r w:rsidR="005E4F24" w:rsidRPr="002F17D0">
        <w:rPr>
          <w:rFonts w:eastAsia="Times New Roman"/>
          <w:bCs/>
          <w:i/>
          <w:color w:val="auto"/>
          <w:szCs w:val="24"/>
          <w:lang w:eastAsia="lt-LT" w:bidi="lt-LT"/>
        </w:rPr>
        <w:t xml:space="preserve"> </w:t>
      </w:r>
      <w:bookmarkEnd w:id="47"/>
      <w:r w:rsidR="002E3578" w:rsidRPr="002F17D0">
        <w:rPr>
          <w:rFonts w:eastAsia="Times New Roman"/>
          <w:bCs/>
          <w:i/>
          <w:color w:val="auto"/>
          <w:szCs w:val="24"/>
          <w:lang w:eastAsia="lt-LT" w:bidi="lt-LT"/>
        </w:rPr>
        <w:t xml:space="preserve">aiškinimo ir </w:t>
      </w:r>
      <w:r w:rsidR="005E4F24" w:rsidRPr="002F17D0">
        <w:rPr>
          <w:rFonts w:eastAsia="Times New Roman"/>
          <w:bCs/>
          <w:i/>
          <w:color w:val="auto"/>
          <w:szCs w:val="24"/>
          <w:lang w:eastAsia="lt-LT" w:bidi="lt-LT"/>
        </w:rPr>
        <w:t>taikymo</w:t>
      </w:r>
      <w:r w:rsidR="009421D2" w:rsidRPr="002F17D0">
        <w:rPr>
          <w:rFonts w:eastAsia="Times New Roman"/>
          <w:bCs/>
          <w:i/>
          <w:color w:val="auto"/>
          <w:szCs w:val="24"/>
          <w:lang w:eastAsia="lt-LT" w:bidi="lt-LT"/>
        </w:rPr>
        <w:t xml:space="preserve"> nagrinėjamoje byloje</w:t>
      </w:r>
    </w:p>
    <w:bookmarkEnd w:id="45"/>
    <w:p w14:paraId="63A71FFB" w14:textId="77777777" w:rsidR="00F95979" w:rsidRPr="002F17D0" w:rsidRDefault="00F95979" w:rsidP="00F95979">
      <w:pPr>
        <w:tabs>
          <w:tab w:val="left" w:pos="630"/>
          <w:tab w:val="left" w:pos="900"/>
          <w:tab w:val="left" w:pos="990"/>
        </w:tabs>
        <w:autoSpaceDN/>
        <w:spacing w:after="120"/>
        <w:ind w:left="360"/>
        <w:jc w:val="both"/>
        <w:textAlignment w:val="auto"/>
        <w:rPr>
          <w:rFonts w:eastAsia="Times New Roman"/>
          <w:bCs/>
          <w:i/>
          <w:color w:val="auto"/>
          <w:szCs w:val="24"/>
          <w:lang w:eastAsia="lt-LT" w:bidi="lt-LT"/>
        </w:rPr>
      </w:pPr>
    </w:p>
    <w:p w14:paraId="7CA7D3C1" w14:textId="67D7234D" w:rsidR="001E4498" w:rsidRPr="002F17D0" w:rsidRDefault="0090508A" w:rsidP="00226C0F">
      <w:pPr>
        <w:numPr>
          <w:ilvl w:val="0"/>
          <w:numId w:val="11"/>
        </w:numPr>
        <w:tabs>
          <w:tab w:val="left" w:pos="630"/>
          <w:tab w:val="left" w:pos="900"/>
          <w:tab w:val="left" w:pos="990"/>
        </w:tabs>
        <w:spacing w:before="120"/>
        <w:jc w:val="both"/>
        <w:rPr>
          <w:rFonts w:eastAsia="Times New Roman"/>
          <w:bCs/>
          <w:iCs/>
          <w:color w:val="auto"/>
          <w:szCs w:val="24"/>
          <w:lang w:eastAsia="lt-LT" w:bidi="lt-LT"/>
        </w:rPr>
      </w:pPr>
      <w:r w:rsidRPr="002F17D0">
        <w:rPr>
          <w:rFonts w:eastAsia="Times New Roman"/>
          <w:bCs/>
          <w:iCs/>
          <w:color w:val="auto"/>
          <w:szCs w:val="24"/>
          <w:lang w:eastAsia="lt-LT" w:bidi="lt-LT"/>
        </w:rPr>
        <w:t xml:space="preserve">Nagrinėjamoje byloje tarp šalių kilo ginčas dėl Sutarties </w:t>
      </w:r>
      <w:r w:rsidR="000B1E1F" w:rsidRPr="002F17D0">
        <w:rPr>
          <w:rFonts w:eastAsia="Times New Roman"/>
          <w:bCs/>
          <w:iCs/>
          <w:color w:val="auto"/>
          <w:szCs w:val="24"/>
          <w:lang w:eastAsia="lt-LT" w:bidi="lt-LT"/>
        </w:rPr>
        <w:t xml:space="preserve">vykdymo </w:t>
      </w:r>
      <w:r w:rsidR="007E0681" w:rsidRPr="002F17D0">
        <w:rPr>
          <w:rFonts w:eastAsia="Times New Roman"/>
          <w:bCs/>
          <w:iCs/>
          <w:color w:val="auto"/>
          <w:szCs w:val="24"/>
          <w:lang w:eastAsia="lt-LT" w:bidi="lt-LT"/>
        </w:rPr>
        <w:t>su</w:t>
      </w:r>
      <w:r w:rsidRPr="002F17D0">
        <w:rPr>
          <w:rFonts w:eastAsia="Times New Roman"/>
          <w:bCs/>
          <w:iCs/>
          <w:color w:val="auto"/>
          <w:szCs w:val="24"/>
          <w:lang w:eastAsia="lt-LT" w:bidi="lt-LT"/>
        </w:rPr>
        <w:t>stabdymo</w:t>
      </w:r>
      <w:r w:rsidR="00226C0F" w:rsidRPr="002F17D0">
        <w:rPr>
          <w:rFonts w:eastAsia="Times New Roman"/>
          <w:bCs/>
          <w:iCs/>
          <w:color w:val="auto"/>
          <w:szCs w:val="24"/>
          <w:lang w:eastAsia="lt-LT" w:bidi="lt-LT"/>
        </w:rPr>
        <w:t xml:space="preserve"> teisėtumo. Atsakovė sustabdė elektros energijos pirkimą </w:t>
      </w:r>
      <w:r w:rsidR="004705D1" w:rsidRPr="002F17D0">
        <w:rPr>
          <w:rFonts w:eastAsia="Times New Roman"/>
          <w:bCs/>
          <w:iCs/>
          <w:color w:val="auto"/>
          <w:szCs w:val="24"/>
          <w:lang w:eastAsia="lt-LT" w:bidi="lt-LT"/>
        </w:rPr>
        <w:t xml:space="preserve">ir atsiskaitymus </w:t>
      </w:r>
      <w:r w:rsidR="00226C0F" w:rsidRPr="002F17D0">
        <w:rPr>
          <w:rFonts w:eastAsia="Times New Roman"/>
          <w:bCs/>
          <w:iCs/>
          <w:color w:val="auto"/>
          <w:szCs w:val="24"/>
          <w:lang w:eastAsia="lt-LT" w:bidi="lt-LT"/>
        </w:rPr>
        <w:t xml:space="preserve">pagal Sutartį dėl ieškovės sąsajų su subjektais, kuriems taikomos tarptautinės sankcijos, apie tai informuodama </w:t>
      </w:r>
      <w:bookmarkStart w:id="48" w:name="_Hlk169212373"/>
      <w:r w:rsidRPr="002F17D0">
        <w:rPr>
          <w:rFonts w:eastAsia="Times New Roman"/>
          <w:bCs/>
          <w:iCs/>
          <w:color w:val="auto"/>
          <w:szCs w:val="24"/>
          <w:lang w:eastAsia="lt-LT" w:bidi="lt-LT"/>
        </w:rPr>
        <w:t xml:space="preserve">2022 m. birželio 28 d. </w:t>
      </w:r>
      <w:bookmarkEnd w:id="48"/>
      <w:r w:rsidRPr="002F17D0">
        <w:rPr>
          <w:rFonts w:eastAsia="Times New Roman"/>
          <w:bCs/>
          <w:iCs/>
          <w:color w:val="auto"/>
          <w:szCs w:val="24"/>
          <w:lang w:eastAsia="lt-LT" w:bidi="lt-LT"/>
        </w:rPr>
        <w:t>rašt</w:t>
      </w:r>
      <w:r w:rsidR="00226C0F" w:rsidRPr="002F17D0">
        <w:rPr>
          <w:rFonts w:eastAsia="Times New Roman"/>
          <w:bCs/>
          <w:iCs/>
          <w:color w:val="auto"/>
          <w:szCs w:val="24"/>
          <w:lang w:eastAsia="lt-LT" w:bidi="lt-LT"/>
        </w:rPr>
        <w:t>u</w:t>
      </w:r>
      <w:r w:rsidR="00F70501" w:rsidRPr="002F17D0">
        <w:rPr>
          <w:rFonts w:eastAsia="Times New Roman"/>
          <w:bCs/>
          <w:iCs/>
          <w:color w:val="auto"/>
          <w:szCs w:val="24"/>
          <w:lang w:eastAsia="lt-LT" w:bidi="lt-LT"/>
        </w:rPr>
        <w:t xml:space="preserve">. </w:t>
      </w:r>
      <w:r w:rsidR="00226C0F" w:rsidRPr="002F17D0">
        <w:rPr>
          <w:rFonts w:eastAsia="Times New Roman"/>
          <w:bCs/>
          <w:iCs/>
          <w:color w:val="auto"/>
          <w:szCs w:val="24"/>
          <w:lang w:eastAsia="lt-LT" w:bidi="lt-LT"/>
        </w:rPr>
        <w:t>Ieškovė ieškiniu įrodinėjo, kad atsakovė Sutart</w:t>
      </w:r>
      <w:r w:rsidR="000B1E1F" w:rsidRPr="002F17D0">
        <w:rPr>
          <w:rFonts w:eastAsia="Times New Roman"/>
          <w:bCs/>
          <w:iCs/>
          <w:color w:val="auto"/>
          <w:szCs w:val="24"/>
          <w:lang w:eastAsia="lt-LT" w:bidi="lt-LT"/>
        </w:rPr>
        <w:t>ie</w:t>
      </w:r>
      <w:r w:rsidR="00405986" w:rsidRPr="002F17D0">
        <w:rPr>
          <w:rFonts w:eastAsia="Times New Roman"/>
          <w:bCs/>
          <w:iCs/>
          <w:color w:val="auto"/>
          <w:szCs w:val="24"/>
          <w:lang w:eastAsia="lt-LT" w:bidi="lt-LT"/>
        </w:rPr>
        <w:t>s</w:t>
      </w:r>
      <w:r w:rsidR="000B1E1F" w:rsidRPr="002F17D0">
        <w:rPr>
          <w:rFonts w:eastAsia="Times New Roman"/>
          <w:bCs/>
          <w:iCs/>
          <w:color w:val="auto"/>
          <w:szCs w:val="24"/>
          <w:lang w:eastAsia="lt-LT" w:bidi="lt-LT"/>
        </w:rPr>
        <w:t xml:space="preserve"> vykdymą</w:t>
      </w:r>
      <w:r w:rsidR="00226C0F" w:rsidRPr="002F17D0">
        <w:rPr>
          <w:rFonts w:eastAsia="Times New Roman"/>
          <w:bCs/>
          <w:iCs/>
          <w:color w:val="auto"/>
          <w:szCs w:val="24"/>
          <w:lang w:eastAsia="lt-LT" w:bidi="lt-LT"/>
        </w:rPr>
        <w:t xml:space="preserve"> sustabdė ne</w:t>
      </w:r>
      <w:r w:rsidR="000B1E1F" w:rsidRPr="002F17D0">
        <w:rPr>
          <w:rFonts w:eastAsia="Times New Roman"/>
          <w:bCs/>
          <w:iCs/>
          <w:color w:val="auto"/>
          <w:szCs w:val="24"/>
          <w:lang w:eastAsia="lt-LT" w:bidi="lt-LT"/>
        </w:rPr>
        <w:t>teisėtai</w:t>
      </w:r>
      <w:r w:rsidR="00226C0F" w:rsidRPr="002F17D0">
        <w:rPr>
          <w:rFonts w:eastAsia="Times New Roman"/>
          <w:bCs/>
          <w:iCs/>
          <w:color w:val="auto"/>
          <w:szCs w:val="24"/>
          <w:lang w:eastAsia="lt-LT" w:bidi="lt-LT"/>
        </w:rPr>
        <w:t xml:space="preserve">, kadangi ji neturėjo jokio pagrindo ieškovę laikyti susijusia su tarptautinėmis sankcijomis sankcionuotais asmenimis. </w:t>
      </w:r>
    </w:p>
    <w:p w14:paraId="081EBE7D" w14:textId="1C5E355A" w:rsidR="00644F67" w:rsidRPr="002F17D0" w:rsidRDefault="002D6D8C" w:rsidP="00644F67">
      <w:pPr>
        <w:numPr>
          <w:ilvl w:val="0"/>
          <w:numId w:val="11"/>
        </w:numPr>
        <w:tabs>
          <w:tab w:val="left" w:pos="630"/>
          <w:tab w:val="left" w:pos="900"/>
          <w:tab w:val="left" w:pos="990"/>
        </w:tabs>
        <w:spacing w:before="120"/>
        <w:jc w:val="both"/>
        <w:rPr>
          <w:rFonts w:eastAsia="Times New Roman"/>
          <w:bCs/>
          <w:iCs/>
          <w:color w:val="auto"/>
          <w:szCs w:val="24"/>
          <w:lang w:eastAsia="lt-LT" w:bidi="lt-LT"/>
        </w:rPr>
      </w:pPr>
      <w:bookmarkStart w:id="49" w:name="_Hlk170145186"/>
      <w:r w:rsidRPr="002F17D0">
        <w:rPr>
          <w:rFonts w:eastAsia="Times New Roman"/>
          <w:bCs/>
          <w:iCs/>
          <w:color w:val="auto"/>
          <w:szCs w:val="24"/>
          <w:lang w:eastAsia="lt-LT" w:bidi="lt-LT"/>
        </w:rPr>
        <w:t xml:space="preserve">Apeliacinės instancijos teismas, įvertinęs, kad, </w:t>
      </w:r>
      <w:r w:rsidRPr="002F17D0">
        <w:rPr>
          <w:bCs/>
          <w:szCs w:val="24"/>
        </w:rPr>
        <w:t xml:space="preserve">atsižvelgiant į kontroliuojamų ir sankcionuotų asmenų santykių latentiškumą, iš atsakovės negali būti reikalaujama į bylą pateikti neginčijamų įrodymų dėl ieškovės ryšių (ne)buvimo su sankcionuotais asmenimis, kadangi iš esmės atsakovė tokių neginčijamų įrodymų pateikti ir negalėtų, </w:t>
      </w:r>
      <w:r w:rsidR="009F0422" w:rsidRPr="002F17D0">
        <w:rPr>
          <w:bCs/>
          <w:szCs w:val="24"/>
        </w:rPr>
        <w:t>skundžiamoje</w:t>
      </w:r>
      <w:r w:rsidRPr="002F17D0">
        <w:rPr>
          <w:bCs/>
          <w:szCs w:val="24"/>
        </w:rPr>
        <w:t xml:space="preserve"> nutartyje nurodė, jog nagrinėjamo ginčo atveju būtent ieškovei tenka pareiga paneigti ryšių su Rusijos Federacija egzistavimą. Apeliacinės instancijos teismas vertino, jog atsakovės į bylą pateikti duomenys sukūrė prezumpciją, kad ieškovė yra kontroliuojama sankcionuotų asmenų, taigi ieškovei nagrinėjamo ginčo atveju kilo pareiga tokią prezumpciją paneigti, tačiau ieškovė šios savo pareigos neįvykdė.</w:t>
      </w:r>
      <w:r w:rsidRPr="002F17D0">
        <w:rPr>
          <w:rFonts w:eastAsia="Times New Roman"/>
          <w:bCs/>
          <w:iCs/>
          <w:color w:val="auto"/>
          <w:szCs w:val="24"/>
          <w:lang w:eastAsia="lt-LT" w:bidi="lt-LT"/>
        </w:rPr>
        <w:t xml:space="preserve"> </w:t>
      </w:r>
      <w:bookmarkEnd w:id="49"/>
      <w:r w:rsidR="00644F67" w:rsidRPr="002F17D0">
        <w:rPr>
          <w:lang w:bidi="lt-LT"/>
        </w:rPr>
        <w:t xml:space="preserve">Pažymėjęs, kad ieškovė remiasi </w:t>
      </w:r>
      <w:r w:rsidR="00644F67" w:rsidRPr="002F17D0">
        <w:rPr>
          <w:szCs w:val="24"/>
        </w:rPr>
        <w:t>Vilniaus apygardos administracinio teismo 2023 m. lapkričio 22</w:t>
      </w:r>
      <w:r w:rsidR="00405986" w:rsidRPr="002F17D0">
        <w:rPr>
          <w:szCs w:val="24"/>
        </w:rPr>
        <w:t> </w:t>
      </w:r>
      <w:r w:rsidR="00644F67" w:rsidRPr="002F17D0">
        <w:rPr>
          <w:szCs w:val="24"/>
        </w:rPr>
        <w:t>d. sprendimu</w:t>
      </w:r>
      <w:r w:rsidR="00644F67" w:rsidRPr="002F17D0">
        <w:t xml:space="preserve"> </w:t>
      </w:r>
      <w:r w:rsidR="00644F67" w:rsidRPr="002F17D0">
        <w:rPr>
          <w:szCs w:val="24"/>
        </w:rPr>
        <w:t>administracinėje byloje Nr. eI2-1101-566/2023, apeliacinės instancijos teismas nurodė</w:t>
      </w:r>
      <w:r w:rsidR="00644F67" w:rsidRPr="002F17D0">
        <w:rPr>
          <w:lang w:bidi="lt-LT"/>
        </w:rPr>
        <w:t xml:space="preserve">, jog: nurodytas </w:t>
      </w:r>
      <w:r w:rsidR="00644F67" w:rsidRPr="002F17D0">
        <w:rPr>
          <w:szCs w:val="24"/>
        </w:rPr>
        <w:t xml:space="preserve">administracinio teismo sprendimas nėra įsiteisėjęs ir gali būti skundžiamas aukštesniam teismui; paaiškėjus, kad sankcijos ieškovei netaikytos arba taikytos nepagrįstai ar nebebus taikomos ateityje, ieškovė turi teisę kreiptis į teismą dėl skolos priteisimo įrodinėdama, kad elektros energija pagal ginčo Sutartį buvo patiekta. </w:t>
      </w:r>
    </w:p>
    <w:p w14:paraId="46092F9C" w14:textId="653191FD" w:rsidR="00731E1D" w:rsidRPr="002F17D0" w:rsidRDefault="00731E1D" w:rsidP="002D6D8C">
      <w:pPr>
        <w:numPr>
          <w:ilvl w:val="0"/>
          <w:numId w:val="11"/>
        </w:numPr>
        <w:tabs>
          <w:tab w:val="left" w:pos="630"/>
          <w:tab w:val="left" w:pos="900"/>
          <w:tab w:val="left" w:pos="990"/>
        </w:tabs>
        <w:spacing w:before="120"/>
        <w:jc w:val="both"/>
        <w:rPr>
          <w:rFonts w:eastAsia="Times New Roman"/>
          <w:bCs/>
          <w:iCs/>
          <w:color w:val="auto"/>
          <w:szCs w:val="24"/>
          <w:lang w:eastAsia="lt-LT" w:bidi="lt-LT"/>
        </w:rPr>
      </w:pPr>
      <w:r w:rsidRPr="002F17D0">
        <w:rPr>
          <w:rFonts w:eastAsia="Times New Roman"/>
          <w:bCs/>
          <w:iCs/>
          <w:color w:val="auto"/>
          <w:szCs w:val="24"/>
          <w:lang w:eastAsia="lt-LT" w:bidi="lt-LT"/>
        </w:rPr>
        <w:t>I</w:t>
      </w:r>
      <w:r w:rsidR="00226C0F" w:rsidRPr="002F17D0">
        <w:rPr>
          <w:rFonts w:eastAsia="Times New Roman"/>
          <w:bCs/>
          <w:iCs/>
          <w:color w:val="auto"/>
          <w:szCs w:val="24"/>
          <w:lang w:eastAsia="lt-LT" w:bidi="lt-LT"/>
        </w:rPr>
        <w:t xml:space="preserve">eškovė kasaciniame skunde teigia, kad </w:t>
      </w:r>
      <w:r w:rsidRPr="002F17D0">
        <w:rPr>
          <w:rFonts w:eastAsia="Times New Roman"/>
          <w:bCs/>
          <w:iCs/>
          <w:color w:val="auto"/>
          <w:szCs w:val="24"/>
          <w:lang w:eastAsia="lt-LT" w:bidi="lt-LT"/>
        </w:rPr>
        <w:t>tokios teismo</w:t>
      </w:r>
      <w:r w:rsidR="00226C0F" w:rsidRPr="002F17D0">
        <w:rPr>
          <w:rFonts w:eastAsia="Times New Roman"/>
          <w:bCs/>
          <w:iCs/>
          <w:color w:val="auto"/>
          <w:szCs w:val="24"/>
          <w:lang w:eastAsia="lt-LT" w:bidi="lt-LT"/>
        </w:rPr>
        <w:t xml:space="preserve"> išvados padarytos netinkamai taikius </w:t>
      </w:r>
      <w:r w:rsidRPr="002F17D0">
        <w:t>CPK 176</w:t>
      </w:r>
      <w:r w:rsidR="00405986" w:rsidRPr="002F17D0">
        <w:t>–</w:t>
      </w:r>
      <w:r w:rsidRPr="002F17D0">
        <w:t>178 straipsniuose, 182 straipsnio 4 punkte, 185 straipsnyje įtvirtintas įrodinėjimo ir įrodymų vertinimo taisykles.</w:t>
      </w:r>
    </w:p>
    <w:p w14:paraId="27FDC98C" w14:textId="77777777" w:rsidR="00E26FC9" w:rsidRPr="002F17D0" w:rsidRDefault="00E26FC9" w:rsidP="00E26FC9">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CPK 185 straipsnio 1 dalyje nustatyta, kad teismas įvertina įrodymus pagal vidinį savo įsitikinimą, pagrįstą visapusišku ir objektyviu aplinkybių, kurios buvo įrodinėjamos proceso metu, išnagrinėjimu, vadovaudamasis įstatymu.</w:t>
      </w:r>
    </w:p>
    <w:p w14:paraId="0049777E" w14:textId="42811088" w:rsidR="005E4F24" w:rsidRPr="002F17D0" w:rsidRDefault="00E26FC9" w:rsidP="00E26FC9">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Įrodinėjimą ir įrodymų vertinimą reglamentuojančių civilinio proceso teisės normų aiškinimo ir taikymo praktika suformuota ir išplėtota daugelyje kasacinio teismo nutarčių. Kasacinis teismas yra nurodęs, kad įrodymų vertinimas pagal CPK 185 straipsnį reiškia, jog bet kokios informacijos įrodomąją vertę teismas nustato pagal vidinį savo įsitikinimą, pagrįstą visapusišku ir objektyviu aplinkybių, kurios buvo įrodinėjamos proceso metu, išnagrinėjimu, vadovaudamasis įstatymais. Įrodymų pakankamumas byloje reiškia, kad jie tarpusavyje neprieštarauja vieni kitiems ir jų visuma leidžia padaryti pagrįstą išvadą apie įrodinėjamų faktinių aplinkybių buvimą (Lietuvos Aukščiausiojo Teismo 2017 m. sausio 20 d. nutartis civilinėje byloje Nr. 3K-3-87-969/2017, 47</w:t>
      </w:r>
      <w:r w:rsidR="00405986" w:rsidRPr="002F17D0">
        <w:rPr>
          <w:rFonts w:eastAsia="Times New Roman"/>
          <w:bCs/>
          <w:iCs/>
          <w:color w:val="auto"/>
          <w:szCs w:val="24"/>
          <w:lang w:eastAsia="lt-LT" w:bidi="lt-LT"/>
        </w:rPr>
        <w:t> </w:t>
      </w:r>
      <w:r w:rsidRPr="002F17D0">
        <w:rPr>
          <w:rFonts w:eastAsia="Times New Roman"/>
          <w:bCs/>
          <w:iCs/>
          <w:color w:val="auto"/>
          <w:szCs w:val="24"/>
          <w:lang w:eastAsia="lt-LT" w:bidi="lt-LT"/>
        </w:rPr>
        <w:t xml:space="preserve">punktas). Teismas turi įvertinti ne tik kiekvieno įrodymo įrodomąją reikšmę, bet ir įrodymų visetą, ir tik iš įrodymų visumos daryti išvadas apie tam tikrų įrodinėjimo dalyku konkrečioje byloje esančių faktų buvimą ar nebuvimą (žr. Lietuvos Aukščiausiojo Teismo 2017 m. gegužės 11 d. nutarties civilinėje byloje Nr. 3K-3-229-916/2017 23 punktą). </w:t>
      </w:r>
      <w:r w:rsidR="005E4F24" w:rsidRPr="002F17D0">
        <w:rPr>
          <w:rFonts w:eastAsia="Times New Roman"/>
          <w:bCs/>
          <w:iCs/>
          <w:color w:val="auto"/>
          <w:szCs w:val="24"/>
          <w:lang w:eastAsia="lt-LT" w:bidi="lt-LT"/>
        </w:rPr>
        <w:t>Įrodinėjimo ir įrodymų vertinimo taisyklės pagal įstatymą nereikalauja, kad visi prieštaravimai būtų pašalinti (žr., pvz., Lietuvos Aukščiausiojo Teismo 2019 m. vasario 14 d. nutarties civilinėje byloje Nr. e3K-3-42-684/2019 30 punktą).</w:t>
      </w:r>
    </w:p>
    <w:p w14:paraId="5B2F251C" w14:textId="77777777" w:rsidR="00C17EE1" w:rsidRPr="002F17D0" w:rsidRDefault="0071153D" w:rsidP="00C17EE1">
      <w:pPr>
        <w:pStyle w:val="ListParagraph"/>
        <w:numPr>
          <w:ilvl w:val="0"/>
          <w:numId w:val="6"/>
        </w:numPr>
        <w:suppressAutoHyphens w:val="0"/>
        <w:autoSpaceDN/>
        <w:spacing w:before="120" w:after="120" w:line="240" w:lineRule="auto"/>
        <w:jc w:val="both"/>
        <w:textAlignment w:val="auto"/>
        <w:rPr>
          <w:iCs/>
          <w:szCs w:val="24"/>
        </w:rPr>
      </w:pPr>
      <w:r w:rsidRPr="002F17D0">
        <w:rPr>
          <w:rFonts w:eastAsia="Times New Roman"/>
          <w:bCs/>
          <w:iCs/>
          <w:color w:val="auto"/>
          <w:szCs w:val="24"/>
          <w:lang w:eastAsia="lt-LT" w:bidi="lt-LT"/>
        </w:rPr>
        <w:t xml:space="preserve">Kasaciniame skunde ieškovė nurodo, </w:t>
      </w:r>
      <w:r w:rsidR="000D0C3B" w:rsidRPr="002F17D0">
        <w:rPr>
          <w:rFonts w:eastAsia="Times New Roman"/>
          <w:bCs/>
          <w:iCs/>
          <w:color w:val="auto"/>
          <w:szCs w:val="24"/>
          <w:lang w:eastAsia="lt-LT" w:bidi="lt-LT"/>
        </w:rPr>
        <w:t>kad</w:t>
      </w:r>
      <w:r w:rsidRPr="002F17D0">
        <w:rPr>
          <w:rFonts w:eastAsia="Times New Roman"/>
          <w:bCs/>
          <w:iCs/>
          <w:color w:val="auto"/>
          <w:szCs w:val="24"/>
          <w:lang w:eastAsia="lt-LT" w:bidi="lt-LT"/>
        </w:rPr>
        <w:t xml:space="preserve"> </w:t>
      </w:r>
      <w:r w:rsidR="000D0C3B" w:rsidRPr="002F17D0">
        <w:rPr>
          <w:rFonts w:eastAsia="Times New Roman"/>
          <w:bCs/>
          <w:iCs/>
          <w:color w:val="auto"/>
          <w:szCs w:val="24"/>
          <w:lang w:eastAsia="lt-LT" w:bidi="lt-LT"/>
        </w:rPr>
        <w:t xml:space="preserve">apeliacinės instancijos </w:t>
      </w:r>
      <w:r w:rsidRPr="002F17D0">
        <w:rPr>
          <w:rFonts w:eastAsia="Times New Roman"/>
          <w:bCs/>
          <w:iCs/>
          <w:color w:val="auto"/>
          <w:szCs w:val="24"/>
          <w:lang w:eastAsia="lt-LT" w:bidi="lt-LT"/>
        </w:rPr>
        <w:t>teisma</w:t>
      </w:r>
      <w:r w:rsidR="000D0C3B" w:rsidRPr="002F17D0">
        <w:rPr>
          <w:rFonts w:eastAsia="Times New Roman"/>
          <w:bCs/>
          <w:iCs/>
          <w:color w:val="auto"/>
          <w:szCs w:val="24"/>
          <w:lang w:eastAsia="lt-LT" w:bidi="lt-LT"/>
        </w:rPr>
        <w:t>s</w:t>
      </w:r>
      <w:r w:rsidRPr="002F17D0">
        <w:rPr>
          <w:rFonts w:eastAsia="Times New Roman"/>
          <w:bCs/>
          <w:iCs/>
          <w:color w:val="auto"/>
          <w:szCs w:val="24"/>
          <w:lang w:eastAsia="lt-LT" w:bidi="lt-LT"/>
        </w:rPr>
        <w:t xml:space="preserve"> pažeidė įrodinėjimo ir įrodymų vertinimo taisykles, kadangi </w:t>
      </w:r>
      <w:r w:rsidR="000D0C3B" w:rsidRPr="002F17D0">
        <w:rPr>
          <w:rFonts w:eastAsia="Times New Roman"/>
          <w:bCs/>
          <w:iCs/>
          <w:color w:val="auto"/>
          <w:szCs w:val="24"/>
          <w:lang w:eastAsia="lt-LT" w:bidi="lt-LT"/>
        </w:rPr>
        <w:t xml:space="preserve">nepagrįstai konstatavo, </w:t>
      </w:r>
      <w:r w:rsidR="000D0C3B" w:rsidRPr="002F17D0">
        <w:t xml:space="preserve">jog vien tik FNTT paskelbta informacija apie ieškovės įtraukimą į Sąrašą sukuria prezumpciją, kad ieškovė yra kontroliuojama </w:t>
      </w:r>
      <w:r w:rsidR="000D0C3B" w:rsidRPr="002F17D0">
        <w:lastRenderedPageBreak/>
        <w:t xml:space="preserve">sankcionuotų asmenų, </w:t>
      </w:r>
      <w:r w:rsidR="00840B9F" w:rsidRPr="002F17D0">
        <w:t xml:space="preserve">nepagrįstai neatsižvelgė į neįsiteisėjusį </w:t>
      </w:r>
      <w:bookmarkStart w:id="50" w:name="_Hlk170139499"/>
      <w:r w:rsidR="00840B9F" w:rsidRPr="002F17D0">
        <w:rPr>
          <w:rFonts w:eastAsia="Times New Roman"/>
          <w:bCs/>
          <w:iCs/>
          <w:color w:val="auto"/>
          <w:szCs w:val="24"/>
          <w:lang w:eastAsia="lt-LT" w:bidi="lt-LT"/>
        </w:rPr>
        <w:t>Vilniaus apygardos administracinio teismo 2023 m. lapkričio 22 d. sprendimą administracinėje byloje Nr. el2-1101-566/2023</w:t>
      </w:r>
      <w:bookmarkEnd w:id="50"/>
      <w:r w:rsidR="00840B9F" w:rsidRPr="002F17D0">
        <w:rPr>
          <w:rFonts w:eastAsia="Times New Roman"/>
          <w:bCs/>
          <w:iCs/>
          <w:color w:val="auto"/>
          <w:szCs w:val="24"/>
          <w:lang w:eastAsia="lt-LT" w:bidi="lt-LT"/>
        </w:rPr>
        <w:t xml:space="preserve">, kuriuo </w:t>
      </w:r>
      <w:r w:rsidR="00840B9F" w:rsidRPr="002F17D0">
        <w:t>ieškovės įtraukimas į Sąrašą yra pripažintas neteisėtu ir nepagrįstu, šio sprendimo išvadas dėl ieškovės sąsajų su sankcionuotais asmenimis nepagrįstumo.</w:t>
      </w:r>
      <w:r w:rsidR="00C17EE1" w:rsidRPr="002F17D0">
        <w:t xml:space="preserve"> </w:t>
      </w:r>
      <w:r w:rsidR="00C17EE1" w:rsidRPr="002F17D0">
        <w:rPr>
          <w:rFonts w:eastAsia="Times New Roman"/>
          <w:bCs/>
          <w:iCs/>
          <w:szCs w:val="24"/>
          <w:lang w:eastAsia="lt-LT" w:bidi="lt-LT"/>
        </w:rPr>
        <w:t>Teisėjų kolegija neturi pagrindo sutikti su šiais kasacinio skundo argumentais</w:t>
      </w:r>
      <w:r w:rsidR="00C17EE1" w:rsidRPr="002F17D0">
        <w:rPr>
          <w:iCs/>
          <w:szCs w:val="24"/>
        </w:rPr>
        <w:t>.</w:t>
      </w:r>
    </w:p>
    <w:p w14:paraId="4257BD80" w14:textId="73027523" w:rsidR="00343633" w:rsidRPr="002F17D0" w:rsidRDefault="00211A92" w:rsidP="00F3678D">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 xml:space="preserve">Visų pirma, pažymėtina, </w:t>
      </w:r>
      <w:r w:rsidR="00F3678D" w:rsidRPr="002F17D0">
        <w:rPr>
          <w:rFonts w:eastAsia="Times New Roman"/>
          <w:bCs/>
          <w:iCs/>
          <w:color w:val="auto"/>
          <w:szCs w:val="24"/>
          <w:lang w:eastAsia="lt-LT" w:bidi="lt-LT"/>
        </w:rPr>
        <w:t>jog</w:t>
      </w:r>
      <w:r w:rsidRPr="002F17D0">
        <w:rPr>
          <w:rFonts w:eastAsia="Times New Roman"/>
          <w:bCs/>
          <w:iCs/>
          <w:color w:val="auto"/>
          <w:szCs w:val="24"/>
          <w:lang w:eastAsia="lt-LT" w:bidi="lt-LT"/>
        </w:rPr>
        <w:t xml:space="preserve"> </w:t>
      </w:r>
      <w:bookmarkStart w:id="51" w:name="_Hlk170127626"/>
      <w:bookmarkStart w:id="52" w:name="_Hlk170129682"/>
      <w:r w:rsidRPr="002F17D0">
        <w:rPr>
          <w:rFonts w:eastAsia="Times New Roman"/>
          <w:bCs/>
          <w:iCs/>
          <w:color w:val="auto"/>
          <w:szCs w:val="24"/>
          <w:lang w:eastAsia="lt-LT" w:bidi="lt-LT"/>
        </w:rPr>
        <w:t xml:space="preserve">Reglamento 269/2014 </w:t>
      </w:r>
      <w:bookmarkEnd w:id="51"/>
      <w:r w:rsidRPr="002F17D0">
        <w:rPr>
          <w:rFonts w:eastAsia="Times New Roman"/>
          <w:bCs/>
          <w:iCs/>
          <w:color w:val="auto"/>
          <w:szCs w:val="24"/>
          <w:lang w:eastAsia="lt-LT" w:bidi="lt-LT"/>
        </w:rPr>
        <w:t>2 straipsn</w:t>
      </w:r>
      <w:r w:rsidR="00A77564" w:rsidRPr="002F17D0">
        <w:rPr>
          <w:rFonts w:eastAsia="Times New Roman"/>
          <w:bCs/>
          <w:iCs/>
          <w:color w:val="auto"/>
          <w:szCs w:val="24"/>
          <w:lang w:eastAsia="lt-LT" w:bidi="lt-LT"/>
        </w:rPr>
        <w:t>yje</w:t>
      </w:r>
      <w:r w:rsidRPr="002F17D0">
        <w:rPr>
          <w:rFonts w:eastAsia="Times New Roman"/>
          <w:bCs/>
          <w:iCs/>
          <w:color w:val="auto"/>
          <w:szCs w:val="24"/>
          <w:lang w:eastAsia="lt-LT" w:bidi="lt-LT"/>
        </w:rPr>
        <w:t xml:space="preserve"> nustatyta, kad</w:t>
      </w:r>
      <w:bookmarkEnd w:id="52"/>
      <w:r w:rsidR="00A77564"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įšaldomos visos I priede išvardytiems fiziniams ar juridiniams asmenims, su jais susijusiems subjektams ar įstaigoms priklausančios, jų nuosavybe esančios, jų valdomos ar kontroliuojamos lėšos ir ekonominiai ištekliai</w:t>
      </w:r>
      <w:r w:rsidR="00A77564" w:rsidRPr="002F17D0">
        <w:rPr>
          <w:rFonts w:eastAsia="Times New Roman"/>
          <w:bCs/>
          <w:iCs/>
          <w:color w:val="auto"/>
          <w:szCs w:val="24"/>
          <w:lang w:eastAsia="lt-LT" w:bidi="lt-LT"/>
        </w:rPr>
        <w:t xml:space="preserve"> (1 dalis); nesuteikiama galimybė I priede išvardytiems fiziniams ar juridiniams asmenims, su jais susijusiems subjektams ar įstaigoms tiesiogiai arba netiesiogiai naudotis lėšomis ar ekonominiais ištekliais arba galimybė jais naudotis tų fizinių ar juridinių asmenų, subjektų arba įstaigų naudai (2 dalis). Reglamento 269/2014 17 straipsnyje įtvirtinta, kad </w:t>
      </w:r>
      <w:r w:rsidR="00A77564" w:rsidRPr="002F17D0">
        <w:rPr>
          <w:iCs/>
          <w:szCs w:val="24"/>
        </w:rPr>
        <w:t xml:space="preserve">šis reglamentas taikomas Europos Sąjungos teritorijoje ir jį privalo įgyvendinti </w:t>
      </w:r>
      <w:bookmarkStart w:id="53" w:name="_Hlk170128442"/>
      <w:r w:rsidR="00A77564" w:rsidRPr="002F17D0">
        <w:rPr>
          <w:iCs/>
          <w:szCs w:val="24"/>
        </w:rPr>
        <w:t xml:space="preserve">visi juridiniai asmenys, subjektai ar įstaigos, kurie </w:t>
      </w:r>
      <w:bookmarkEnd w:id="53"/>
      <w:r w:rsidR="00A77564" w:rsidRPr="002F17D0">
        <w:rPr>
          <w:iCs/>
          <w:szCs w:val="24"/>
        </w:rPr>
        <w:t>yra įregistruoti ar įsteigti pagal valstybių narių teisę</w:t>
      </w:r>
      <w:r w:rsidR="00271FC6" w:rsidRPr="002F17D0">
        <w:rPr>
          <w:iCs/>
          <w:szCs w:val="24"/>
        </w:rPr>
        <w:t>,</w:t>
      </w:r>
      <w:r w:rsidR="00A77564" w:rsidRPr="002F17D0">
        <w:rPr>
          <w:iCs/>
          <w:szCs w:val="24"/>
        </w:rPr>
        <w:t xml:space="preserve"> </w:t>
      </w:r>
      <w:r w:rsidR="00271FC6" w:rsidRPr="002F17D0">
        <w:rPr>
          <w:iCs/>
          <w:szCs w:val="24"/>
        </w:rPr>
        <w:t xml:space="preserve">taip pat visi juridiniai asmenys, subjektai ar įstaigos, kurie vykdo visą arba dalį verslo Sąjungoje. </w:t>
      </w:r>
      <w:bookmarkStart w:id="54" w:name="_Hlk169247888"/>
      <w:r w:rsidR="00557B07" w:rsidRPr="002F17D0">
        <w:rPr>
          <w:rFonts w:eastAsia="Times New Roman"/>
          <w:bCs/>
          <w:iCs/>
          <w:color w:val="auto"/>
          <w:szCs w:val="24"/>
          <w:lang w:eastAsia="lt-LT" w:bidi="lt-LT"/>
        </w:rPr>
        <w:t xml:space="preserve">Taigi kiekvienas juridinis asmuo, subjektas ar </w:t>
      </w:r>
      <w:r w:rsidR="00271FC6" w:rsidRPr="002F17D0">
        <w:rPr>
          <w:rFonts w:eastAsia="Times New Roman"/>
          <w:bCs/>
          <w:iCs/>
          <w:color w:val="auto"/>
          <w:szCs w:val="24"/>
          <w:lang w:eastAsia="lt-LT" w:bidi="lt-LT"/>
        </w:rPr>
        <w:t>įstaiga</w:t>
      </w:r>
      <w:r w:rsidR="00557B07" w:rsidRPr="002F17D0">
        <w:rPr>
          <w:rFonts w:eastAsia="Times New Roman"/>
          <w:bCs/>
          <w:iCs/>
          <w:color w:val="auto"/>
          <w:szCs w:val="24"/>
          <w:lang w:eastAsia="lt-LT" w:bidi="lt-LT"/>
        </w:rPr>
        <w:t xml:space="preserve"> turi savarankiškai (nepriklausomai nuo FNTT ar kitų institucijų nuomonės) vertinti galimas verslo partnerio, kliento ar kito asmens, su kuriuo sieja ar pradedami teisiniai santykiai, </w:t>
      </w:r>
      <w:bookmarkStart w:id="55" w:name="_Hlk169212029"/>
      <w:r w:rsidR="00557B07" w:rsidRPr="002F17D0">
        <w:rPr>
          <w:rFonts w:eastAsia="Times New Roman"/>
          <w:bCs/>
          <w:iCs/>
          <w:color w:val="auto"/>
          <w:szCs w:val="24"/>
          <w:lang w:eastAsia="lt-LT" w:bidi="lt-LT"/>
        </w:rPr>
        <w:t>sąsajas su subjektu, kuriam yra taikomos Europos Sąjungos sankcijos</w:t>
      </w:r>
      <w:bookmarkEnd w:id="55"/>
      <w:r w:rsidR="00557B07" w:rsidRPr="002F17D0">
        <w:rPr>
          <w:rFonts w:eastAsia="Times New Roman"/>
          <w:bCs/>
          <w:iCs/>
          <w:color w:val="auto"/>
          <w:szCs w:val="24"/>
          <w:lang w:eastAsia="lt-LT" w:bidi="lt-LT"/>
        </w:rPr>
        <w:t>, bei spręsti dėl teisinių santykių su tokiu asmeniu galimumo</w:t>
      </w:r>
      <w:r w:rsidR="00271FC6" w:rsidRPr="002F17D0">
        <w:rPr>
          <w:rFonts w:eastAsia="Times New Roman"/>
          <w:bCs/>
          <w:iCs/>
          <w:color w:val="auto"/>
          <w:szCs w:val="24"/>
          <w:lang w:eastAsia="lt-LT" w:bidi="lt-LT"/>
        </w:rPr>
        <w:t>.</w:t>
      </w:r>
      <w:r w:rsidR="00343633" w:rsidRPr="002F17D0">
        <w:rPr>
          <w:rFonts w:eastAsia="Times New Roman"/>
          <w:bCs/>
          <w:iCs/>
          <w:color w:val="auto"/>
          <w:szCs w:val="24"/>
          <w:lang w:eastAsia="lt-LT" w:bidi="lt-LT"/>
        </w:rPr>
        <w:t xml:space="preserve"> </w:t>
      </w:r>
      <w:bookmarkEnd w:id="54"/>
      <w:r w:rsidR="00247CE8" w:rsidRPr="002F17D0">
        <w:rPr>
          <w:rFonts w:eastAsia="Times New Roman"/>
          <w:bCs/>
          <w:iCs/>
          <w:color w:val="auto"/>
          <w:szCs w:val="24"/>
          <w:lang w:eastAsia="lt-LT" w:bidi="lt-LT"/>
        </w:rPr>
        <w:t>Vadovaujantis tuo</w:t>
      </w:r>
      <w:r w:rsidR="00343633" w:rsidRPr="002F17D0">
        <w:rPr>
          <w:rFonts w:eastAsia="Times New Roman"/>
          <w:bCs/>
          <w:iCs/>
          <w:color w:val="auto"/>
          <w:szCs w:val="24"/>
          <w:lang w:eastAsia="lt-LT" w:bidi="lt-LT"/>
        </w:rPr>
        <w:t>, būtent atsakovei, kaip ieškovės verslo partnerei</w:t>
      </w:r>
      <w:r w:rsidR="00405986" w:rsidRPr="002F17D0">
        <w:rPr>
          <w:rFonts w:eastAsia="Times New Roman"/>
          <w:bCs/>
          <w:iCs/>
          <w:color w:val="auto"/>
          <w:szCs w:val="24"/>
          <w:lang w:eastAsia="lt-LT" w:bidi="lt-LT"/>
        </w:rPr>
        <w:t>,</w:t>
      </w:r>
      <w:r w:rsidR="00343633" w:rsidRPr="002F17D0">
        <w:rPr>
          <w:rFonts w:eastAsia="Times New Roman"/>
          <w:bCs/>
          <w:iCs/>
          <w:color w:val="auto"/>
          <w:szCs w:val="24"/>
          <w:lang w:eastAsia="lt-LT" w:bidi="lt-LT"/>
        </w:rPr>
        <w:t xml:space="preserve"> kilo pareiga vertinti ieškovės sąsajas su </w:t>
      </w:r>
      <w:bookmarkStart w:id="56" w:name="_Hlk169212260"/>
      <w:r w:rsidR="00343633" w:rsidRPr="002F17D0">
        <w:rPr>
          <w:rFonts w:eastAsia="Times New Roman"/>
          <w:bCs/>
          <w:iCs/>
          <w:color w:val="auto"/>
          <w:szCs w:val="24"/>
          <w:lang w:eastAsia="lt-LT" w:bidi="lt-LT"/>
        </w:rPr>
        <w:t>subjektu (-ais), kuriam (-iems) yra taikomos Europos Sąjungos sankcijos.</w:t>
      </w:r>
      <w:bookmarkEnd w:id="56"/>
      <w:r w:rsidR="00343633" w:rsidRPr="002F17D0">
        <w:rPr>
          <w:rFonts w:eastAsia="Times New Roman"/>
          <w:bCs/>
          <w:iCs/>
          <w:color w:val="auto"/>
          <w:szCs w:val="24"/>
          <w:lang w:eastAsia="lt-LT" w:bidi="lt-LT"/>
        </w:rPr>
        <w:t xml:space="preserve"> Taigi šiuo atveju, jei</w:t>
      </w:r>
      <w:r w:rsidR="00F3678D" w:rsidRPr="002F17D0">
        <w:rPr>
          <w:rFonts w:eastAsia="Times New Roman"/>
          <w:bCs/>
          <w:iCs/>
          <w:color w:val="auto"/>
          <w:szCs w:val="24"/>
          <w:lang w:eastAsia="lt-LT" w:bidi="lt-LT"/>
        </w:rPr>
        <w:t>gu</w:t>
      </w:r>
      <w:r w:rsidR="00343633" w:rsidRPr="002F17D0">
        <w:rPr>
          <w:rFonts w:eastAsia="Times New Roman"/>
          <w:bCs/>
          <w:iCs/>
          <w:color w:val="auto"/>
          <w:szCs w:val="24"/>
          <w:lang w:eastAsia="lt-LT" w:bidi="lt-LT"/>
        </w:rPr>
        <w:t xml:space="preserve"> administracinė</w:t>
      </w:r>
      <w:r w:rsidR="00F3678D" w:rsidRPr="002F17D0">
        <w:rPr>
          <w:rFonts w:eastAsia="Times New Roman"/>
          <w:bCs/>
          <w:iCs/>
          <w:color w:val="auto"/>
          <w:szCs w:val="24"/>
          <w:lang w:eastAsia="lt-LT" w:bidi="lt-LT"/>
        </w:rPr>
        <w:t>je</w:t>
      </w:r>
      <w:r w:rsidR="00343633" w:rsidRPr="002F17D0">
        <w:rPr>
          <w:rFonts w:eastAsia="Times New Roman"/>
          <w:bCs/>
          <w:iCs/>
          <w:color w:val="auto"/>
          <w:szCs w:val="24"/>
          <w:lang w:eastAsia="lt-LT" w:bidi="lt-LT"/>
        </w:rPr>
        <w:t xml:space="preserve"> bylo</w:t>
      </w:r>
      <w:r w:rsidR="00F3678D" w:rsidRPr="002F17D0">
        <w:rPr>
          <w:rFonts w:eastAsia="Times New Roman"/>
          <w:bCs/>
          <w:iCs/>
          <w:color w:val="auto"/>
          <w:szCs w:val="24"/>
          <w:lang w:eastAsia="lt-LT" w:bidi="lt-LT"/>
        </w:rPr>
        <w:t>je</w:t>
      </w:r>
      <w:r w:rsidR="00343633" w:rsidRPr="002F17D0">
        <w:rPr>
          <w:rFonts w:eastAsia="Times New Roman"/>
          <w:bCs/>
          <w:iCs/>
          <w:color w:val="auto"/>
          <w:szCs w:val="24"/>
          <w:lang w:eastAsia="lt-LT" w:bidi="lt-LT"/>
        </w:rPr>
        <w:t>, kuri</w:t>
      </w:r>
      <w:r w:rsidR="00F3678D" w:rsidRPr="002F17D0">
        <w:rPr>
          <w:rFonts w:eastAsia="Times New Roman"/>
          <w:bCs/>
          <w:iCs/>
          <w:color w:val="auto"/>
          <w:szCs w:val="24"/>
          <w:lang w:eastAsia="lt-LT" w:bidi="lt-LT"/>
        </w:rPr>
        <w:t>oje priimtu teismo sprendimu</w:t>
      </w:r>
      <w:r w:rsidR="00343633" w:rsidRPr="002F17D0">
        <w:rPr>
          <w:rFonts w:eastAsia="Times New Roman"/>
          <w:bCs/>
          <w:iCs/>
          <w:color w:val="auto"/>
          <w:szCs w:val="24"/>
          <w:lang w:eastAsia="lt-LT" w:bidi="lt-LT"/>
        </w:rPr>
        <w:t xml:space="preserve"> remiasi ieškovė, ir būtų nustatyti FNTT neteisėti veiksmai įtraukiant ieškovę į Sąrašą, tai savaime nereikštų </w:t>
      </w:r>
      <w:r w:rsidR="004705D1" w:rsidRPr="002F17D0">
        <w:rPr>
          <w:rFonts w:eastAsia="Times New Roman"/>
          <w:bCs/>
          <w:iCs/>
          <w:color w:val="auto"/>
          <w:szCs w:val="24"/>
          <w:lang w:eastAsia="lt-LT" w:bidi="lt-LT"/>
        </w:rPr>
        <w:t>atsakovės</w:t>
      </w:r>
      <w:r w:rsidR="00343633" w:rsidRPr="002F17D0">
        <w:rPr>
          <w:rFonts w:eastAsia="Times New Roman"/>
          <w:bCs/>
          <w:iCs/>
          <w:color w:val="auto"/>
          <w:szCs w:val="24"/>
          <w:lang w:eastAsia="lt-LT" w:bidi="lt-LT"/>
        </w:rPr>
        <w:t xml:space="preserve"> veiksmų neteisėtumo, kadangi atsakovė yra</w:t>
      </w:r>
      <w:r w:rsidR="00E706CA" w:rsidRPr="002F17D0">
        <w:rPr>
          <w:rFonts w:eastAsia="Times New Roman"/>
          <w:bCs/>
          <w:iCs/>
          <w:color w:val="auto"/>
          <w:szCs w:val="24"/>
          <w:lang w:eastAsia="lt-LT" w:bidi="lt-LT"/>
        </w:rPr>
        <w:t xml:space="preserve"> įpareigota savarankiškai vertinti galimas ieškovės sąsajas su </w:t>
      </w:r>
      <w:bookmarkStart w:id="57" w:name="_Hlk169212646"/>
      <w:r w:rsidR="00E706CA" w:rsidRPr="002F17D0">
        <w:rPr>
          <w:rFonts w:eastAsia="Times New Roman"/>
          <w:bCs/>
          <w:iCs/>
          <w:color w:val="auto"/>
          <w:szCs w:val="24"/>
          <w:lang w:eastAsia="lt-LT" w:bidi="lt-LT"/>
        </w:rPr>
        <w:t>subjektu, kuriam yra taikomos Europos Sąjungos sankcijos</w:t>
      </w:r>
      <w:r w:rsidR="00F3678D" w:rsidRPr="002F17D0">
        <w:rPr>
          <w:rFonts w:eastAsia="Times New Roman"/>
          <w:bCs/>
          <w:iCs/>
          <w:color w:val="auto"/>
          <w:szCs w:val="24"/>
          <w:lang w:eastAsia="lt-LT" w:bidi="lt-LT"/>
        </w:rPr>
        <w:t>,</w:t>
      </w:r>
      <w:r w:rsidR="00E706CA" w:rsidRPr="002F17D0">
        <w:rPr>
          <w:rFonts w:eastAsia="Times New Roman"/>
          <w:bCs/>
          <w:iCs/>
          <w:color w:val="auto"/>
          <w:szCs w:val="24"/>
          <w:lang w:eastAsia="lt-LT" w:bidi="lt-LT"/>
        </w:rPr>
        <w:t xml:space="preserve"> </w:t>
      </w:r>
      <w:bookmarkEnd w:id="57"/>
      <w:r w:rsidR="00E706CA" w:rsidRPr="002F17D0">
        <w:rPr>
          <w:rFonts w:eastAsia="Times New Roman"/>
          <w:bCs/>
          <w:iCs/>
          <w:color w:val="auto"/>
          <w:szCs w:val="24"/>
          <w:lang w:eastAsia="lt-LT" w:bidi="lt-LT"/>
        </w:rPr>
        <w:t xml:space="preserve">analizuojant ir kitą jai prieinamą informaciją </w:t>
      </w:r>
      <w:r w:rsidR="00E8374C" w:rsidRPr="002F17D0">
        <w:rPr>
          <w:rFonts w:eastAsia="Times New Roman"/>
          <w:bCs/>
          <w:iCs/>
          <w:color w:val="auto"/>
          <w:szCs w:val="24"/>
          <w:lang w:eastAsia="lt-LT" w:bidi="lt-LT"/>
        </w:rPr>
        <w:t>bei</w:t>
      </w:r>
      <w:r w:rsidR="00E706CA" w:rsidRPr="002F17D0">
        <w:rPr>
          <w:rFonts w:eastAsia="Times New Roman"/>
          <w:bCs/>
          <w:iCs/>
          <w:color w:val="auto"/>
          <w:szCs w:val="24"/>
          <w:lang w:eastAsia="lt-LT" w:bidi="lt-LT"/>
        </w:rPr>
        <w:t xml:space="preserve"> duomenis.</w:t>
      </w:r>
      <w:r w:rsidR="00F3678D" w:rsidRPr="002F17D0">
        <w:rPr>
          <w:rFonts w:eastAsia="Times New Roman"/>
          <w:bCs/>
          <w:iCs/>
          <w:color w:val="auto"/>
          <w:szCs w:val="24"/>
          <w:lang w:eastAsia="lt-LT" w:bidi="lt-LT"/>
        </w:rPr>
        <w:t xml:space="preserve"> Pažymėtina ir tai, jog Reglamento 269/2014 </w:t>
      </w:r>
      <w:r w:rsidR="006204EB" w:rsidRPr="002F17D0">
        <w:rPr>
          <w:rFonts w:eastAsia="Times New Roman"/>
          <w:bCs/>
          <w:iCs/>
          <w:color w:val="auto"/>
          <w:szCs w:val="24"/>
          <w:lang w:eastAsia="lt-LT" w:bidi="lt-LT"/>
        </w:rPr>
        <w:t>10</w:t>
      </w:r>
      <w:r w:rsidR="00F3678D" w:rsidRPr="002F17D0">
        <w:rPr>
          <w:rFonts w:eastAsia="Times New Roman"/>
          <w:bCs/>
          <w:iCs/>
          <w:color w:val="auto"/>
          <w:szCs w:val="24"/>
          <w:lang w:eastAsia="lt-LT" w:bidi="lt-LT"/>
        </w:rPr>
        <w:t xml:space="preserve"> straipsnyje nustatyta, kad</w:t>
      </w:r>
      <w:r w:rsidR="006204EB" w:rsidRPr="002F17D0">
        <w:rPr>
          <w:rFonts w:eastAsia="Times New Roman"/>
          <w:bCs/>
          <w:iCs/>
          <w:color w:val="auto"/>
          <w:szCs w:val="24"/>
          <w:lang w:eastAsia="lt-LT" w:bidi="lt-LT"/>
        </w:rPr>
        <w:t>:</w:t>
      </w:r>
      <w:r w:rsidR="00F3678D" w:rsidRPr="002F17D0">
        <w:rPr>
          <w:rFonts w:eastAsia="Times New Roman"/>
          <w:bCs/>
          <w:iCs/>
          <w:color w:val="auto"/>
          <w:szCs w:val="24"/>
          <w:lang w:eastAsia="lt-LT" w:bidi="lt-LT"/>
        </w:rPr>
        <w:t xml:space="preserve"> dėl lėšų ir ekonominių išteklių įšaldymo arba atsisakymo leisti naudotis lėšomis ar ekonominiais ištekliais, kai šie veiksmai vykdomi sąžiningai ir vadovaujantis tuo, kad jais laikomasi šio reglamento, neatsiranda jokia jį įgyvendinančio fizinio ar juridinio asmens, subjekto ar įstaigos, jų direktorių ar darbuotojų atsakomybė, išskyrus atvejus, kai įrodoma, kad lėšos ir ekonominiai ištekliai buvo įšaldyti arba jais neleista naudotis dėl aplaidumo</w:t>
      </w:r>
      <w:r w:rsidR="006204EB" w:rsidRPr="002F17D0">
        <w:rPr>
          <w:rFonts w:eastAsia="Times New Roman"/>
          <w:bCs/>
          <w:iCs/>
          <w:color w:val="auto"/>
          <w:szCs w:val="24"/>
          <w:lang w:eastAsia="lt-LT" w:bidi="lt-LT"/>
        </w:rPr>
        <w:t xml:space="preserve"> (1 dalis); fiziniai ar juridiniai asmenys, subjektai ar įstaigos nelaikomi atsakingais už savo veiksmus, jeigu jie nežinojo ir neturėjo pagrįstos priežasties įtarti, kad savo veiksmais jie pažeistų šiame reglamente nustatytas priemones (2 dalis).</w:t>
      </w:r>
    </w:p>
    <w:p w14:paraId="0E54B7DA" w14:textId="521C83D6" w:rsidR="00E706CA" w:rsidRPr="002F17D0" w:rsidRDefault="00E706CA" w:rsidP="00343633">
      <w:pPr>
        <w:numPr>
          <w:ilvl w:val="0"/>
          <w:numId w:val="11"/>
        </w:numPr>
        <w:tabs>
          <w:tab w:val="left" w:pos="630"/>
          <w:tab w:val="left" w:pos="900"/>
          <w:tab w:val="left" w:pos="990"/>
        </w:tabs>
        <w:autoSpaceDN/>
        <w:spacing w:after="120"/>
        <w:jc w:val="both"/>
        <w:textAlignment w:val="auto"/>
        <w:rPr>
          <w:rFonts w:asciiTheme="majorBidi" w:eastAsia="Times New Roman" w:hAnsiTheme="majorBidi" w:cstheme="majorBidi"/>
          <w:bCs/>
          <w:iCs/>
          <w:color w:val="auto"/>
          <w:szCs w:val="24"/>
          <w:lang w:eastAsia="lt-LT" w:bidi="lt-LT"/>
        </w:rPr>
      </w:pPr>
      <w:r w:rsidRPr="002F17D0">
        <w:rPr>
          <w:rFonts w:eastAsia="Times New Roman"/>
          <w:bCs/>
          <w:iCs/>
          <w:color w:val="auto"/>
          <w:szCs w:val="24"/>
          <w:lang w:eastAsia="lt-LT" w:bidi="lt-LT"/>
        </w:rPr>
        <w:t xml:space="preserve">Antra, šioje byloje sprendžiama, ar atsakovė </w:t>
      </w:r>
      <w:r w:rsidR="006204EB" w:rsidRPr="002F17D0">
        <w:rPr>
          <w:rFonts w:eastAsia="Times New Roman"/>
          <w:bCs/>
          <w:iCs/>
          <w:color w:val="auto"/>
          <w:szCs w:val="24"/>
          <w:lang w:eastAsia="lt-LT" w:bidi="lt-LT"/>
        </w:rPr>
        <w:t>teisėtai</w:t>
      </w:r>
      <w:r w:rsidRPr="002F17D0">
        <w:rPr>
          <w:rFonts w:eastAsia="Times New Roman"/>
          <w:bCs/>
          <w:iCs/>
          <w:color w:val="auto"/>
          <w:szCs w:val="24"/>
          <w:lang w:eastAsia="lt-LT" w:bidi="lt-LT"/>
        </w:rPr>
        <w:t xml:space="preserve"> 2022 m. birželio 28 d. sustabdė Sutart</w:t>
      </w:r>
      <w:r w:rsidR="006204EB" w:rsidRPr="002F17D0">
        <w:rPr>
          <w:rFonts w:eastAsia="Times New Roman"/>
          <w:bCs/>
          <w:iCs/>
          <w:color w:val="auto"/>
          <w:szCs w:val="24"/>
          <w:lang w:eastAsia="lt-LT" w:bidi="lt-LT"/>
        </w:rPr>
        <w:t>ies vykdymą</w:t>
      </w:r>
      <w:r w:rsidRPr="002F17D0">
        <w:rPr>
          <w:rFonts w:eastAsia="Times New Roman"/>
          <w:bCs/>
          <w:iCs/>
          <w:color w:val="auto"/>
          <w:szCs w:val="24"/>
          <w:lang w:eastAsia="lt-LT" w:bidi="lt-LT"/>
        </w:rPr>
        <w:t xml:space="preserve">, t. y. turi būti retrospektyviai įvertinta, ar Sutarties sustabdymo metu iš viešai prieinamos ir kitos atsakovės turimos informacijos atsakovė galėjo padaryti išvadą, kad dėl ieškovės sąsajų su subjektu, kuriam yra taikomos Europos Sąjungos sankcijos, ieškovė taip pat patenka į </w:t>
      </w:r>
      <w:bookmarkStart w:id="58" w:name="_Hlk170155927"/>
      <w:r w:rsidRPr="002F17D0">
        <w:rPr>
          <w:rFonts w:eastAsia="Times New Roman"/>
          <w:bCs/>
          <w:iCs/>
          <w:color w:val="auto"/>
          <w:szCs w:val="24"/>
          <w:lang w:eastAsia="lt-LT" w:bidi="lt-LT"/>
        </w:rPr>
        <w:t xml:space="preserve">Reglamento 269/2014 </w:t>
      </w:r>
      <w:bookmarkEnd w:id="58"/>
      <w:r w:rsidRPr="002F17D0">
        <w:rPr>
          <w:rFonts w:eastAsia="Times New Roman"/>
          <w:bCs/>
          <w:iCs/>
          <w:color w:val="auto"/>
          <w:szCs w:val="24"/>
          <w:lang w:eastAsia="lt-LT" w:bidi="lt-LT"/>
        </w:rPr>
        <w:t xml:space="preserve">taikymo </w:t>
      </w:r>
      <w:r w:rsidR="00F36169" w:rsidRPr="002F17D0">
        <w:rPr>
          <w:rFonts w:eastAsia="Times New Roman"/>
          <w:bCs/>
          <w:iCs/>
          <w:color w:val="auto"/>
          <w:szCs w:val="24"/>
          <w:lang w:eastAsia="lt-LT" w:bidi="lt-LT"/>
        </w:rPr>
        <w:t>sritį</w:t>
      </w:r>
      <w:r w:rsidRPr="002F17D0">
        <w:rPr>
          <w:rFonts w:eastAsia="Times New Roman"/>
          <w:bCs/>
          <w:iCs/>
          <w:color w:val="auto"/>
          <w:szCs w:val="24"/>
          <w:lang w:eastAsia="lt-LT" w:bidi="lt-LT"/>
        </w:rPr>
        <w:t>. Taigi net jei</w:t>
      </w:r>
      <w:r w:rsidR="006204EB" w:rsidRPr="002F17D0">
        <w:rPr>
          <w:rFonts w:eastAsia="Times New Roman"/>
          <w:bCs/>
          <w:iCs/>
          <w:color w:val="auto"/>
          <w:szCs w:val="24"/>
          <w:lang w:eastAsia="lt-LT" w:bidi="lt-LT"/>
        </w:rPr>
        <w:t>gu</w:t>
      </w:r>
      <w:r w:rsidRPr="002F17D0">
        <w:rPr>
          <w:rFonts w:eastAsia="Times New Roman"/>
          <w:bCs/>
          <w:iCs/>
          <w:color w:val="auto"/>
          <w:szCs w:val="24"/>
          <w:lang w:eastAsia="lt-LT" w:bidi="lt-LT"/>
        </w:rPr>
        <w:t xml:space="preserve"> įsiteisėjusi</w:t>
      </w:r>
      <w:r w:rsidR="006204EB" w:rsidRPr="002F17D0">
        <w:rPr>
          <w:rFonts w:eastAsia="Times New Roman"/>
          <w:bCs/>
          <w:iCs/>
          <w:color w:val="auto"/>
          <w:szCs w:val="24"/>
          <w:lang w:eastAsia="lt-LT" w:bidi="lt-LT"/>
        </w:rPr>
        <w:t>u</w:t>
      </w:r>
      <w:r w:rsidRPr="002F17D0">
        <w:rPr>
          <w:rFonts w:eastAsia="Times New Roman"/>
          <w:bCs/>
          <w:iCs/>
          <w:color w:val="auto"/>
          <w:szCs w:val="24"/>
          <w:lang w:eastAsia="lt-LT" w:bidi="lt-LT"/>
        </w:rPr>
        <w:t xml:space="preserve"> </w:t>
      </w:r>
      <w:r w:rsidR="00F36169" w:rsidRPr="002F17D0">
        <w:rPr>
          <w:rFonts w:eastAsia="Times New Roman"/>
          <w:bCs/>
          <w:iCs/>
          <w:color w:val="auto"/>
          <w:szCs w:val="24"/>
          <w:lang w:eastAsia="lt-LT" w:bidi="lt-LT"/>
        </w:rPr>
        <w:t>teism</w:t>
      </w:r>
      <w:r w:rsidR="006204EB" w:rsidRPr="002F17D0">
        <w:rPr>
          <w:rFonts w:eastAsia="Times New Roman"/>
          <w:bCs/>
          <w:iCs/>
          <w:color w:val="auto"/>
          <w:szCs w:val="24"/>
          <w:lang w:eastAsia="lt-LT" w:bidi="lt-LT"/>
        </w:rPr>
        <w:t>o</w:t>
      </w:r>
      <w:r w:rsidR="00F36169"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sprendim</w:t>
      </w:r>
      <w:r w:rsidR="006204EB" w:rsidRPr="002F17D0">
        <w:rPr>
          <w:rFonts w:eastAsia="Times New Roman"/>
          <w:bCs/>
          <w:iCs/>
          <w:color w:val="auto"/>
          <w:szCs w:val="24"/>
          <w:lang w:eastAsia="lt-LT" w:bidi="lt-LT"/>
        </w:rPr>
        <w:t>u</w:t>
      </w:r>
      <w:r w:rsidRPr="002F17D0">
        <w:rPr>
          <w:rFonts w:eastAsia="Times New Roman"/>
          <w:bCs/>
          <w:iCs/>
          <w:color w:val="auto"/>
          <w:szCs w:val="24"/>
          <w:lang w:eastAsia="lt-LT" w:bidi="lt-LT"/>
        </w:rPr>
        <w:t xml:space="preserve"> administracinė</w:t>
      </w:r>
      <w:r w:rsidR="006204EB" w:rsidRPr="002F17D0">
        <w:rPr>
          <w:rFonts w:eastAsia="Times New Roman"/>
          <w:bCs/>
          <w:iCs/>
          <w:color w:val="auto"/>
          <w:szCs w:val="24"/>
          <w:lang w:eastAsia="lt-LT" w:bidi="lt-LT"/>
        </w:rPr>
        <w:t>je</w:t>
      </w:r>
      <w:r w:rsidRPr="002F17D0">
        <w:rPr>
          <w:rFonts w:eastAsia="Times New Roman"/>
          <w:bCs/>
          <w:iCs/>
          <w:color w:val="auto"/>
          <w:szCs w:val="24"/>
          <w:lang w:eastAsia="lt-LT" w:bidi="lt-LT"/>
        </w:rPr>
        <w:t xml:space="preserve"> bylo</w:t>
      </w:r>
      <w:r w:rsidR="006204EB" w:rsidRPr="002F17D0">
        <w:rPr>
          <w:rFonts w:eastAsia="Times New Roman"/>
          <w:bCs/>
          <w:iCs/>
          <w:color w:val="auto"/>
          <w:szCs w:val="24"/>
          <w:lang w:eastAsia="lt-LT" w:bidi="lt-LT"/>
        </w:rPr>
        <w:t>j</w:t>
      </w:r>
      <w:r w:rsidRPr="002F17D0">
        <w:rPr>
          <w:rFonts w:eastAsia="Times New Roman"/>
          <w:bCs/>
          <w:iCs/>
          <w:color w:val="auto"/>
          <w:szCs w:val="24"/>
          <w:lang w:eastAsia="lt-LT" w:bidi="lt-LT"/>
        </w:rPr>
        <w:t>e ir būtų nustatyta, kad ieškovė į Sąrašą buvo įtraukta nepagrįstai (visą laikotarpį ar atitinkamą jo dalį)</w:t>
      </w:r>
      <w:r w:rsidR="00E8374C" w:rsidRPr="002F17D0">
        <w:rPr>
          <w:rFonts w:eastAsia="Times New Roman"/>
          <w:bCs/>
          <w:iCs/>
          <w:color w:val="auto"/>
          <w:szCs w:val="24"/>
          <w:lang w:eastAsia="lt-LT" w:bidi="lt-LT"/>
        </w:rPr>
        <w:t xml:space="preserve">, tai neturėtų įtakos vertinant atsakovės veiksmų (ne)teisėtumą </w:t>
      </w:r>
      <w:r w:rsidR="00E8374C" w:rsidRPr="002F17D0">
        <w:rPr>
          <w:rFonts w:asciiTheme="majorBidi" w:eastAsia="Times New Roman" w:hAnsiTheme="majorBidi" w:cstheme="majorBidi"/>
          <w:bCs/>
          <w:iCs/>
          <w:color w:val="auto"/>
          <w:szCs w:val="24"/>
          <w:lang w:eastAsia="lt-LT" w:bidi="lt-LT"/>
        </w:rPr>
        <w:t>Sutarties</w:t>
      </w:r>
      <w:r w:rsidR="006204EB" w:rsidRPr="002F17D0">
        <w:rPr>
          <w:rFonts w:asciiTheme="majorBidi" w:eastAsia="Times New Roman" w:hAnsiTheme="majorBidi" w:cstheme="majorBidi"/>
          <w:bCs/>
          <w:iCs/>
          <w:color w:val="auto"/>
          <w:szCs w:val="24"/>
          <w:lang w:eastAsia="lt-LT" w:bidi="lt-LT"/>
        </w:rPr>
        <w:t xml:space="preserve"> vykdymo</w:t>
      </w:r>
      <w:r w:rsidR="00E8374C" w:rsidRPr="002F17D0">
        <w:rPr>
          <w:rFonts w:asciiTheme="majorBidi" w:eastAsia="Times New Roman" w:hAnsiTheme="majorBidi" w:cstheme="majorBidi"/>
          <w:bCs/>
          <w:iCs/>
          <w:color w:val="auto"/>
          <w:szCs w:val="24"/>
          <w:lang w:eastAsia="lt-LT" w:bidi="lt-LT"/>
        </w:rPr>
        <w:t xml:space="preserve"> sustabdymo metu, kadangi</w:t>
      </w:r>
      <w:r w:rsidR="00405986" w:rsidRPr="002F17D0">
        <w:rPr>
          <w:rFonts w:asciiTheme="majorBidi" w:eastAsia="Times New Roman" w:hAnsiTheme="majorBidi" w:cstheme="majorBidi"/>
          <w:bCs/>
          <w:iCs/>
          <w:color w:val="auto"/>
          <w:szCs w:val="24"/>
          <w:lang w:eastAsia="lt-LT" w:bidi="lt-LT"/>
        </w:rPr>
        <w:t>,</w:t>
      </w:r>
      <w:r w:rsidR="00E8374C" w:rsidRPr="002F17D0">
        <w:rPr>
          <w:rFonts w:asciiTheme="majorBidi" w:eastAsia="Times New Roman" w:hAnsiTheme="majorBidi" w:cstheme="majorBidi"/>
          <w:bCs/>
          <w:iCs/>
          <w:color w:val="auto"/>
          <w:szCs w:val="24"/>
          <w:lang w:eastAsia="lt-LT" w:bidi="lt-LT"/>
        </w:rPr>
        <w:t xml:space="preserve"> vertinant retrospektyviai, </w:t>
      </w:r>
      <w:r w:rsidR="007E0681" w:rsidRPr="002F17D0">
        <w:rPr>
          <w:rFonts w:asciiTheme="majorBidi" w:eastAsia="Times New Roman" w:hAnsiTheme="majorBidi" w:cstheme="majorBidi"/>
          <w:bCs/>
          <w:iCs/>
          <w:color w:val="auto"/>
          <w:szCs w:val="24"/>
          <w:lang w:eastAsia="lt-LT" w:bidi="lt-LT"/>
        </w:rPr>
        <w:t xml:space="preserve">sustabdant </w:t>
      </w:r>
      <w:r w:rsidR="00E8374C" w:rsidRPr="002F17D0">
        <w:rPr>
          <w:rFonts w:asciiTheme="majorBidi" w:eastAsia="Times New Roman" w:hAnsiTheme="majorBidi" w:cstheme="majorBidi"/>
          <w:bCs/>
          <w:iCs/>
          <w:color w:val="auto"/>
          <w:szCs w:val="24"/>
          <w:lang w:eastAsia="lt-LT" w:bidi="lt-LT"/>
        </w:rPr>
        <w:t xml:space="preserve">Sutarties </w:t>
      </w:r>
      <w:r w:rsidR="006204EB" w:rsidRPr="002F17D0">
        <w:rPr>
          <w:rFonts w:asciiTheme="majorBidi" w:eastAsia="Times New Roman" w:hAnsiTheme="majorBidi" w:cstheme="majorBidi"/>
          <w:bCs/>
          <w:iCs/>
          <w:color w:val="auto"/>
          <w:szCs w:val="24"/>
          <w:lang w:eastAsia="lt-LT" w:bidi="lt-LT"/>
        </w:rPr>
        <w:t>vykdym</w:t>
      </w:r>
      <w:r w:rsidR="007E0681" w:rsidRPr="002F17D0">
        <w:rPr>
          <w:rFonts w:asciiTheme="majorBidi" w:eastAsia="Times New Roman" w:hAnsiTheme="majorBidi" w:cstheme="majorBidi"/>
          <w:bCs/>
          <w:iCs/>
          <w:color w:val="auto"/>
          <w:szCs w:val="24"/>
          <w:lang w:eastAsia="lt-LT" w:bidi="lt-LT"/>
        </w:rPr>
        <w:t>ą</w:t>
      </w:r>
      <w:r w:rsidR="00E8374C" w:rsidRPr="002F17D0">
        <w:rPr>
          <w:rFonts w:asciiTheme="majorBidi" w:eastAsia="Times New Roman" w:hAnsiTheme="majorBidi" w:cstheme="majorBidi"/>
          <w:bCs/>
          <w:iCs/>
          <w:color w:val="auto"/>
          <w:szCs w:val="24"/>
          <w:lang w:eastAsia="lt-LT" w:bidi="lt-LT"/>
        </w:rPr>
        <w:t xml:space="preserve"> Sąrašas buvo nenuginčytas, t. y. jis buvo galiojantis</w:t>
      </w:r>
      <w:r w:rsidR="00F36169" w:rsidRPr="002F17D0">
        <w:rPr>
          <w:rFonts w:asciiTheme="majorBidi" w:eastAsia="Times New Roman" w:hAnsiTheme="majorBidi" w:cstheme="majorBidi"/>
          <w:bCs/>
          <w:iCs/>
          <w:color w:val="auto"/>
          <w:szCs w:val="24"/>
          <w:lang w:eastAsia="lt-LT" w:bidi="lt-LT"/>
        </w:rPr>
        <w:t xml:space="preserve"> ir ieškovė laikyta asmeniu, susijusiu su subjektu, kuriam taikomos Europos Sąjungos sankcijos</w:t>
      </w:r>
      <w:r w:rsidR="00E8374C" w:rsidRPr="002F17D0">
        <w:rPr>
          <w:rFonts w:asciiTheme="majorBidi" w:eastAsia="Times New Roman" w:hAnsiTheme="majorBidi" w:cstheme="majorBidi"/>
          <w:bCs/>
          <w:iCs/>
          <w:color w:val="auto"/>
          <w:szCs w:val="24"/>
          <w:lang w:eastAsia="lt-LT" w:bidi="lt-LT"/>
        </w:rPr>
        <w:t>.</w:t>
      </w:r>
    </w:p>
    <w:p w14:paraId="4DDD13D8" w14:textId="7C92CF50" w:rsidR="000D246A" w:rsidRPr="002F17D0" w:rsidRDefault="00DD4F98" w:rsidP="00533D42">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asciiTheme="majorBidi" w:eastAsia="Times New Roman" w:hAnsiTheme="majorBidi" w:cstheme="majorBidi"/>
          <w:bCs/>
          <w:iCs/>
          <w:color w:val="auto"/>
          <w:szCs w:val="24"/>
          <w:lang w:eastAsia="lt-LT" w:bidi="lt-LT"/>
        </w:rPr>
        <w:t xml:space="preserve">Trečia, </w:t>
      </w:r>
      <w:r w:rsidRPr="002F17D0">
        <w:rPr>
          <w:rFonts w:asciiTheme="majorBidi" w:hAnsiTheme="majorBidi" w:cstheme="majorBidi"/>
          <w:szCs w:val="24"/>
        </w:rPr>
        <w:t>teismo sprendimas sukelia materialiuosius ir procesinius teisinius padarinius, tampa privalom</w:t>
      </w:r>
      <w:r w:rsidR="00CD100B" w:rsidRPr="002F17D0">
        <w:rPr>
          <w:rFonts w:asciiTheme="majorBidi" w:hAnsiTheme="majorBidi" w:cstheme="majorBidi"/>
          <w:szCs w:val="24"/>
        </w:rPr>
        <w:t>as</w:t>
      </w:r>
      <w:r w:rsidRPr="002F17D0">
        <w:rPr>
          <w:rFonts w:asciiTheme="majorBidi" w:hAnsiTheme="majorBidi" w:cstheme="majorBidi"/>
          <w:szCs w:val="24"/>
        </w:rPr>
        <w:t xml:space="preserve"> </w:t>
      </w:r>
      <w:r w:rsidR="00CD100B" w:rsidRPr="002F17D0">
        <w:rPr>
          <w:rFonts w:asciiTheme="majorBidi" w:hAnsiTheme="majorBidi" w:cstheme="majorBidi"/>
          <w:szCs w:val="24"/>
        </w:rPr>
        <w:t>ir</w:t>
      </w:r>
      <w:r w:rsidRPr="002F17D0">
        <w:rPr>
          <w:rFonts w:asciiTheme="majorBidi" w:hAnsiTheme="majorBidi" w:cstheme="majorBidi"/>
          <w:szCs w:val="24"/>
        </w:rPr>
        <w:t xml:space="preserve"> </w:t>
      </w:r>
      <w:r w:rsidRPr="002F17D0">
        <w:rPr>
          <w:rFonts w:asciiTheme="majorBidi" w:eastAsia="Times New Roman" w:hAnsiTheme="majorBidi" w:cstheme="majorBidi"/>
          <w:szCs w:val="24"/>
        </w:rPr>
        <w:t xml:space="preserve">įgyja </w:t>
      </w:r>
      <w:proofErr w:type="spellStart"/>
      <w:r w:rsidRPr="002F17D0">
        <w:rPr>
          <w:rFonts w:asciiTheme="majorBidi" w:eastAsia="Times New Roman" w:hAnsiTheme="majorBidi" w:cstheme="majorBidi"/>
          <w:i/>
          <w:iCs/>
          <w:szCs w:val="24"/>
        </w:rPr>
        <w:t>res</w:t>
      </w:r>
      <w:proofErr w:type="spellEnd"/>
      <w:r w:rsidRPr="002F17D0">
        <w:rPr>
          <w:rFonts w:asciiTheme="majorBidi" w:eastAsia="Times New Roman" w:hAnsiTheme="majorBidi" w:cstheme="majorBidi"/>
          <w:i/>
          <w:iCs/>
          <w:szCs w:val="24"/>
        </w:rPr>
        <w:t xml:space="preserve"> </w:t>
      </w:r>
      <w:proofErr w:type="spellStart"/>
      <w:r w:rsidRPr="002F17D0">
        <w:rPr>
          <w:rFonts w:asciiTheme="majorBidi" w:eastAsia="Times New Roman" w:hAnsiTheme="majorBidi" w:cstheme="majorBidi"/>
          <w:i/>
          <w:iCs/>
          <w:szCs w:val="24"/>
        </w:rPr>
        <w:t>judicata</w:t>
      </w:r>
      <w:proofErr w:type="spellEnd"/>
      <w:r w:rsidRPr="002F17D0">
        <w:rPr>
          <w:rFonts w:asciiTheme="majorBidi" w:eastAsia="Times New Roman" w:hAnsiTheme="majorBidi" w:cstheme="majorBidi"/>
          <w:szCs w:val="24"/>
        </w:rPr>
        <w:t xml:space="preserve"> ir </w:t>
      </w:r>
      <w:proofErr w:type="spellStart"/>
      <w:r w:rsidRPr="002F17D0">
        <w:rPr>
          <w:rFonts w:asciiTheme="majorBidi" w:eastAsia="Times New Roman" w:hAnsiTheme="majorBidi" w:cstheme="majorBidi"/>
          <w:szCs w:val="24"/>
        </w:rPr>
        <w:t>prejudicinę</w:t>
      </w:r>
      <w:proofErr w:type="spellEnd"/>
      <w:r w:rsidRPr="002F17D0">
        <w:rPr>
          <w:rFonts w:asciiTheme="majorBidi" w:eastAsia="Times New Roman" w:hAnsiTheme="majorBidi" w:cstheme="majorBidi"/>
          <w:szCs w:val="24"/>
        </w:rPr>
        <w:t xml:space="preserve"> galias</w:t>
      </w:r>
      <w:r w:rsidRPr="002F17D0">
        <w:rPr>
          <w:rFonts w:asciiTheme="majorBidi" w:hAnsiTheme="majorBidi" w:cstheme="majorBidi"/>
          <w:szCs w:val="24"/>
        </w:rPr>
        <w:t xml:space="preserve"> </w:t>
      </w:r>
      <w:r w:rsidR="00533D42" w:rsidRPr="002F17D0">
        <w:rPr>
          <w:rFonts w:asciiTheme="majorBidi" w:hAnsiTheme="majorBidi" w:cstheme="majorBidi"/>
          <w:szCs w:val="24"/>
        </w:rPr>
        <w:t xml:space="preserve">tik </w:t>
      </w:r>
      <w:r w:rsidRPr="002F17D0">
        <w:rPr>
          <w:rFonts w:asciiTheme="majorBidi" w:hAnsiTheme="majorBidi" w:cstheme="majorBidi"/>
          <w:szCs w:val="24"/>
        </w:rPr>
        <w:t xml:space="preserve">kai įsiteisėja. </w:t>
      </w:r>
      <w:r w:rsidR="00DE1C55" w:rsidRPr="002F17D0">
        <w:rPr>
          <w:rFonts w:asciiTheme="majorBidi" w:hAnsiTheme="majorBidi" w:cstheme="majorBidi"/>
          <w:szCs w:val="24"/>
        </w:rPr>
        <w:t>Kasacinio teismo konstatuota, kad</w:t>
      </w:r>
      <w:r w:rsidR="00DE1C55" w:rsidRPr="002F17D0">
        <w:rPr>
          <w:rFonts w:asciiTheme="majorBidi" w:eastAsia="Times New Roman" w:hAnsiTheme="majorBidi" w:cstheme="majorBidi"/>
          <w:szCs w:val="24"/>
        </w:rPr>
        <w:t xml:space="preserve"> įsiteisėjęs teismo sprendimas įgyja </w:t>
      </w:r>
      <w:r w:rsidR="00DE1C55" w:rsidRPr="002F17D0">
        <w:rPr>
          <w:rFonts w:asciiTheme="majorBidi" w:eastAsia="Times New Roman" w:hAnsiTheme="majorBidi" w:cstheme="majorBidi"/>
          <w:i/>
          <w:iCs/>
          <w:szCs w:val="24"/>
        </w:rPr>
        <w:t>res judicata</w:t>
      </w:r>
      <w:r w:rsidR="00DE1C55" w:rsidRPr="002F17D0">
        <w:rPr>
          <w:rFonts w:asciiTheme="majorBidi" w:eastAsia="Times New Roman" w:hAnsiTheme="majorBidi" w:cstheme="majorBidi"/>
          <w:szCs w:val="24"/>
        </w:rPr>
        <w:t xml:space="preserve"> galią, tai reiškia, jog šalių ginčas yra galutinai išspręstas, o teismo sprendimas šalims turi įstatymo galią. </w:t>
      </w:r>
      <w:r w:rsidR="00DE1C55" w:rsidRPr="002F17D0">
        <w:rPr>
          <w:rFonts w:asciiTheme="majorBidi" w:eastAsia="Times New Roman" w:hAnsiTheme="majorBidi" w:cstheme="majorBidi"/>
          <w:i/>
          <w:iCs/>
          <w:szCs w:val="24"/>
        </w:rPr>
        <w:t>Res judicata</w:t>
      </w:r>
      <w:r w:rsidR="00DE1C55" w:rsidRPr="002F17D0">
        <w:rPr>
          <w:rFonts w:asciiTheme="majorBidi" w:eastAsia="Times New Roman" w:hAnsiTheme="majorBidi" w:cstheme="majorBidi"/>
          <w:szCs w:val="24"/>
        </w:rPr>
        <w:t xml:space="preserve"> savybė yra taikoma tik šalims ir kitiems dalyvaujantiems byloje asmenims. Materialieji sprendimo </w:t>
      </w:r>
      <w:proofErr w:type="spellStart"/>
      <w:r w:rsidR="00DE1C55" w:rsidRPr="002F17D0">
        <w:rPr>
          <w:rFonts w:asciiTheme="majorBidi" w:eastAsia="Times New Roman" w:hAnsiTheme="majorBidi" w:cstheme="majorBidi"/>
          <w:i/>
          <w:iCs/>
          <w:szCs w:val="24"/>
        </w:rPr>
        <w:lastRenderedPageBreak/>
        <w:t>res</w:t>
      </w:r>
      <w:proofErr w:type="spellEnd"/>
      <w:r w:rsidR="00CD100B" w:rsidRPr="002F17D0">
        <w:rPr>
          <w:rFonts w:asciiTheme="majorBidi" w:eastAsia="Times New Roman" w:hAnsiTheme="majorBidi" w:cstheme="majorBidi"/>
          <w:i/>
          <w:iCs/>
          <w:szCs w:val="24"/>
        </w:rPr>
        <w:t> </w:t>
      </w:r>
      <w:proofErr w:type="spellStart"/>
      <w:r w:rsidR="00DE1C55" w:rsidRPr="002F17D0">
        <w:rPr>
          <w:rFonts w:asciiTheme="majorBidi" w:eastAsia="Times New Roman" w:hAnsiTheme="majorBidi" w:cstheme="majorBidi"/>
          <w:i/>
          <w:iCs/>
          <w:szCs w:val="24"/>
        </w:rPr>
        <w:t>judicata</w:t>
      </w:r>
      <w:proofErr w:type="spellEnd"/>
      <w:r w:rsidR="00DE1C55" w:rsidRPr="002F17D0">
        <w:rPr>
          <w:rFonts w:asciiTheme="majorBidi" w:eastAsia="Times New Roman" w:hAnsiTheme="majorBidi" w:cstheme="majorBidi"/>
          <w:szCs w:val="24"/>
        </w:rPr>
        <w:t xml:space="preserve"> padariniai yra dvejopi. Pirma, šalys nebegali pakartotinai reikšti tapataus ieškinio – tai negatyvusis </w:t>
      </w:r>
      <w:r w:rsidR="00DE1C55" w:rsidRPr="002F17D0">
        <w:rPr>
          <w:rFonts w:asciiTheme="majorBidi" w:eastAsia="Times New Roman" w:hAnsiTheme="majorBidi" w:cstheme="majorBidi"/>
          <w:i/>
          <w:iCs/>
          <w:szCs w:val="24"/>
        </w:rPr>
        <w:t>res judicata</w:t>
      </w:r>
      <w:r w:rsidR="00DE1C55" w:rsidRPr="002F17D0">
        <w:rPr>
          <w:rFonts w:asciiTheme="majorBidi" w:eastAsia="Times New Roman" w:hAnsiTheme="majorBidi" w:cstheme="majorBidi"/>
          <w:szCs w:val="24"/>
        </w:rPr>
        <w:t xml:space="preserve"> poveikis, įtvirtintas CPK 279 straipsnio 4 dalyje. Antra, sprendimas gali būti reikalavimo pagrindas kitoje civilinėje byloje – tai pozityvusis </w:t>
      </w:r>
      <w:r w:rsidR="00DE1C55" w:rsidRPr="002F17D0">
        <w:rPr>
          <w:rFonts w:asciiTheme="majorBidi" w:eastAsia="Times New Roman" w:hAnsiTheme="majorBidi" w:cstheme="majorBidi"/>
          <w:i/>
          <w:iCs/>
          <w:szCs w:val="24"/>
        </w:rPr>
        <w:t>res judicata</w:t>
      </w:r>
      <w:r w:rsidR="00DE1C55" w:rsidRPr="002F17D0">
        <w:rPr>
          <w:rFonts w:asciiTheme="majorBidi" w:eastAsia="Times New Roman" w:hAnsiTheme="majorBidi" w:cstheme="majorBidi"/>
          <w:szCs w:val="24"/>
        </w:rPr>
        <w:t xml:space="preserve"> poveikis, įtvirtintas CPK 182 straipsnio 2 punkte. Teismo sprendimo prejudicinė galia reiškia, kad įsiteisėjusiu teismo sprendimu nustatytų faktų ir teisinių santykių šalys, kiti dalyvaujantys byloje asmenys ir jų teisių perėmėjai nebegali ginčyti kitose bylose (CPK 279 straipsnio 4 dalis), teismo sprendimas gali būti naudojamas kaip reikalavimo pagrindas kitoje byloje. CPK 182 straipsnio 2</w:t>
      </w:r>
      <w:r w:rsidR="00CD100B" w:rsidRPr="002F17D0">
        <w:rPr>
          <w:rFonts w:asciiTheme="majorBidi" w:eastAsia="Times New Roman" w:hAnsiTheme="majorBidi" w:cstheme="majorBidi"/>
          <w:szCs w:val="24"/>
        </w:rPr>
        <w:t> </w:t>
      </w:r>
      <w:r w:rsidR="00DE1C55" w:rsidRPr="002F17D0">
        <w:rPr>
          <w:rFonts w:asciiTheme="majorBidi" w:eastAsia="Times New Roman" w:hAnsiTheme="majorBidi" w:cstheme="majorBidi"/>
          <w:szCs w:val="24"/>
        </w:rPr>
        <w:t>punkte nustatyta, kad nereikia įrodinėti aplinkybių, nustatytų įsiteisėjusiu teismo sprendimu kitoje civilinėje ar administracinėje byloje, kurioje dalyvavo tie patys asmenys, išskyrus atvejus, kai teismo sprendimas sukelia teisines pasekmes ir nedalyvaujantiems byloje asmenims (prejudiciniai faktai)</w:t>
      </w:r>
      <w:bookmarkStart w:id="59" w:name="_Hlk152828272"/>
      <w:r w:rsidR="00DE1C55" w:rsidRPr="002F17D0">
        <w:rPr>
          <w:rFonts w:asciiTheme="majorBidi" w:eastAsia="Times New Roman" w:hAnsiTheme="majorBidi" w:cstheme="majorBidi"/>
          <w:szCs w:val="24"/>
        </w:rPr>
        <w:t xml:space="preserve"> (</w:t>
      </w:r>
      <w:r w:rsidR="00DE1C55" w:rsidRPr="002F17D0">
        <w:rPr>
          <w:rFonts w:asciiTheme="majorBidi" w:hAnsiTheme="majorBidi" w:cstheme="majorBidi"/>
          <w:szCs w:val="24"/>
        </w:rPr>
        <w:t>Lietuvos Aukščiausiojo Teismo 2013 m. gruodžio 7 d. nutartis civilinėje byloje Nr. e3K-3-307-701/2023 66,</w:t>
      </w:r>
      <w:r w:rsidR="00533D42" w:rsidRPr="002F17D0">
        <w:rPr>
          <w:rFonts w:asciiTheme="majorBidi" w:hAnsiTheme="majorBidi" w:cstheme="majorBidi"/>
          <w:szCs w:val="24"/>
        </w:rPr>
        <w:t xml:space="preserve"> 67 </w:t>
      </w:r>
      <w:r w:rsidR="00DE1C55" w:rsidRPr="002F17D0">
        <w:rPr>
          <w:rFonts w:asciiTheme="majorBidi" w:hAnsiTheme="majorBidi" w:cstheme="majorBidi"/>
          <w:szCs w:val="24"/>
        </w:rPr>
        <w:t>punkt</w:t>
      </w:r>
      <w:r w:rsidR="00533D42" w:rsidRPr="002F17D0">
        <w:rPr>
          <w:rFonts w:asciiTheme="majorBidi" w:hAnsiTheme="majorBidi" w:cstheme="majorBidi"/>
          <w:szCs w:val="24"/>
        </w:rPr>
        <w:t xml:space="preserve">ai). </w:t>
      </w:r>
    </w:p>
    <w:p w14:paraId="37C55DC4" w14:textId="3A089FDA" w:rsidR="00533D42" w:rsidRPr="002F17D0" w:rsidRDefault="00533D42" w:rsidP="00533D42">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asciiTheme="majorBidi" w:hAnsiTheme="majorBidi" w:cstheme="majorBidi"/>
          <w:szCs w:val="24"/>
        </w:rPr>
        <w:t>Teismo sprendimas, kuris nėra įsiteisėjęs, nurodytų teisinių padarinių nes</w:t>
      </w:r>
      <w:r w:rsidR="000D246A" w:rsidRPr="002F17D0">
        <w:rPr>
          <w:rFonts w:asciiTheme="majorBidi" w:hAnsiTheme="majorBidi" w:cstheme="majorBidi"/>
          <w:szCs w:val="24"/>
        </w:rPr>
        <w:t>ukelia</w:t>
      </w:r>
      <w:r w:rsidRPr="002F17D0">
        <w:rPr>
          <w:rFonts w:asciiTheme="majorBidi" w:hAnsiTheme="majorBidi" w:cstheme="majorBidi"/>
          <w:szCs w:val="24"/>
        </w:rPr>
        <w:t xml:space="preserve">. </w:t>
      </w:r>
      <w:r w:rsidRPr="002F17D0">
        <w:rPr>
          <w:rFonts w:eastAsia="Times New Roman"/>
          <w:bCs/>
          <w:iCs/>
          <w:color w:val="auto"/>
          <w:szCs w:val="24"/>
          <w:lang w:eastAsia="lt-LT" w:bidi="lt-LT"/>
        </w:rPr>
        <w:t>Neįsiteisėjęs teismo sprendimas gali ir neįsiteisėti, o būti panaikintas jį peržiūrėjus instancine tvarka. Tačiau, pagal CPK 177 straipsnio 2 dalyje įtvirtintą teisinį reglamentavimą, ir toks dar neįsiteisėjęs teismo spren</w:t>
      </w:r>
      <w:r w:rsidR="00CD100B" w:rsidRPr="002F17D0">
        <w:rPr>
          <w:rFonts w:eastAsia="Times New Roman"/>
          <w:bCs/>
          <w:iCs/>
          <w:color w:val="auto"/>
          <w:szCs w:val="24"/>
          <w:lang w:eastAsia="lt-LT" w:bidi="lt-LT"/>
        </w:rPr>
        <w:t>d</w:t>
      </w:r>
      <w:r w:rsidRPr="002F17D0">
        <w:rPr>
          <w:rFonts w:eastAsia="Times New Roman"/>
          <w:bCs/>
          <w:iCs/>
          <w:color w:val="auto"/>
          <w:szCs w:val="24"/>
          <w:lang w:eastAsia="lt-LT" w:bidi="lt-LT"/>
        </w:rPr>
        <w:t xml:space="preserve">imas patenka į šioje teisės normoje nurodytą įrodinėjimo priemonių sąrašą. Vienoje byloje priimtas, bet dar neįsiteisėjęs teismo sprendimas, pateiktas kaip įrodymas kitoje byloje, pastarojoje byloje vertintinas kaip rašytinis įrodymas pagal bendrąsias įrodymų vertinimo taisykles, atsižvelgiant ir į jo patikimumo stoką dėl galimybės būti panaikintam peržiūrėjus instancine tvarka. Kol vienoje byloje priimtas teismo sprendimas neįsiteisėja ir jame nurodytos nustatytos faktinės aplinkybės netampa nustatytos galutinai, kitoje byloje atitinkamas aplinkybes įrodinėjanti šalis negali juo remtis kaip patikimu rašytiniu įrodymu, pagrindžiančiu jos įrodinėjamų aplinkybių egzistavimą, o tokią kitą bylą nagrinėjantis teismas neprivalo vadovautis pirmojoje byloje priimtame neįsiteisėjusiame teismo sprendime išdėstytomis teismo išvadomis ir nurodytomis nustatytomis faktinėmis aplinkybėmis. </w:t>
      </w:r>
    </w:p>
    <w:bookmarkEnd w:id="59"/>
    <w:p w14:paraId="68DBE35D" w14:textId="4032AACC" w:rsidR="00E1273E" w:rsidRPr="002F17D0" w:rsidRDefault="00632063" w:rsidP="001945CE">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I</w:t>
      </w:r>
      <w:r w:rsidR="00E1273E" w:rsidRPr="002F17D0">
        <w:rPr>
          <w:rFonts w:eastAsia="Times New Roman"/>
          <w:bCs/>
          <w:iCs/>
          <w:color w:val="auto"/>
          <w:szCs w:val="24"/>
          <w:lang w:eastAsia="lt-LT" w:bidi="lt-LT"/>
        </w:rPr>
        <w:t xml:space="preserve">š LITEKO duomenų (CPK 179 straipsnio 3 dalis) matyti, kad </w:t>
      </w:r>
      <w:bookmarkStart w:id="60" w:name="_Hlk169213841"/>
      <w:r w:rsidR="00F36169" w:rsidRPr="002F17D0">
        <w:rPr>
          <w:rFonts w:eastAsia="Times New Roman"/>
          <w:bCs/>
          <w:iCs/>
          <w:color w:val="auto"/>
          <w:szCs w:val="24"/>
          <w:lang w:eastAsia="lt-LT" w:bidi="lt-LT"/>
        </w:rPr>
        <w:t xml:space="preserve">skundžiamos </w:t>
      </w:r>
      <w:r w:rsidRPr="002F17D0">
        <w:rPr>
          <w:rFonts w:eastAsia="Times New Roman"/>
          <w:bCs/>
          <w:iCs/>
          <w:color w:val="auto"/>
          <w:szCs w:val="24"/>
          <w:lang w:eastAsia="lt-LT" w:bidi="lt-LT"/>
        </w:rPr>
        <w:t xml:space="preserve">apeliacinės instancijos teismo </w:t>
      </w:r>
      <w:r w:rsidR="00F36169" w:rsidRPr="002F17D0">
        <w:rPr>
          <w:rFonts w:eastAsia="Times New Roman"/>
          <w:bCs/>
          <w:iCs/>
          <w:color w:val="auto"/>
          <w:szCs w:val="24"/>
          <w:lang w:eastAsia="lt-LT" w:bidi="lt-LT"/>
        </w:rPr>
        <w:t xml:space="preserve">nutarties priėmimo metu </w:t>
      </w:r>
      <w:r w:rsidRPr="002F17D0">
        <w:rPr>
          <w:rFonts w:eastAsia="Times New Roman"/>
          <w:bCs/>
          <w:iCs/>
          <w:color w:val="auto"/>
          <w:szCs w:val="24"/>
          <w:lang w:eastAsia="lt-LT" w:bidi="lt-LT"/>
        </w:rPr>
        <w:t xml:space="preserve">Vilniaus apygardos </w:t>
      </w:r>
      <w:bookmarkStart w:id="61" w:name="_Hlk170139824"/>
      <w:r w:rsidRPr="002F17D0">
        <w:rPr>
          <w:rFonts w:eastAsia="Times New Roman"/>
          <w:bCs/>
          <w:iCs/>
          <w:color w:val="auto"/>
          <w:szCs w:val="24"/>
          <w:lang w:eastAsia="lt-LT" w:bidi="lt-LT"/>
        </w:rPr>
        <w:t xml:space="preserve">administracinio teismo </w:t>
      </w:r>
      <w:bookmarkEnd w:id="61"/>
      <w:r w:rsidRPr="002F17D0">
        <w:rPr>
          <w:rFonts w:eastAsia="Times New Roman"/>
          <w:bCs/>
          <w:iCs/>
          <w:color w:val="auto"/>
          <w:szCs w:val="24"/>
          <w:lang w:eastAsia="lt-LT" w:bidi="lt-LT"/>
        </w:rPr>
        <w:t xml:space="preserve">2023 m. lapkričio 22 d. sprendimas administracinėje byloje Nr. el2-1101-566/2023 </w:t>
      </w:r>
      <w:r w:rsidR="00E1273E" w:rsidRPr="002F17D0">
        <w:rPr>
          <w:rFonts w:eastAsia="Times New Roman"/>
          <w:bCs/>
          <w:iCs/>
          <w:color w:val="auto"/>
          <w:szCs w:val="24"/>
          <w:lang w:eastAsia="lt-LT" w:bidi="lt-LT"/>
        </w:rPr>
        <w:t>n</w:t>
      </w:r>
      <w:r w:rsidR="00F36169" w:rsidRPr="002F17D0">
        <w:rPr>
          <w:rFonts w:eastAsia="Times New Roman"/>
          <w:bCs/>
          <w:iCs/>
          <w:color w:val="auto"/>
          <w:szCs w:val="24"/>
          <w:lang w:eastAsia="lt-LT" w:bidi="lt-LT"/>
        </w:rPr>
        <w:t>ebuvo</w:t>
      </w:r>
      <w:r w:rsidR="00E1273E" w:rsidRPr="002F17D0">
        <w:rPr>
          <w:rFonts w:eastAsia="Times New Roman"/>
          <w:bCs/>
          <w:iCs/>
          <w:color w:val="auto"/>
          <w:szCs w:val="24"/>
          <w:lang w:eastAsia="lt-LT" w:bidi="lt-LT"/>
        </w:rPr>
        <w:t xml:space="preserve"> </w:t>
      </w:r>
      <w:bookmarkEnd w:id="60"/>
      <w:r w:rsidR="00E1273E" w:rsidRPr="002F17D0">
        <w:rPr>
          <w:rFonts w:eastAsia="Times New Roman"/>
          <w:bCs/>
          <w:iCs/>
          <w:color w:val="auto"/>
          <w:szCs w:val="24"/>
          <w:lang w:eastAsia="lt-LT" w:bidi="lt-LT"/>
        </w:rPr>
        <w:t>įsiteisėję</w:t>
      </w:r>
      <w:r w:rsidR="00F36169" w:rsidRPr="002F17D0">
        <w:rPr>
          <w:rFonts w:eastAsia="Times New Roman"/>
          <w:bCs/>
          <w:iCs/>
          <w:color w:val="auto"/>
          <w:szCs w:val="24"/>
          <w:lang w:eastAsia="lt-LT" w:bidi="lt-LT"/>
        </w:rPr>
        <w:t>s</w:t>
      </w:r>
      <w:r w:rsidR="00E1273E" w:rsidRPr="002F17D0">
        <w:rPr>
          <w:rFonts w:eastAsia="Times New Roman"/>
          <w:bCs/>
          <w:iCs/>
          <w:color w:val="auto"/>
          <w:szCs w:val="24"/>
          <w:lang w:eastAsia="lt-LT" w:bidi="lt-LT"/>
        </w:rPr>
        <w:t xml:space="preserve">, </w:t>
      </w:r>
      <w:r w:rsidR="00EB7578" w:rsidRPr="002F17D0">
        <w:rPr>
          <w:rFonts w:eastAsia="Times New Roman"/>
          <w:bCs/>
          <w:iCs/>
          <w:color w:val="auto"/>
          <w:szCs w:val="24"/>
          <w:lang w:eastAsia="lt-LT" w:bidi="lt-LT"/>
        </w:rPr>
        <w:t xml:space="preserve">nes buvo apskųstas instancine tvarka, </w:t>
      </w:r>
      <w:r w:rsidR="005017D2" w:rsidRPr="002F17D0">
        <w:rPr>
          <w:rFonts w:eastAsia="Times New Roman"/>
          <w:bCs/>
          <w:iCs/>
          <w:color w:val="auto"/>
          <w:szCs w:val="24"/>
          <w:lang w:eastAsia="lt-LT" w:bidi="lt-LT"/>
        </w:rPr>
        <w:t xml:space="preserve">jis </w:t>
      </w:r>
      <w:r w:rsidR="00F36169" w:rsidRPr="002F17D0">
        <w:rPr>
          <w:rFonts w:eastAsia="Times New Roman"/>
          <w:bCs/>
          <w:iCs/>
          <w:color w:val="auto"/>
          <w:szCs w:val="24"/>
          <w:lang w:eastAsia="lt-LT" w:bidi="lt-LT"/>
        </w:rPr>
        <w:t xml:space="preserve">nėra įsiteisėję ir bylą nagrinėjant kasaciniame teisme. </w:t>
      </w:r>
      <w:r w:rsidR="00A577E9" w:rsidRPr="002F17D0">
        <w:rPr>
          <w:rFonts w:eastAsia="Times New Roman"/>
          <w:bCs/>
          <w:iCs/>
          <w:color w:val="auto"/>
          <w:szCs w:val="24"/>
          <w:lang w:eastAsia="lt-LT" w:bidi="lt-LT"/>
        </w:rPr>
        <w:t>Pažymėtina</w:t>
      </w:r>
      <w:r w:rsidR="00E1273E" w:rsidRPr="002F17D0">
        <w:rPr>
          <w:rFonts w:eastAsia="Times New Roman"/>
          <w:bCs/>
          <w:iCs/>
          <w:color w:val="auto"/>
          <w:szCs w:val="24"/>
          <w:lang w:eastAsia="lt-LT" w:bidi="lt-LT"/>
        </w:rPr>
        <w:t xml:space="preserve">, kad </w:t>
      </w:r>
      <w:r w:rsidR="008122D6" w:rsidRPr="002F17D0">
        <w:rPr>
          <w:rFonts w:eastAsia="Times New Roman"/>
          <w:bCs/>
          <w:iCs/>
          <w:color w:val="auto"/>
          <w:szCs w:val="24"/>
          <w:lang w:eastAsia="lt-LT" w:bidi="lt-LT"/>
        </w:rPr>
        <w:t xml:space="preserve">nurodyta </w:t>
      </w:r>
      <w:r w:rsidR="00E1273E" w:rsidRPr="002F17D0">
        <w:rPr>
          <w:rFonts w:eastAsia="Times New Roman"/>
          <w:bCs/>
          <w:iCs/>
          <w:color w:val="auto"/>
          <w:szCs w:val="24"/>
          <w:lang w:eastAsia="lt-LT" w:bidi="lt-LT"/>
        </w:rPr>
        <w:t>Vilniaus apygardos administracini</w:t>
      </w:r>
      <w:r w:rsidR="00F36169" w:rsidRPr="002F17D0">
        <w:rPr>
          <w:rFonts w:eastAsia="Times New Roman"/>
          <w:bCs/>
          <w:iCs/>
          <w:color w:val="auto"/>
          <w:szCs w:val="24"/>
          <w:lang w:eastAsia="lt-LT" w:bidi="lt-LT"/>
        </w:rPr>
        <w:t>ame</w:t>
      </w:r>
      <w:r w:rsidR="00E1273E" w:rsidRPr="002F17D0">
        <w:rPr>
          <w:rFonts w:eastAsia="Times New Roman"/>
          <w:bCs/>
          <w:iCs/>
          <w:color w:val="auto"/>
          <w:szCs w:val="24"/>
          <w:lang w:eastAsia="lt-LT" w:bidi="lt-LT"/>
        </w:rPr>
        <w:t xml:space="preserve"> teism</w:t>
      </w:r>
      <w:r w:rsidR="00F36169" w:rsidRPr="002F17D0">
        <w:rPr>
          <w:rFonts w:eastAsia="Times New Roman"/>
          <w:bCs/>
          <w:iCs/>
          <w:color w:val="auto"/>
          <w:szCs w:val="24"/>
          <w:lang w:eastAsia="lt-LT" w:bidi="lt-LT"/>
        </w:rPr>
        <w:t>e nagrinėta</w:t>
      </w:r>
      <w:r w:rsidR="00E1273E" w:rsidRPr="002F17D0">
        <w:rPr>
          <w:rFonts w:eastAsia="Times New Roman"/>
          <w:bCs/>
          <w:iCs/>
          <w:color w:val="auto"/>
          <w:szCs w:val="24"/>
          <w:lang w:eastAsia="lt-LT" w:bidi="lt-LT"/>
        </w:rPr>
        <w:t xml:space="preserve"> administracinė byl</w:t>
      </w:r>
      <w:r w:rsidR="00A03C47" w:rsidRPr="002F17D0">
        <w:rPr>
          <w:rFonts w:eastAsia="Times New Roman"/>
          <w:bCs/>
          <w:iCs/>
          <w:color w:val="auto"/>
          <w:szCs w:val="24"/>
          <w:lang w:eastAsia="lt-LT" w:bidi="lt-LT"/>
        </w:rPr>
        <w:t>a</w:t>
      </w:r>
      <w:r w:rsidR="00E1273E" w:rsidRPr="002F17D0">
        <w:rPr>
          <w:rFonts w:eastAsia="Times New Roman"/>
          <w:bCs/>
          <w:iCs/>
          <w:color w:val="auto"/>
          <w:szCs w:val="24"/>
          <w:lang w:eastAsia="lt-LT" w:bidi="lt-LT"/>
        </w:rPr>
        <w:t xml:space="preserve"> Nr. el2-1101-566/2023 </w:t>
      </w:r>
      <w:r w:rsidR="00A03C47" w:rsidRPr="002F17D0">
        <w:rPr>
          <w:rFonts w:eastAsia="Times New Roman"/>
          <w:bCs/>
          <w:iCs/>
          <w:color w:val="auto"/>
          <w:szCs w:val="24"/>
          <w:lang w:eastAsia="lt-LT" w:bidi="lt-LT"/>
        </w:rPr>
        <w:t xml:space="preserve">yra nevieša, </w:t>
      </w:r>
      <w:r w:rsidR="008122D6" w:rsidRPr="002F17D0">
        <w:rPr>
          <w:rFonts w:eastAsia="Times New Roman"/>
          <w:bCs/>
          <w:iCs/>
          <w:color w:val="auto"/>
          <w:szCs w:val="24"/>
          <w:lang w:eastAsia="lt-LT" w:bidi="lt-LT"/>
        </w:rPr>
        <w:t>atsakovė joje nebuvo dalyvaujan</w:t>
      </w:r>
      <w:r w:rsidR="007E0681" w:rsidRPr="002F17D0">
        <w:rPr>
          <w:rFonts w:eastAsia="Times New Roman"/>
          <w:bCs/>
          <w:iCs/>
          <w:color w:val="auto"/>
          <w:szCs w:val="24"/>
          <w:lang w:eastAsia="lt-LT" w:bidi="lt-LT"/>
        </w:rPr>
        <w:t xml:space="preserve">tis </w:t>
      </w:r>
      <w:r w:rsidR="008122D6" w:rsidRPr="002F17D0">
        <w:rPr>
          <w:rFonts w:eastAsia="Times New Roman"/>
          <w:bCs/>
          <w:iCs/>
          <w:color w:val="auto"/>
          <w:szCs w:val="24"/>
          <w:lang w:eastAsia="lt-LT" w:bidi="lt-LT"/>
        </w:rPr>
        <w:t>asm</w:t>
      </w:r>
      <w:r w:rsidR="007E0681" w:rsidRPr="002F17D0">
        <w:rPr>
          <w:rFonts w:eastAsia="Times New Roman"/>
          <w:bCs/>
          <w:iCs/>
          <w:color w:val="auto"/>
          <w:szCs w:val="24"/>
          <w:lang w:eastAsia="lt-LT" w:bidi="lt-LT"/>
        </w:rPr>
        <w:t>uo</w:t>
      </w:r>
      <w:r w:rsidR="008122D6" w:rsidRPr="002F17D0">
        <w:rPr>
          <w:rFonts w:eastAsia="Times New Roman"/>
          <w:bCs/>
          <w:iCs/>
          <w:color w:val="auto"/>
          <w:szCs w:val="24"/>
          <w:lang w:eastAsia="lt-LT" w:bidi="lt-LT"/>
        </w:rPr>
        <w:t xml:space="preserve">, </w:t>
      </w:r>
      <w:r w:rsidR="005671C4" w:rsidRPr="002F17D0">
        <w:rPr>
          <w:rFonts w:eastAsia="Times New Roman"/>
          <w:bCs/>
          <w:iCs/>
          <w:color w:val="auto"/>
          <w:szCs w:val="24"/>
          <w:lang w:eastAsia="lt-LT" w:bidi="lt-LT"/>
        </w:rPr>
        <w:t xml:space="preserve">o nagrinėjamoje byloje </w:t>
      </w:r>
      <w:r w:rsidR="00A03C47" w:rsidRPr="002F17D0">
        <w:rPr>
          <w:rFonts w:eastAsia="Times New Roman"/>
          <w:bCs/>
          <w:iCs/>
          <w:color w:val="auto"/>
          <w:szCs w:val="24"/>
          <w:lang w:eastAsia="lt-LT" w:bidi="lt-LT"/>
        </w:rPr>
        <w:t>ieškovė nėra pateikusi prašymo</w:t>
      </w:r>
      <w:r w:rsidR="008122D6" w:rsidRPr="002F17D0">
        <w:rPr>
          <w:rFonts w:eastAsia="Times New Roman"/>
          <w:bCs/>
          <w:iCs/>
          <w:color w:val="auto"/>
          <w:szCs w:val="24"/>
          <w:lang w:eastAsia="lt-LT" w:bidi="lt-LT"/>
        </w:rPr>
        <w:t xml:space="preserve"> </w:t>
      </w:r>
      <w:r w:rsidR="005671C4" w:rsidRPr="002F17D0">
        <w:rPr>
          <w:rFonts w:eastAsia="Times New Roman"/>
          <w:bCs/>
          <w:iCs/>
          <w:color w:val="auto"/>
          <w:szCs w:val="24"/>
          <w:lang w:eastAsia="lt-LT" w:bidi="lt-LT"/>
        </w:rPr>
        <w:t>pri</w:t>
      </w:r>
      <w:r w:rsidR="00B02C42" w:rsidRPr="002F17D0">
        <w:rPr>
          <w:rFonts w:eastAsia="Times New Roman"/>
          <w:bCs/>
          <w:iCs/>
          <w:color w:val="auto"/>
          <w:szCs w:val="24"/>
          <w:lang w:eastAsia="lt-LT" w:bidi="lt-LT"/>
        </w:rPr>
        <w:t>dė</w:t>
      </w:r>
      <w:r w:rsidR="005671C4" w:rsidRPr="002F17D0">
        <w:rPr>
          <w:rFonts w:eastAsia="Times New Roman"/>
          <w:bCs/>
          <w:iCs/>
          <w:color w:val="auto"/>
          <w:szCs w:val="24"/>
          <w:lang w:eastAsia="lt-LT" w:bidi="lt-LT"/>
        </w:rPr>
        <w:t xml:space="preserve">ti prie bylos nurodytą </w:t>
      </w:r>
      <w:bookmarkStart w:id="62" w:name="_Hlk170212406"/>
      <w:r w:rsidR="008122D6" w:rsidRPr="002F17D0">
        <w:rPr>
          <w:rFonts w:eastAsia="Times New Roman"/>
          <w:bCs/>
          <w:iCs/>
          <w:color w:val="auto"/>
          <w:szCs w:val="24"/>
          <w:lang w:eastAsia="lt-LT" w:bidi="lt-LT"/>
        </w:rPr>
        <w:t xml:space="preserve">administracinio teismo </w:t>
      </w:r>
      <w:r w:rsidR="00A03C47" w:rsidRPr="002F17D0">
        <w:rPr>
          <w:rFonts w:eastAsia="Times New Roman"/>
          <w:bCs/>
          <w:iCs/>
          <w:color w:val="auto"/>
          <w:szCs w:val="24"/>
          <w:lang w:eastAsia="lt-LT" w:bidi="lt-LT"/>
        </w:rPr>
        <w:t>sprendim</w:t>
      </w:r>
      <w:r w:rsidR="005671C4" w:rsidRPr="002F17D0">
        <w:rPr>
          <w:rFonts w:eastAsia="Times New Roman"/>
          <w:bCs/>
          <w:iCs/>
          <w:color w:val="auto"/>
          <w:szCs w:val="24"/>
          <w:lang w:eastAsia="lt-LT" w:bidi="lt-LT"/>
        </w:rPr>
        <w:t>ą</w:t>
      </w:r>
      <w:r w:rsidR="005017D2" w:rsidRPr="002F17D0">
        <w:rPr>
          <w:rFonts w:eastAsia="Times New Roman"/>
          <w:bCs/>
          <w:iCs/>
          <w:color w:val="auto"/>
          <w:szCs w:val="24"/>
          <w:lang w:eastAsia="lt-LT" w:bidi="lt-LT"/>
        </w:rPr>
        <w:t xml:space="preserve"> </w:t>
      </w:r>
      <w:bookmarkEnd w:id="62"/>
      <w:r w:rsidR="005017D2" w:rsidRPr="002F17D0">
        <w:rPr>
          <w:rFonts w:eastAsia="Times New Roman"/>
          <w:bCs/>
          <w:iCs/>
          <w:color w:val="auto"/>
          <w:szCs w:val="24"/>
          <w:lang w:eastAsia="lt-LT" w:bidi="lt-LT"/>
        </w:rPr>
        <w:t>ir šios bylos medžiagoje nurodyto administracinio teismo sprendimo nėra</w:t>
      </w:r>
      <w:r w:rsidR="005671C4" w:rsidRPr="002F17D0">
        <w:rPr>
          <w:rFonts w:eastAsia="Times New Roman"/>
          <w:bCs/>
          <w:iCs/>
          <w:color w:val="auto"/>
          <w:szCs w:val="24"/>
          <w:lang w:eastAsia="lt-LT" w:bidi="lt-LT"/>
        </w:rPr>
        <w:t xml:space="preserve">, </w:t>
      </w:r>
      <w:r w:rsidR="00A03C47" w:rsidRPr="002F17D0">
        <w:rPr>
          <w:rFonts w:eastAsia="Times New Roman"/>
          <w:bCs/>
          <w:iCs/>
          <w:color w:val="auto"/>
          <w:szCs w:val="24"/>
          <w:lang w:eastAsia="lt-LT" w:bidi="lt-LT"/>
        </w:rPr>
        <w:t xml:space="preserve">todėl </w:t>
      </w:r>
      <w:r w:rsidR="005671C4" w:rsidRPr="002F17D0">
        <w:rPr>
          <w:rFonts w:eastAsia="Times New Roman"/>
          <w:bCs/>
          <w:iCs/>
          <w:color w:val="auto"/>
          <w:szCs w:val="24"/>
          <w:lang w:eastAsia="lt-LT" w:bidi="lt-LT"/>
        </w:rPr>
        <w:t xml:space="preserve">teisiškai reikšmingais </w:t>
      </w:r>
      <w:r w:rsidR="005017D2" w:rsidRPr="002F17D0">
        <w:rPr>
          <w:rFonts w:eastAsia="Times New Roman"/>
          <w:bCs/>
          <w:iCs/>
          <w:color w:val="auto"/>
          <w:szCs w:val="24"/>
          <w:lang w:eastAsia="lt-LT" w:bidi="lt-LT"/>
        </w:rPr>
        <w:t>pripažintini</w:t>
      </w:r>
      <w:r w:rsidR="005671C4" w:rsidRPr="002F17D0">
        <w:rPr>
          <w:rFonts w:eastAsia="Times New Roman"/>
          <w:bCs/>
          <w:iCs/>
          <w:color w:val="auto"/>
          <w:szCs w:val="24"/>
          <w:lang w:eastAsia="lt-LT" w:bidi="lt-LT"/>
        </w:rPr>
        <w:t xml:space="preserve"> </w:t>
      </w:r>
      <w:r w:rsidR="006B5A01" w:rsidRPr="002F17D0">
        <w:rPr>
          <w:rFonts w:eastAsia="Times New Roman"/>
          <w:bCs/>
          <w:iCs/>
          <w:color w:val="auto"/>
          <w:szCs w:val="24"/>
          <w:lang w:eastAsia="lt-LT" w:bidi="lt-LT"/>
        </w:rPr>
        <w:t>atsakovės argumentai, kad nurodytas administracinio teismo sprendimas nėra byloje esantis įrodymas</w:t>
      </w:r>
      <w:r w:rsidR="005017D2" w:rsidRPr="002F17D0">
        <w:rPr>
          <w:rFonts w:eastAsia="Times New Roman"/>
          <w:bCs/>
          <w:iCs/>
          <w:color w:val="auto"/>
          <w:szCs w:val="24"/>
          <w:lang w:eastAsia="lt-LT" w:bidi="lt-LT"/>
        </w:rPr>
        <w:t xml:space="preserve"> ir </w:t>
      </w:r>
      <w:r w:rsidR="006B5A01" w:rsidRPr="002F17D0">
        <w:rPr>
          <w:rFonts w:eastAsia="Times New Roman"/>
          <w:bCs/>
          <w:iCs/>
          <w:color w:val="auto"/>
          <w:szCs w:val="24"/>
          <w:lang w:eastAsia="lt-LT" w:bidi="lt-LT"/>
        </w:rPr>
        <w:t xml:space="preserve">dėl jo turinio </w:t>
      </w:r>
      <w:r w:rsidR="00A03C47" w:rsidRPr="002F17D0">
        <w:rPr>
          <w:rFonts w:eastAsia="Times New Roman"/>
          <w:bCs/>
          <w:iCs/>
          <w:color w:val="auto"/>
          <w:szCs w:val="24"/>
          <w:lang w:eastAsia="lt-LT" w:bidi="lt-LT"/>
        </w:rPr>
        <w:t>atsakovė ne</w:t>
      </w:r>
      <w:r w:rsidR="006B5A01" w:rsidRPr="002F17D0">
        <w:rPr>
          <w:rFonts w:eastAsia="Times New Roman"/>
          <w:bCs/>
          <w:iCs/>
          <w:color w:val="auto"/>
          <w:szCs w:val="24"/>
          <w:lang w:eastAsia="lt-LT" w:bidi="lt-LT"/>
        </w:rPr>
        <w:t xml:space="preserve">galėjo </w:t>
      </w:r>
      <w:r w:rsidR="00B02C42" w:rsidRPr="002F17D0">
        <w:rPr>
          <w:rFonts w:eastAsia="Times New Roman"/>
          <w:bCs/>
          <w:iCs/>
          <w:color w:val="auto"/>
          <w:szCs w:val="24"/>
          <w:lang w:eastAsia="lt-LT" w:bidi="lt-LT"/>
        </w:rPr>
        <w:t>įgyvendin</w:t>
      </w:r>
      <w:r w:rsidR="006B5A01" w:rsidRPr="002F17D0">
        <w:rPr>
          <w:rFonts w:eastAsia="Times New Roman"/>
          <w:bCs/>
          <w:iCs/>
          <w:color w:val="auto"/>
          <w:szCs w:val="24"/>
          <w:lang w:eastAsia="lt-LT" w:bidi="lt-LT"/>
        </w:rPr>
        <w:t xml:space="preserve">ti savo teisės būti išklausytai. </w:t>
      </w:r>
    </w:p>
    <w:p w14:paraId="52DEE91E" w14:textId="371E5738" w:rsidR="00561853" w:rsidRPr="002F17D0" w:rsidRDefault="00561853" w:rsidP="001945CE">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 xml:space="preserve">Ketvirta, atsižvelgus į </w:t>
      </w:r>
      <w:bookmarkStart w:id="63" w:name="_Hlk170153045"/>
      <w:r w:rsidRPr="002F17D0">
        <w:rPr>
          <w:rFonts w:eastAsia="Times New Roman"/>
          <w:bCs/>
          <w:iCs/>
          <w:color w:val="auto"/>
          <w:szCs w:val="24"/>
          <w:lang w:eastAsia="lt-LT" w:bidi="lt-LT"/>
        </w:rPr>
        <w:t xml:space="preserve">skundžiamos nutarties </w:t>
      </w:r>
      <w:bookmarkEnd w:id="63"/>
      <w:r w:rsidRPr="002F17D0">
        <w:rPr>
          <w:rFonts w:eastAsia="Times New Roman"/>
          <w:bCs/>
          <w:iCs/>
          <w:color w:val="auto"/>
          <w:szCs w:val="24"/>
          <w:lang w:eastAsia="lt-LT" w:bidi="lt-LT"/>
        </w:rPr>
        <w:t>motyvus (</w:t>
      </w:r>
      <w:r w:rsidR="00382070" w:rsidRPr="002F17D0">
        <w:rPr>
          <w:rFonts w:eastAsia="Times New Roman"/>
          <w:bCs/>
          <w:iCs/>
          <w:color w:val="auto"/>
          <w:szCs w:val="24"/>
          <w:lang w:eastAsia="lt-LT" w:bidi="lt-LT"/>
        </w:rPr>
        <w:t xml:space="preserve">žr. </w:t>
      </w:r>
      <w:r w:rsidR="00B83DE7" w:rsidRPr="002F17D0">
        <w:rPr>
          <w:rFonts w:eastAsia="Times New Roman"/>
          <w:bCs/>
          <w:iCs/>
          <w:color w:val="auto"/>
          <w:szCs w:val="24"/>
          <w:lang w:eastAsia="lt-LT" w:bidi="lt-LT"/>
        </w:rPr>
        <w:t xml:space="preserve">skundžiamos nutarties 58 punktą, </w:t>
      </w:r>
      <w:r w:rsidR="00382070" w:rsidRPr="002F17D0">
        <w:rPr>
          <w:rFonts w:eastAsia="Times New Roman"/>
          <w:bCs/>
          <w:iCs/>
          <w:color w:val="auto"/>
          <w:szCs w:val="24"/>
          <w:lang w:eastAsia="lt-LT" w:bidi="lt-LT"/>
        </w:rPr>
        <w:t>šios nutarties 22 punktą) nėra pagrindo pripažinti pagrįstu kasacinio skundo argumentą, kad apeliacinės instancijos teismas</w:t>
      </w:r>
      <w:r w:rsidR="00382070" w:rsidRPr="002F17D0">
        <w:t xml:space="preserve"> nutartyje konstatavo, jog vien tik FNTT paskelbta informacija apie ieškovės įtraukimą į Sąrašą sukuria prezumpciją, kad ieškovė yra kontroliuojama sankcionuotų asmenų. </w:t>
      </w:r>
    </w:p>
    <w:p w14:paraId="2C95ECE7" w14:textId="49C36721" w:rsidR="0085214F" w:rsidRPr="002F17D0" w:rsidRDefault="0085214F" w:rsidP="00644F67">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Nagrinėjamu atveju, kaip jau nurodyta pirmiau, atsakovei, kaip ieškovės verslo partnerei</w:t>
      </w:r>
      <w:r w:rsidR="00B83DE7"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teko pareiga savarankiškai (nepriklausomai nuo FNTT ar kitų institucijų nuomonės) vertinti galimas rizikas, ieškovės sąsajas su subjektu, kuriam yra taikomos Europos Sąjungos sankcijos, </w:t>
      </w:r>
      <w:r w:rsidR="00B02C42" w:rsidRPr="002F17D0">
        <w:rPr>
          <w:rFonts w:eastAsia="Times New Roman"/>
          <w:bCs/>
          <w:iCs/>
          <w:color w:val="auto"/>
          <w:szCs w:val="24"/>
          <w:lang w:eastAsia="lt-LT" w:bidi="lt-LT"/>
        </w:rPr>
        <w:t>ir</w:t>
      </w:r>
      <w:r w:rsidRPr="002F17D0">
        <w:rPr>
          <w:rFonts w:eastAsia="Times New Roman"/>
          <w:bCs/>
          <w:iCs/>
          <w:color w:val="auto"/>
          <w:szCs w:val="24"/>
          <w:lang w:eastAsia="lt-LT" w:bidi="lt-LT"/>
        </w:rPr>
        <w:t xml:space="preserve"> spręsti dėl tolimesnių sutartinių santykių su </w:t>
      </w:r>
      <w:r w:rsidR="00B83DE7" w:rsidRPr="002F17D0">
        <w:rPr>
          <w:rFonts w:eastAsia="Times New Roman"/>
          <w:bCs/>
          <w:iCs/>
          <w:color w:val="auto"/>
          <w:szCs w:val="24"/>
          <w:lang w:eastAsia="lt-LT" w:bidi="lt-LT"/>
        </w:rPr>
        <w:t>ieškove</w:t>
      </w:r>
      <w:r w:rsidRPr="002F17D0">
        <w:rPr>
          <w:rFonts w:eastAsia="Times New Roman"/>
          <w:bCs/>
          <w:iCs/>
          <w:color w:val="auto"/>
          <w:szCs w:val="24"/>
          <w:lang w:eastAsia="lt-LT" w:bidi="lt-LT"/>
        </w:rPr>
        <w:t xml:space="preserve"> </w:t>
      </w:r>
      <w:r w:rsidR="00B83DE7" w:rsidRPr="002F17D0">
        <w:rPr>
          <w:rFonts w:eastAsia="Times New Roman"/>
          <w:bCs/>
          <w:iCs/>
          <w:color w:val="auto"/>
          <w:szCs w:val="24"/>
          <w:lang w:eastAsia="lt-LT" w:bidi="lt-LT"/>
        </w:rPr>
        <w:t>vykdymo</w:t>
      </w:r>
      <w:r w:rsidRPr="002F17D0">
        <w:rPr>
          <w:rFonts w:eastAsia="Times New Roman"/>
          <w:bCs/>
          <w:iCs/>
          <w:color w:val="auto"/>
          <w:szCs w:val="24"/>
          <w:lang w:eastAsia="lt-LT" w:bidi="lt-LT"/>
        </w:rPr>
        <w:t xml:space="preserve">. </w:t>
      </w:r>
      <w:r w:rsidR="00620E7F" w:rsidRPr="002F17D0">
        <w:rPr>
          <w:rFonts w:eastAsia="Times New Roman"/>
          <w:bCs/>
          <w:iCs/>
          <w:color w:val="auto"/>
          <w:szCs w:val="24"/>
          <w:lang w:eastAsia="lt-LT" w:bidi="lt-LT"/>
        </w:rPr>
        <w:t>Byloje teismų nustatyta, jog a</w:t>
      </w:r>
      <w:r w:rsidR="00620E7F" w:rsidRPr="002F17D0">
        <w:rPr>
          <w:bCs/>
          <w:szCs w:val="24"/>
        </w:rPr>
        <w:t>tsakovė ne kartą siūlė ieškovei pateikti duomenis, įrodančius, kad jos nekontroliuoja sankcionuoti asmenys, tačiau ieškovė arba ignoravo atsakovės prašymus</w:t>
      </w:r>
      <w:r w:rsidR="00B02C42" w:rsidRPr="002F17D0">
        <w:rPr>
          <w:bCs/>
          <w:szCs w:val="24"/>
        </w:rPr>
        <w:t>,</w:t>
      </w:r>
      <w:r w:rsidR="00620E7F" w:rsidRPr="002F17D0">
        <w:rPr>
          <w:bCs/>
          <w:szCs w:val="24"/>
        </w:rPr>
        <w:t xml:space="preserve"> arba nurodydavo, jog tokių duomenų negali pateikti dėl techninių galimybių. </w:t>
      </w:r>
      <w:r w:rsidRPr="002F17D0">
        <w:rPr>
          <w:rFonts w:eastAsia="Times New Roman"/>
          <w:bCs/>
          <w:iCs/>
          <w:color w:val="auto"/>
          <w:szCs w:val="24"/>
          <w:lang w:eastAsia="lt-LT" w:bidi="lt-LT"/>
        </w:rPr>
        <w:t>Atsakovei</w:t>
      </w:r>
      <w:r w:rsidR="00620E7F" w:rsidRPr="002F17D0">
        <w:rPr>
          <w:rFonts w:eastAsia="Times New Roman"/>
          <w:bCs/>
          <w:iCs/>
          <w:color w:val="auto"/>
          <w:szCs w:val="24"/>
          <w:lang w:eastAsia="lt-LT" w:bidi="lt-LT"/>
        </w:rPr>
        <w:t xml:space="preserve">, </w:t>
      </w:r>
      <w:r w:rsidR="00532D38" w:rsidRPr="002F17D0">
        <w:rPr>
          <w:rFonts w:eastAsia="Times New Roman"/>
          <w:bCs/>
          <w:iCs/>
          <w:color w:val="auto"/>
          <w:szCs w:val="24"/>
          <w:lang w:eastAsia="lt-LT" w:bidi="lt-LT"/>
        </w:rPr>
        <w:t xml:space="preserve">jos </w:t>
      </w:r>
      <w:r w:rsidR="00620E7F" w:rsidRPr="002F17D0">
        <w:rPr>
          <w:rFonts w:eastAsia="Times New Roman"/>
          <w:bCs/>
          <w:iCs/>
          <w:color w:val="auto"/>
          <w:szCs w:val="24"/>
          <w:lang w:eastAsia="lt-LT" w:bidi="lt-LT"/>
        </w:rPr>
        <w:t>turimų duomenų pagrindu turint tam priežastį,</w:t>
      </w:r>
      <w:r w:rsidRPr="002F17D0">
        <w:rPr>
          <w:rFonts w:eastAsia="Times New Roman"/>
          <w:bCs/>
          <w:iCs/>
          <w:color w:val="auto"/>
          <w:szCs w:val="24"/>
          <w:lang w:eastAsia="lt-LT" w:bidi="lt-LT"/>
        </w:rPr>
        <w:t xml:space="preserve"> </w:t>
      </w:r>
      <w:r w:rsidR="00396933" w:rsidRPr="002F17D0">
        <w:rPr>
          <w:rFonts w:eastAsia="Times New Roman"/>
          <w:bCs/>
          <w:iCs/>
          <w:color w:val="auto"/>
          <w:szCs w:val="24"/>
          <w:lang w:eastAsia="lt-LT" w:bidi="lt-LT"/>
        </w:rPr>
        <w:t>įvertinus</w:t>
      </w:r>
      <w:r w:rsidRPr="002F17D0">
        <w:rPr>
          <w:rFonts w:eastAsia="Times New Roman"/>
          <w:bCs/>
          <w:iCs/>
          <w:color w:val="auto"/>
          <w:szCs w:val="24"/>
          <w:lang w:eastAsia="lt-LT" w:bidi="lt-LT"/>
        </w:rPr>
        <w:t xml:space="preserve">, kad ieškovė yra </w:t>
      </w:r>
      <w:r w:rsidR="007A281F" w:rsidRPr="002F17D0">
        <w:rPr>
          <w:bCs/>
          <w:szCs w:val="24"/>
        </w:rPr>
        <w:t>kontroliuojama sankcionuotų asmenų</w:t>
      </w:r>
      <w:r w:rsidRPr="002F17D0">
        <w:rPr>
          <w:rFonts w:eastAsia="Times New Roman"/>
          <w:bCs/>
          <w:iCs/>
          <w:color w:val="auto"/>
          <w:szCs w:val="24"/>
          <w:lang w:eastAsia="lt-LT" w:bidi="lt-LT"/>
        </w:rPr>
        <w:t>, kuri</w:t>
      </w:r>
      <w:r w:rsidR="007A281F" w:rsidRPr="002F17D0">
        <w:rPr>
          <w:rFonts w:eastAsia="Times New Roman"/>
          <w:bCs/>
          <w:iCs/>
          <w:color w:val="auto"/>
          <w:szCs w:val="24"/>
          <w:lang w:eastAsia="lt-LT" w:bidi="lt-LT"/>
        </w:rPr>
        <w:t>e</w:t>
      </w:r>
      <w:r w:rsidRPr="002F17D0">
        <w:rPr>
          <w:rFonts w:eastAsia="Times New Roman"/>
          <w:bCs/>
          <w:iCs/>
          <w:color w:val="auto"/>
          <w:szCs w:val="24"/>
          <w:lang w:eastAsia="lt-LT" w:bidi="lt-LT"/>
        </w:rPr>
        <w:t>m</w:t>
      </w:r>
      <w:r w:rsidR="007A281F" w:rsidRPr="002F17D0">
        <w:rPr>
          <w:rFonts w:eastAsia="Times New Roman"/>
          <w:bCs/>
          <w:iCs/>
          <w:color w:val="auto"/>
          <w:szCs w:val="24"/>
          <w:lang w:eastAsia="lt-LT" w:bidi="lt-LT"/>
        </w:rPr>
        <w:t>s</w:t>
      </w:r>
      <w:r w:rsidRPr="002F17D0">
        <w:rPr>
          <w:rFonts w:eastAsia="Times New Roman"/>
          <w:bCs/>
          <w:iCs/>
          <w:color w:val="auto"/>
          <w:szCs w:val="24"/>
          <w:lang w:eastAsia="lt-LT" w:bidi="lt-LT"/>
        </w:rPr>
        <w:t xml:space="preserve"> taikomos </w:t>
      </w:r>
      <w:r w:rsidR="00636D8B" w:rsidRPr="002F17D0">
        <w:rPr>
          <w:rFonts w:eastAsia="Times New Roman"/>
          <w:bCs/>
          <w:iCs/>
          <w:color w:val="auto"/>
          <w:szCs w:val="24"/>
          <w:lang w:eastAsia="lt-LT" w:bidi="lt-LT"/>
        </w:rPr>
        <w:t xml:space="preserve">Europos </w:t>
      </w:r>
      <w:r w:rsidR="00636D8B" w:rsidRPr="002F17D0">
        <w:rPr>
          <w:rFonts w:eastAsia="Times New Roman"/>
          <w:bCs/>
          <w:iCs/>
          <w:color w:val="auto"/>
          <w:szCs w:val="24"/>
          <w:lang w:eastAsia="lt-LT" w:bidi="lt-LT"/>
        </w:rPr>
        <w:lastRenderedPageBreak/>
        <w:t>Sąjungos sankcijos</w:t>
      </w:r>
      <w:r w:rsidRPr="002F17D0">
        <w:rPr>
          <w:rFonts w:eastAsia="Times New Roman"/>
          <w:bCs/>
          <w:iCs/>
          <w:color w:val="auto"/>
          <w:szCs w:val="24"/>
          <w:lang w:eastAsia="lt-LT" w:bidi="lt-LT"/>
        </w:rPr>
        <w:t xml:space="preserve">, </w:t>
      </w:r>
      <w:r w:rsidR="00396933" w:rsidRPr="002F17D0">
        <w:rPr>
          <w:rFonts w:eastAsia="Times New Roman"/>
          <w:bCs/>
          <w:iCs/>
          <w:color w:val="auto"/>
          <w:szCs w:val="24"/>
          <w:lang w:eastAsia="lt-LT" w:bidi="lt-LT"/>
        </w:rPr>
        <w:t xml:space="preserve">ir tokio įvertinimo bei Reglamento 269/2014 nuostatų pagrindu sustabdžius Sutarties vykdymą, </w:t>
      </w:r>
      <w:r w:rsidRPr="002F17D0">
        <w:rPr>
          <w:rFonts w:eastAsia="Times New Roman"/>
          <w:bCs/>
          <w:iCs/>
          <w:color w:val="auto"/>
          <w:szCs w:val="24"/>
          <w:lang w:eastAsia="lt-LT" w:bidi="lt-LT"/>
        </w:rPr>
        <w:t xml:space="preserve">būtent ieškovei teko pareiga tokias aplinkybes paneigti. </w:t>
      </w:r>
      <w:r w:rsidR="00F43729" w:rsidRPr="002F17D0">
        <w:rPr>
          <w:rFonts w:eastAsia="Times New Roman"/>
          <w:bCs/>
          <w:iCs/>
          <w:color w:val="auto"/>
          <w:szCs w:val="24"/>
          <w:lang w:eastAsia="lt-LT" w:bidi="lt-LT"/>
        </w:rPr>
        <w:t>Pažymėtina, kad Reglamento 269/2014 11 straipsnio 2 dalyje nustatyta, jog visuose procesiniuose veiksmuose dėl reikalavimo vykdymo pareiga įrodyti, kad 1 dalimi nedraudžiama tenkinti reikalavimą, tenka to reikalavimo vykdymo siekiančiam fiziniam ar juridiniam asmeniui, subjektui ar įstaigai. Pagal šio reglamento 1 straipsnio a punkte pateiktą apibrėžtį</w:t>
      </w:r>
      <w:r w:rsidR="00B02C42" w:rsidRPr="002F17D0">
        <w:rPr>
          <w:rFonts w:eastAsia="Times New Roman"/>
          <w:bCs/>
          <w:iCs/>
          <w:color w:val="auto"/>
          <w:szCs w:val="24"/>
          <w:lang w:eastAsia="lt-LT" w:bidi="lt-LT"/>
        </w:rPr>
        <w:t>,</w:t>
      </w:r>
      <w:r w:rsidR="00F43729" w:rsidRPr="002F17D0">
        <w:rPr>
          <w:rFonts w:eastAsia="Times New Roman"/>
          <w:bCs/>
          <w:iCs/>
          <w:color w:val="auto"/>
          <w:szCs w:val="24"/>
          <w:lang w:eastAsia="lt-LT" w:bidi="lt-LT"/>
        </w:rPr>
        <w:t xml:space="preserve"> reikalavimas – kiekvienas procesiniais veiksmais patvirtintas arba nepatvirtintas reikalavimas, pateiktas iki arba po šios datos 2014 m. kovo 17 d. ir susijęs su sutarties ar sandorio vykdymu arba pateiktas dėl sutarties ar sandorio, ir , be kita ko, apimantis</w:t>
      </w:r>
      <w:r w:rsidR="00F43729" w:rsidRPr="002F17D0">
        <w:t xml:space="preserve"> </w:t>
      </w:r>
      <w:r w:rsidR="00F43729" w:rsidRPr="002F17D0">
        <w:rPr>
          <w:rFonts w:eastAsia="Times New Roman"/>
          <w:bCs/>
          <w:iCs/>
          <w:color w:val="auto"/>
          <w:szCs w:val="24"/>
          <w:lang w:eastAsia="lt-LT" w:bidi="lt-LT"/>
        </w:rPr>
        <w:t>reikalavimą vykdyti įsipareigojimą pagal sutartį ar sandorį arba su jais susijusį įsipareigojimą</w:t>
      </w:r>
      <w:r w:rsidR="00644F67"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Teisėjų kolegijos vertinimu, bylą nagrinėję teismai tinkamai taikė</w:t>
      </w:r>
      <w:r w:rsidRPr="002F17D0">
        <w:t xml:space="preserve"> </w:t>
      </w:r>
      <w:r w:rsidRPr="002F17D0">
        <w:rPr>
          <w:rFonts w:eastAsia="Times New Roman"/>
          <w:bCs/>
          <w:iCs/>
          <w:color w:val="auto"/>
          <w:szCs w:val="24"/>
          <w:lang w:eastAsia="lt-LT" w:bidi="lt-LT"/>
        </w:rPr>
        <w:t>įrodinėjimą bei įrodymų vertinimą reglamentuojančias proceso teisės normas ir padarė pagrįstą išvadą, kad ieškovė nei atsakovei</w:t>
      </w:r>
      <w:r w:rsidR="00B02C42"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nei teismui nepateikė duomenų, kuriais būtų išsklaidytos abejonės</w:t>
      </w:r>
      <w:r w:rsidR="00532D38" w:rsidRPr="002F17D0">
        <w:rPr>
          <w:rFonts w:eastAsia="Times New Roman"/>
          <w:bCs/>
          <w:iCs/>
          <w:color w:val="auto"/>
          <w:szCs w:val="24"/>
          <w:lang w:eastAsia="lt-LT" w:bidi="lt-LT"/>
        </w:rPr>
        <w:t xml:space="preserve">, kad </w:t>
      </w:r>
      <w:r w:rsidR="00532D38" w:rsidRPr="002F17D0">
        <w:rPr>
          <w:bCs/>
          <w:szCs w:val="24"/>
        </w:rPr>
        <w:t xml:space="preserve">ieškovė yra kontroliuojama sankcionuotų asmenų, </w:t>
      </w:r>
      <w:r w:rsidRPr="002F17D0">
        <w:rPr>
          <w:rFonts w:eastAsia="Times New Roman"/>
          <w:bCs/>
          <w:iCs/>
          <w:color w:val="auto"/>
          <w:szCs w:val="24"/>
          <w:lang w:eastAsia="lt-LT" w:bidi="lt-LT"/>
        </w:rPr>
        <w:t xml:space="preserve">dėl kurių yra taikomos Europos Sąjungos sankcijos. Dėl to apeliacinės instancijos teismas, pripažinęs esant sąsajų tarp ieškovės ir </w:t>
      </w:r>
      <w:r w:rsidR="00636D8B" w:rsidRPr="002F17D0">
        <w:rPr>
          <w:rFonts w:eastAsia="Times New Roman"/>
          <w:bCs/>
          <w:iCs/>
          <w:color w:val="auto"/>
          <w:szCs w:val="24"/>
          <w:lang w:eastAsia="lt-LT" w:bidi="lt-LT"/>
        </w:rPr>
        <w:t>sankcionuotų</w:t>
      </w:r>
      <w:r w:rsidRPr="002F17D0">
        <w:rPr>
          <w:rFonts w:eastAsia="Times New Roman"/>
          <w:bCs/>
          <w:iCs/>
          <w:color w:val="auto"/>
          <w:szCs w:val="24"/>
          <w:lang w:eastAsia="lt-LT" w:bidi="lt-LT"/>
        </w:rPr>
        <w:t xml:space="preserve"> asmenų, o ieškovei nepaneigus dėl to kilusių abejonių, kad ji </w:t>
      </w:r>
      <w:r w:rsidR="00636D8B" w:rsidRPr="002F17D0">
        <w:rPr>
          <w:rFonts w:eastAsia="Times New Roman"/>
          <w:bCs/>
          <w:iCs/>
          <w:color w:val="auto"/>
          <w:szCs w:val="24"/>
          <w:lang w:eastAsia="lt-LT" w:bidi="lt-LT"/>
        </w:rPr>
        <w:t>yra</w:t>
      </w:r>
      <w:r w:rsidRPr="002F17D0">
        <w:rPr>
          <w:rFonts w:eastAsia="Times New Roman"/>
          <w:bCs/>
          <w:iCs/>
          <w:color w:val="auto"/>
          <w:szCs w:val="24"/>
          <w:lang w:eastAsia="lt-LT" w:bidi="lt-LT"/>
        </w:rPr>
        <w:t xml:space="preserve"> kontroliuojama šių asmenų, pagrįstai padarė išvadą, jog atsakovės galimybės vykdyti šalių Sutartį objektyviai </w:t>
      </w:r>
      <w:r w:rsidR="00636D8B" w:rsidRPr="002F17D0">
        <w:rPr>
          <w:rFonts w:eastAsia="Times New Roman"/>
          <w:bCs/>
          <w:iCs/>
          <w:color w:val="auto"/>
          <w:szCs w:val="24"/>
          <w:lang w:eastAsia="lt-LT" w:bidi="lt-LT"/>
        </w:rPr>
        <w:t>yra</w:t>
      </w:r>
      <w:r w:rsidRPr="002F17D0">
        <w:rPr>
          <w:rFonts w:eastAsia="Times New Roman"/>
          <w:bCs/>
          <w:iCs/>
          <w:color w:val="auto"/>
          <w:szCs w:val="24"/>
          <w:lang w:eastAsia="lt-LT" w:bidi="lt-LT"/>
        </w:rPr>
        <w:t xml:space="preserve"> apribotos Europos Sąjungos taikytomis sankcijomis.</w:t>
      </w:r>
    </w:p>
    <w:p w14:paraId="6C129C9F" w14:textId="63F76D9F" w:rsidR="005A539F" w:rsidRPr="002F17D0" w:rsidRDefault="00BF25C0" w:rsidP="005A539F">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Ieškovė kasaciniame skunde taip pat nurodo, kad apeliacinės instancijos teismas netinkamai taikė CPK 182 straipsnio 2 punkte įtvirtintą prejudicialumo taisyklę ir nukrypo nuo kasacinio teismo praktikos, ieškovės tariamus ryšius su sankcionuotais asmenimis konstatuodamas</w:t>
      </w:r>
      <w:r w:rsidR="00F36169"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Lietuvos apeliacinio teismo civilinėje byloje Nr. e2-416-516/2023 2023 m. kovo 18 d. priimtos nutarties motyv</w:t>
      </w:r>
      <w:r w:rsidR="00B02C42" w:rsidRPr="002F17D0">
        <w:rPr>
          <w:rFonts w:eastAsia="Times New Roman"/>
          <w:bCs/>
          <w:iCs/>
          <w:color w:val="auto"/>
          <w:szCs w:val="24"/>
          <w:lang w:eastAsia="lt-LT" w:bidi="lt-LT"/>
        </w:rPr>
        <w:t>ų pagrindu</w:t>
      </w:r>
      <w:r w:rsidRPr="002F17D0">
        <w:rPr>
          <w:rFonts w:eastAsia="Times New Roman"/>
          <w:bCs/>
          <w:iCs/>
          <w:color w:val="auto"/>
          <w:szCs w:val="24"/>
          <w:lang w:eastAsia="lt-LT" w:bidi="lt-LT"/>
        </w:rPr>
        <w:t xml:space="preserve">. </w:t>
      </w:r>
      <w:r w:rsidR="005A539F" w:rsidRPr="002F17D0">
        <w:rPr>
          <w:rFonts w:eastAsia="Times New Roman"/>
          <w:bCs/>
          <w:iCs/>
          <w:color w:val="auto"/>
          <w:szCs w:val="24"/>
          <w:lang w:eastAsia="lt-LT" w:bidi="lt-LT"/>
        </w:rPr>
        <w:t>Teisėjų kolegija šiuos kasacinio skundo argumentus pripažįsta nepagrįstais.</w:t>
      </w:r>
    </w:p>
    <w:p w14:paraId="749B6506" w14:textId="2635597C" w:rsidR="005A539F" w:rsidRPr="002F17D0" w:rsidRDefault="005A539F" w:rsidP="005A539F">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Kasacinis teismas yra išaiškinęs, kad teismo sprendimo prejudicinė galia reiškia, jog įsiteisėjusiu teismo sprendimu nustatytų faktų ir teisinių santykių šalys, kiti dalyvaujantys byloje asmenys ir jų teisių perėmėjai nebegali ginčyti kitose bylose (CPK 279 straipsnio 4 dalis). Kasacinio teismo praktikoje aiškinant nurodytas proceso teisės normas suformuluotos tokios esminės nuostatos: prejudiciniais faktais laikytinos kitoje byloje įsiteisėjusiu teismo sprendimu nustatytos aplinkybės; prejudicinių faktų galią tokios aplinkybės turi tik tuo atveju, kai abiejose bylose bet kokiu procesiniu statusu dalyvauja tie patys asmenys, išskyrus atvejus, kai teismo sprendimas sukelia teisinius padarinius ir nedalyvavusiems byloje asmenims; pirmesnėje civilinėje byloje nustatyti faktai pripažintini prejudiciniais tik tada, kai jie toje byloje buvo įrodinėjimo dalykas ar bent jo dalis, svarbu, kad įrodinėjamas faktas būtų reikšmingas abiejose bylose (žr., pvz., Lietuvos Aukščiausiojo Teismo 2023 m. vasario 2 d. nutarties civilinėje byloje Nr. e3K-3-13-1075/2023 44 punktą ir jame nurodytą kasacinio teismo praktiką</w:t>
      </w:r>
      <w:r w:rsidR="00281D3C"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2024 m. vasario 28 d. nutarties civilinėje byloje Nr. e3K-3-21-421/2024 28 punktą).</w:t>
      </w:r>
    </w:p>
    <w:p w14:paraId="70DFEC58" w14:textId="37DD4600" w:rsidR="001C4B30" w:rsidRPr="002F17D0" w:rsidRDefault="001C4B30" w:rsidP="001C4B30">
      <w:pPr>
        <w:numPr>
          <w:ilvl w:val="0"/>
          <w:numId w:val="11"/>
        </w:numPr>
        <w:tabs>
          <w:tab w:val="left" w:pos="630"/>
          <w:tab w:val="left" w:pos="900"/>
          <w:tab w:val="left" w:pos="990"/>
        </w:tabs>
        <w:autoSpaceDN/>
        <w:spacing w:after="120"/>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Skundžiamoje apeliacinės instancijos teismo nutartyje nurodoma, kad</w:t>
      </w:r>
      <w:r w:rsidR="00E2418C"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akcininkų sutartis nepaneigia aplinkybės ir ieškovė savo skunde jos taip pat nepaneigė, kad 51 proc. balsų visuotiniame akcininkų susirinkime, ne mažiau kaip 4 iš 7 stebėtojų tarybos narius</w:t>
      </w:r>
      <w:r w:rsidR="00A7066D" w:rsidRPr="002F17D0">
        <w:rPr>
          <w:rFonts w:eastAsia="Times New Roman"/>
          <w:bCs/>
          <w:iCs/>
          <w:color w:val="auto"/>
          <w:szCs w:val="24"/>
          <w:lang w:eastAsia="lt-LT" w:bidi="lt-LT"/>
        </w:rPr>
        <w:t xml:space="preserve"> ir</w:t>
      </w:r>
      <w:r w:rsidRPr="002F17D0">
        <w:rPr>
          <w:rFonts w:eastAsia="Times New Roman"/>
          <w:bCs/>
          <w:iCs/>
          <w:color w:val="auto"/>
          <w:szCs w:val="24"/>
          <w:lang w:eastAsia="lt-LT" w:bidi="lt-LT"/>
        </w:rPr>
        <w:t xml:space="preserve"> ne mažiau kaip 3 iš 5 valdybos narius, net ir galiojant akcininkų sutarčiai, kontroliuoja Rusijos bendrovė </w:t>
      </w:r>
      <w:r w:rsidR="00A7066D" w:rsidRPr="002F17D0">
        <w:rPr>
          <w:rFonts w:eastAsia="Times New Roman"/>
          <w:bCs/>
          <w:iCs/>
          <w:color w:val="auto"/>
          <w:szCs w:val="24"/>
          <w:lang w:eastAsia="lt-LT" w:bidi="lt-LT"/>
        </w:rPr>
        <w:t>„</w:t>
      </w:r>
      <w:r w:rsidRPr="002F17D0">
        <w:rPr>
          <w:rFonts w:eastAsia="Times New Roman"/>
          <w:bCs/>
          <w:iCs/>
          <w:color w:val="auto"/>
          <w:szCs w:val="24"/>
          <w:lang w:eastAsia="lt-LT" w:bidi="lt-LT"/>
        </w:rPr>
        <w:t>I</w:t>
      </w:r>
      <w:r w:rsidR="00A7066D" w:rsidRPr="002F17D0">
        <w:rPr>
          <w:rFonts w:eastAsia="Times New Roman"/>
          <w:bCs/>
          <w:iCs/>
          <w:color w:val="auto"/>
          <w:szCs w:val="24"/>
          <w:lang w:eastAsia="lt-LT" w:bidi="lt-LT"/>
        </w:rPr>
        <w:t>nter</w:t>
      </w:r>
      <w:r w:rsidRPr="002F17D0">
        <w:rPr>
          <w:rFonts w:eastAsia="Times New Roman"/>
          <w:bCs/>
          <w:iCs/>
          <w:color w:val="auto"/>
          <w:szCs w:val="24"/>
          <w:lang w:eastAsia="lt-LT" w:bidi="lt-LT"/>
        </w:rPr>
        <w:t xml:space="preserve"> RAO UES</w:t>
      </w:r>
      <w:r w:rsidR="00A7066D" w:rsidRPr="002F17D0">
        <w:rPr>
          <w:rFonts w:eastAsia="Times New Roman"/>
          <w:bCs/>
          <w:iCs/>
          <w:color w:val="auto"/>
          <w:szCs w:val="24"/>
          <w:lang w:eastAsia="lt-LT" w:bidi="lt-LT"/>
        </w:rPr>
        <w:t>“</w:t>
      </w:r>
      <w:r w:rsidR="00E2418C"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Lietuvos teismuose yra pripažinta, kad ši</w:t>
      </w:r>
      <w:r w:rsidR="00A7066D" w:rsidRPr="002F17D0">
        <w:rPr>
          <w:rFonts w:eastAsia="Times New Roman"/>
          <w:bCs/>
          <w:iCs/>
          <w:color w:val="auto"/>
          <w:szCs w:val="24"/>
          <w:lang w:eastAsia="lt-LT" w:bidi="lt-LT"/>
        </w:rPr>
        <w:t>ai</w:t>
      </w:r>
      <w:r w:rsidRPr="002F17D0">
        <w:rPr>
          <w:rFonts w:eastAsia="Times New Roman"/>
          <w:bCs/>
          <w:iCs/>
          <w:color w:val="auto"/>
          <w:szCs w:val="24"/>
          <w:lang w:eastAsia="lt-LT" w:bidi="lt-LT"/>
        </w:rPr>
        <w:t xml:space="preserve"> įmon</w:t>
      </w:r>
      <w:r w:rsidR="00A7066D" w:rsidRPr="002F17D0">
        <w:rPr>
          <w:rFonts w:eastAsia="Times New Roman"/>
          <w:bCs/>
          <w:iCs/>
          <w:color w:val="auto"/>
          <w:szCs w:val="24"/>
          <w:lang w:eastAsia="lt-LT" w:bidi="lt-LT"/>
        </w:rPr>
        <w:t>ei</w:t>
      </w:r>
      <w:r w:rsidRPr="002F17D0">
        <w:rPr>
          <w:rFonts w:eastAsia="Times New Roman"/>
          <w:bCs/>
          <w:iCs/>
          <w:color w:val="auto"/>
          <w:szCs w:val="24"/>
          <w:lang w:eastAsia="lt-LT" w:bidi="lt-LT"/>
        </w:rPr>
        <w:t xml:space="preserve"> yra taikomos sankcijos (pavyzdžiui, </w:t>
      </w:r>
      <w:bookmarkStart w:id="64" w:name="_Hlk169247231"/>
      <w:r w:rsidRPr="002F17D0">
        <w:rPr>
          <w:rFonts w:eastAsia="Times New Roman"/>
          <w:bCs/>
          <w:iCs/>
          <w:color w:val="auto"/>
          <w:szCs w:val="24"/>
          <w:lang w:eastAsia="lt-LT" w:bidi="lt-LT"/>
        </w:rPr>
        <w:t>Lietuvos apeliacinio teismo 2023 m. kovo 18 d. nutartis civilinėje byloje Nr. e2-416-516/2023</w:t>
      </w:r>
      <w:bookmarkEnd w:id="64"/>
      <w:r w:rsidRPr="002F17D0">
        <w:rPr>
          <w:rFonts w:eastAsia="Times New Roman"/>
          <w:bCs/>
          <w:iCs/>
          <w:color w:val="auto"/>
          <w:szCs w:val="24"/>
          <w:lang w:eastAsia="lt-LT" w:bidi="lt-LT"/>
        </w:rPr>
        <w:t>)</w:t>
      </w:r>
      <w:r w:rsidR="00E2418C" w:rsidRPr="002F17D0">
        <w:rPr>
          <w:rFonts w:eastAsia="Times New Roman"/>
          <w:bCs/>
          <w:iCs/>
          <w:color w:val="auto"/>
          <w:szCs w:val="24"/>
          <w:lang w:eastAsia="lt-LT" w:bidi="lt-LT"/>
        </w:rPr>
        <w:t>; t</w:t>
      </w:r>
      <w:r w:rsidRPr="002F17D0">
        <w:rPr>
          <w:rFonts w:eastAsia="Times New Roman"/>
          <w:bCs/>
          <w:iCs/>
          <w:color w:val="auto"/>
          <w:szCs w:val="24"/>
          <w:lang w:eastAsia="lt-LT" w:bidi="lt-LT"/>
        </w:rPr>
        <w:t xml:space="preserve">aigi, darytina išvada, kad ieškovė nepaneigė savo ryšių su sankcionuotais asmenimis. </w:t>
      </w:r>
    </w:p>
    <w:p w14:paraId="79D68D86" w14:textId="3ED33435" w:rsidR="004465BD" w:rsidRPr="002F17D0" w:rsidRDefault="004465BD" w:rsidP="00636D8B">
      <w:pPr>
        <w:numPr>
          <w:ilvl w:val="0"/>
          <w:numId w:val="11"/>
        </w:numPr>
        <w:tabs>
          <w:tab w:val="left" w:pos="630"/>
          <w:tab w:val="left" w:pos="900"/>
          <w:tab w:val="left" w:pos="990"/>
        </w:tabs>
        <w:autoSpaceDN/>
        <w:spacing w:before="120" w:after="120"/>
        <w:ind w:left="357" w:hanging="357"/>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Teisėjų kolegija sutinka su kasacinio skundo argumentais, jog Lietuvos apeliacinio teismo 2023</w:t>
      </w:r>
      <w:r w:rsidR="00A7066D" w:rsidRPr="002F17D0">
        <w:rPr>
          <w:rFonts w:eastAsia="Times New Roman"/>
          <w:bCs/>
          <w:iCs/>
          <w:color w:val="auto"/>
          <w:szCs w:val="24"/>
          <w:lang w:eastAsia="lt-LT" w:bidi="lt-LT"/>
        </w:rPr>
        <w:t> </w:t>
      </w:r>
      <w:r w:rsidRPr="002F17D0">
        <w:rPr>
          <w:rFonts w:eastAsia="Times New Roman"/>
          <w:bCs/>
          <w:iCs/>
          <w:color w:val="auto"/>
          <w:szCs w:val="24"/>
          <w:lang w:eastAsia="lt-LT" w:bidi="lt-LT"/>
        </w:rPr>
        <w:t xml:space="preserve">m. kovo 18 d. nutartyje civilinėje byloje Nr. e2-416-516/2023 nustatytos aplinkybės nelaikytinos prejudicinėmis nagrinėjamoje byloje, tačiau šiuo atveju nėra pagrindo pripažinti, kad apeliacinės instancijos teismas </w:t>
      </w:r>
      <w:r w:rsidR="00F36169" w:rsidRPr="002F17D0">
        <w:rPr>
          <w:rFonts w:eastAsia="Times New Roman"/>
          <w:bCs/>
          <w:iCs/>
          <w:color w:val="auto"/>
          <w:szCs w:val="24"/>
          <w:lang w:eastAsia="lt-LT" w:bidi="lt-LT"/>
        </w:rPr>
        <w:t xml:space="preserve">jomis rėmėsi kaip prejudicinėmis ir taip </w:t>
      </w:r>
      <w:r w:rsidRPr="002F17D0">
        <w:rPr>
          <w:rFonts w:eastAsia="Times New Roman"/>
          <w:bCs/>
          <w:iCs/>
          <w:color w:val="auto"/>
          <w:szCs w:val="24"/>
          <w:lang w:eastAsia="lt-LT" w:bidi="lt-LT"/>
        </w:rPr>
        <w:t>pažeidė prejudicialumo taisykles</w:t>
      </w:r>
      <w:r w:rsidR="00194085" w:rsidRPr="002F17D0">
        <w:rPr>
          <w:rFonts w:eastAsia="Times New Roman"/>
          <w:bCs/>
          <w:iCs/>
          <w:color w:val="auto"/>
          <w:szCs w:val="24"/>
          <w:lang w:eastAsia="lt-LT" w:bidi="lt-LT"/>
        </w:rPr>
        <w:t xml:space="preserve"> bei nukrypo nuo kasacinio teismo praktikos.</w:t>
      </w:r>
      <w:r w:rsidRPr="002F17D0">
        <w:rPr>
          <w:rFonts w:eastAsia="Times New Roman"/>
          <w:bCs/>
          <w:iCs/>
          <w:color w:val="auto"/>
          <w:szCs w:val="24"/>
          <w:lang w:eastAsia="lt-LT" w:bidi="lt-LT"/>
        </w:rPr>
        <w:t xml:space="preserve"> Sistemiškai </w:t>
      </w:r>
      <w:r w:rsidR="00194085" w:rsidRPr="002F17D0">
        <w:rPr>
          <w:rFonts w:eastAsia="Times New Roman"/>
          <w:bCs/>
          <w:iCs/>
          <w:color w:val="auto"/>
          <w:szCs w:val="24"/>
          <w:lang w:eastAsia="lt-LT" w:bidi="lt-LT"/>
        </w:rPr>
        <w:t>į</w:t>
      </w:r>
      <w:r w:rsidRPr="002F17D0">
        <w:rPr>
          <w:rFonts w:eastAsia="Times New Roman"/>
          <w:bCs/>
          <w:iCs/>
          <w:color w:val="auto"/>
          <w:szCs w:val="24"/>
          <w:lang w:eastAsia="lt-LT" w:bidi="lt-LT"/>
        </w:rPr>
        <w:t>vertin</w:t>
      </w:r>
      <w:r w:rsidR="00194085" w:rsidRPr="002F17D0">
        <w:rPr>
          <w:rFonts w:eastAsia="Times New Roman"/>
          <w:bCs/>
          <w:iCs/>
          <w:color w:val="auto"/>
          <w:szCs w:val="24"/>
          <w:lang w:eastAsia="lt-LT" w:bidi="lt-LT"/>
        </w:rPr>
        <w:t>us</w:t>
      </w:r>
      <w:r w:rsidRPr="002F17D0">
        <w:rPr>
          <w:rFonts w:eastAsia="Times New Roman"/>
          <w:bCs/>
          <w:iCs/>
          <w:color w:val="auto"/>
          <w:szCs w:val="24"/>
          <w:lang w:eastAsia="lt-LT" w:bidi="lt-LT"/>
        </w:rPr>
        <w:t xml:space="preserve"> visą skundžiam</w:t>
      </w:r>
      <w:r w:rsidR="00194085" w:rsidRPr="002F17D0">
        <w:rPr>
          <w:rFonts w:eastAsia="Times New Roman"/>
          <w:bCs/>
          <w:iCs/>
          <w:color w:val="auto"/>
          <w:szCs w:val="24"/>
          <w:lang w:eastAsia="lt-LT" w:bidi="lt-LT"/>
        </w:rPr>
        <w:t>os</w:t>
      </w:r>
      <w:r w:rsidRPr="002F17D0">
        <w:rPr>
          <w:rFonts w:eastAsia="Times New Roman"/>
          <w:bCs/>
          <w:iCs/>
          <w:color w:val="auto"/>
          <w:szCs w:val="24"/>
          <w:lang w:eastAsia="lt-LT" w:bidi="lt-LT"/>
        </w:rPr>
        <w:t xml:space="preserve"> nutarties </w:t>
      </w:r>
      <w:r w:rsidR="00194085" w:rsidRPr="002F17D0">
        <w:rPr>
          <w:rFonts w:eastAsia="Times New Roman"/>
          <w:bCs/>
          <w:iCs/>
          <w:color w:val="auto"/>
          <w:szCs w:val="24"/>
          <w:lang w:eastAsia="lt-LT" w:bidi="lt-LT"/>
        </w:rPr>
        <w:t>motyvuojamąją dalį</w:t>
      </w:r>
      <w:r w:rsidR="00A7066D" w:rsidRPr="002F17D0">
        <w:rPr>
          <w:rFonts w:eastAsia="Times New Roman"/>
          <w:bCs/>
          <w:iCs/>
          <w:color w:val="auto"/>
          <w:szCs w:val="24"/>
          <w:lang w:eastAsia="lt-LT" w:bidi="lt-LT"/>
        </w:rPr>
        <w:t>,</w:t>
      </w:r>
      <w:r w:rsidRPr="002F17D0">
        <w:rPr>
          <w:rFonts w:eastAsia="Times New Roman"/>
          <w:bCs/>
          <w:iCs/>
          <w:color w:val="auto"/>
          <w:szCs w:val="24"/>
          <w:lang w:eastAsia="lt-LT" w:bidi="lt-LT"/>
        </w:rPr>
        <w:t xml:space="preserve"> </w:t>
      </w:r>
      <w:r w:rsidR="00194085" w:rsidRPr="002F17D0">
        <w:rPr>
          <w:rFonts w:eastAsia="Times New Roman"/>
          <w:bCs/>
          <w:iCs/>
          <w:color w:val="auto"/>
          <w:szCs w:val="24"/>
          <w:lang w:eastAsia="lt-LT" w:bidi="lt-LT"/>
        </w:rPr>
        <w:t xml:space="preserve">darytina išvada, kad apeliacinės instancijos teismas </w:t>
      </w:r>
      <w:r w:rsidRPr="002F17D0">
        <w:rPr>
          <w:rFonts w:eastAsia="Times New Roman"/>
          <w:bCs/>
          <w:iCs/>
          <w:color w:val="auto"/>
          <w:szCs w:val="24"/>
          <w:lang w:eastAsia="lt-LT" w:bidi="lt-LT"/>
        </w:rPr>
        <w:t>Lietuvos apeliacinio teismo 2023 m. kovo 18 d. nutart</w:t>
      </w:r>
      <w:r w:rsidR="00194085" w:rsidRPr="002F17D0">
        <w:rPr>
          <w:rFonts w:eastAsia="Times New Roman"/>
          <w:bCs/>
          <w:iCs/>
          <w:color w:val="auto"/>
          <w:szCs w:val="24"/>
          <w:lang w:eastAsia="lt-LT" w:bidi="lt-LT"/>
        </w:rPr>
        <w:t>į</w:t>
      </w:r>
      <w:r w:rsidRPr="002F17D0">
        <w:rPr>
          <w:rFonts w:eastAsia="Times New Roman"/>
          <w:bCs/>
          <w:iCs/>
          <w:color w:val="auto"/>
          <w:szCs w:val="24"/>
          <w:lang w:eastAsia="lt-LT" w:bidi="lt-LT"/>
        </w:rPr>
        <w:t xml:space="preserve"> civilinėje byloje Nr. e2-416-516/2023 vertin</w:t>
      </w:r>
      <w:r w:rsidR="00194085" w:rsidRPr="002F17D0">
        <w:rPr>
          <w:rFonts w:eastAsia="Times New Roman"/>
          <w:bCs/>
          <w:iCs/>
          <w:color w:val="auto"/>
          <w:szCs w:val="24"/>
          <w:lang w:eastAsia="lt-LT" w:bidi="lt-LT"/>
        </w:rPr>
        <w:t>o</w:t>
      </w:r>
      <w:r w:rsidRPr="002F17D0">
        <w:rPr>
          <w:rFonts w:eastAsia="Times New Roman"/>
          <w:bCs/>
          <w:iCs/>
          <w:color w:val="auto"/>
          <w:szCs w:val="24"/>
          <w:lang w:eastAsia="lt-LT" w:bidi="lt-LT"/>
        </w:rPr>
        <w:t xml:space="preserve"> kaip </w:t>
      </w:r>
      <w:r w:rsidRPr="002F17D0">
        <w:rPr>
          <w:rFonts w:eastAsia="Times New Roman"/>
          <w:bCs/>
          <w:iCs/>
          <w:color w:val="auto"/>
          <w:szCs w:val="24"/>
          <w:lang w:eastAsia="lt-LT" w:bidi="lt-LT"/>
        </w:rPr>
        <w:lastRenderedPageBreak/>
        <w:t>vien</w:t>
      </w:r>
      <w:r w:rsidR="00194085" w:rsidRPr="002F17D0">
        <w:rPr>
          <w:rFonts w:eastAsia="Times New Roman"/>
          <w:bCs/>
          <w:iCs/>
          <w:color w:val="auto"/>
          <w:szCs w:val="24"/>
          <w:lang w:eastAsia="lt-LT" w:bidi="lt-LT"/>
        </w:rPr>
        <w:t>ą</w:t>
      </w:r>
      <w:r w:rsidRPr="002F17D0">
        <w:rPr>
          <w:rFonts w:eastAsia="Times New Roman"/>
          <w:bCs/>
          <w:iCs/>
          <w:color w:val="auto"/>
          <w:szCs w:val="24"/>
          <w:lang w:eastAsia="lt-LT" w:bidi="lt-LT"/>
        </w:rPr>
        <w:t xml:space="preserve"> iš byloje esančių rašytinių įrodymų, kurių pagrindu padaryta išvada, jog ieškovė nepaneigė savo ryšių su sankcionuotais asmenimis. </w:t>
      </w:r>
      <w:r w:rsidR="008075C0" w:rsidRPr="002F17D0">
        <w:rPr>
          <w:rFonts w:eastAsia="Times New Roman"/>
          <w:bCs/>
          <w:iCs/>
          <w:color w:val="auto"/>
          <w:szCs w:val="24"/>
          <w:lang w:eastAsia="lt-LT" w:bidi="lt-LT"/>
        </w:rPr>
        <w:t xml:space="preserve">Sutiktina su atsakovės </w:t>
      </w:r>
      <w:r w:rsidR="0085214F" w:rsidRPr="002F17D0">
        <w:rPr>
          <w:rFonts w:eastAsia="Times New Roman"/>
          <w:bCs/>
          <w:iCs/>
          <w:color w:val="auto"/>
          <w:szCs w:val="24"/>
          <w:lang w:eastAsia="lt-LT" w:bidi="lt-LT"/>
        </w:rPr>
        <w:t xml:space="preserve">atsiliepimo </w:t>
      </w:r>
      <w:r w:rsidR="008075C0" w:rsidRPr="002F17D0">
        <w:rPr>
          <w:rFonts w:eastAsia="Times New Roman"/>
          <w:bCs/>
          <w:iCs/>
          <w:color w:val="auto"/>
          <w:szCs w:val="24"/>
          <w:lang w:eastAsia="lt-LT" w:bidi="lt-LT"/>
        </w:rPr>
        <w:t>argumentais, kad a</w:t>
      </w:r>
      <w:r w:rsidRPr="002F17D0">
        <w:rPr>
          <w:rFonts w:eastAsia="Times New Roman"/>
          <w:bCs/>
          <w:iCs/>
          <w:color w:val="auto"/>
          <w:szCs w:val="24"/>
          <w:lang w:eastAsia="lt-LT" w:bidi="lt-LT"/>
        </w:rPr>
        <w:t xml:space="preserve">peliacinės instancijos teismas </w:t>
      </w:r>
      <w:r w:rsidR="008075C0" w:rsidRPr="002F17D0">
        <w:rPr>
          <w:rFonts w:eastAsia="Times New Roman"/>
          <w:bCs/>
          <w:iCs/>
          <w:color w:val="auto"/>
          <w:szCs w:val="24"/>
          <w:lang w:eastAsia="lt-LT" w:bidi="lt-LT"/>
        </w:rPr>
        <w:t>minėtoje nutartyje</w:t>
      </w:r>
      <w:r w:rsidRPr="002F17D0">
        <w:rPr>
          <w:rFonts w:eastAsia="Times New Roman"/>
          <w:bCs/>
          <w:iCs/>
          <w:color w:val="auto"/>
          <w:szCs w:val="24"/>
          <w:lang w:eastAsia="lt-LT" w:bidi="lt-LT"/>
        </w:rPr>
        <w:t xml:space="preserve"> nurodytų faktų nelaikė prejudiciniais</w:t>
      </w:r>
      <w:r w:rsidR="008075C0" w:rsidRPr="002F17D0">
        <w:rPr>
          <w:rFonts w:eastAsia="Times New Roman"/>
          <w:bCs/>
          <w:iCs/>
          <w:color w:val="auto"/>
          <w:szCs w:val="24"/>
          <w:lang w:eastAsia="lt-LT" w:bidi="lt-LT"/>
        </w:rPr>
        <w:t>, š</w:t>
      </w:r>
      <w:r w:rsidRPr="002F17D0">
        <w:rPr>
          <w:rFonts w:eastAsia="Times New Roman"/>
          <w:bCs/>
          <w:iCs/>
          <w:color w:val="auto"/>
          <w:szCs w:val="24"/>
          <w:lang w:eastAsia="lt-LT" w:bidi="lt-LT"/>
        </w:rPr>
        <w:t>ių faktų</w:t>
      </w:r>
      <w:r w:rsidR="008075C0"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 xml:space="preserve">prejudiciniais laikyti neprašė ir </w:t>
      </w:r>
      <w:r w:rsidR="008075C0" w:rsidRPr="002F17D0">
        <w:rPr>
          <w:rFonts w:eastAsia="Times New Roman"/>
          <w:bCs/>
          <w:iCs/>
          <w:color w:val="auto"/>
          <w:szCs w:val="24"/>
          <w:lang w:eastAsia="lt-LT" w:bidi="lt-LT"/>
        </w:rPr>
        <w:t>bylos šalys, t</w:t>
      </w:r>
      <w:r w:rsidRPr="002F17D0">
        <w:rPr>
          <w:rFonts w:eastAsia="Times New Roman"/>
          <w:bCs/>
          <w:iCs/>
          <w:color w:val="auto"/>
          <w:szCs w:val="24"/>
          <w:lang w:eastAsia="lt-LT" w:bidi="lt-LT"/>
        </w:rPr>
        <w:t xml:space="preserve">odėl </w:t>
      </w:r>
      <w:r w:rsidR="008075C0" w:rsidRPr="002F17D0">
        <w:rPr>
          <w:rFonts w:eastAsia="Times New Roman"/>
          <w:bCs/>
          <w:iCs/>
          <w:color w:val="auto"/>
          <w:szCs w:val="24"/>
          <w:lang w:eastAsia="lt-LT" w:bidi="lt-LT"/>
        </w:rPr>
        <w:t>a</w:t>
      </w:r>
      <w:r w:rsidRPr="002F17D0">
        <w:rPr>
          <w:rFonts w:eastAsia="Times New Roman"/>
          <w:bCs/>
          <w:iCs/>
          <w:color w:val="auto"/>
          <w:szCs w:val="24"/>
          <w:lang w:eastAsia="lt-LT" w:bidi="lt-LT"/>
        </w:rPr>
        <w:t>peliacinės instancijos teismas Lietuvos</w:t>
      </w:r>
      <w:r w:rsidR="008075C0"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apeliacinio teismo 2023</w:t>
      </w:r>
      <w:r w:rsidR="008075C0" w:rsidRPr="002F17D0">
        <w:rPr>
          <w:rFonts w:eastAsia="Times New Roman"/>
          <w:bCs/>
          <w:iCs/>
          <w:color w:val="auto"/>
          <w:szCs w:val="24"/>
          <w:lang w:eastAsia="lt-LT" w:bidi="lt-LT"/>
        </w:rPr>
        <w:t xml:space="preserve"> m. balandžio 18 d.</w:t>
      </w:r>
      <w:r w:rsidRPr="002F17D0">
        <w:rPr>
          <w:rFonts w:eastAsia="Times New Roman"/>
          <w:bCs/>
          <w:iCs/>
          <w:color w:val="auto"/>
          <w:szCs w:val="24"/>
          <w:lang w:eastAsia="lt-LT" w:bidi="lt-LT"/>
        </w:rPr>
        <w:t xml:space="preserve"> nutartimi civilinėje byloje Nr. e2-416-516/2023 (ir joje nurodytais</w:t>
      </w:r>
      <w:r w:rsidR="008075C0" w:rsidRPr="002F17D0">
        <w:rPr>
          <w:rFonts w:eastAsia="Times New Roman"/>
          <w:bCs/>
          <w:iCs/>
          <w:color w:val="auto"/>
          <w:szCs w:val="24"/>
          <w:lang w:eastAsia="lt-LT" w:bidi="lt-LT"/>
        </w:rPr>
        <w:t xml:space="preserve"> </w:t>
      </w:r>
      <w:r w:rsidRPr="002F17D0">
        <w:rPr>
          <w:rFonts w:eastAsia="Times New Roman"/>
          <w:bCs/>
          <w:iCs/>
          <w:color w:val="auto"/>
          <w:szCs w:val="24"/>
          <w:lang w:eastAsia="lt-LT" w:bidi="lt-LT"/>
        </w:rPr>
        <w:t xml:space="preserve">faktais), kaip </w:t>
      </w:r>
      <w:r w:rsidR="00D12D16" w:rsidRPr="002F17D0">
        <w:rPr>
          <w:rFonts w:eastAsia="Times New Roman"/>
          <w:bCs/>
          <w:iCs/>
          <w:color w:val="auto"/>
          <w:szCs w:val="24"/>
          <w:lang w:eastAsia="lt-LT" w:bidi="lt-LT"/>
        </w:rPr>
        <w:t xml:space="preserve">papildomu </w:t>
      </w:r>
      <w:r w:rsidRPr="002F17D0">
        <w:rPr>
          <w:rFonts w:eastAsia="Times New Roman"/>
          <w:bCs/>
          <w:iCs/>
          <w:color w:val="auto"/>
          <w:szCs w:val="24"/>
          <w:lang w:eastAsia="lt-LT" w:bidi="lt-LT"/>
        </w:rPr>
        <w:t>įrodymu, pagrįstai motyvavo savo procesinį sprendimą.</w:t>
      </w:r>
    </w:p>
    <w:p w14:paraId="62716544" w14:textId="77777777" w:rsidR="00A072AE" w:rsidRPr="002F17D0" w:rsidRDefault="00A072AE" w:rsidP="00636D8B">
      <w:pPr>
        <w:tabs>
          <w:tab w:val="left" w:pos="630"/>
          <w:tab w:val="left" w:pos="900"/>
          <w:tab w:val="left" w:pos="990"/>
        </w:tabs>
        <w:autoSpaceDN/>
        <w:spacing w:before="120" w:after="120"/>
        <w:ind w:left="360"/>
        <w:jc w:val="both"/>
        <w:textAlignment w:val="auto"/>
        <w:rPr>
          <w:rFonts w:eastAsia="Times New Roman"/>
          <w:bCs/>
          <w:iCs/>
          <w:color w:val="auto"/>
          <w:szCs w:val="24"/>
          <w:lang w:eastAsia="lt-LT" w:bidi="lt-LT"/>
        </w:rPr>
      </w:pPr>
    </w:p>
    <w:p w14:paraId="2D971633" w14:textId="570DF2A8" w:rsidR="00A072AE" w:rsidRPr="002F17D0" w:rsidRDefault="00A072AE" w:rsidP="00636D8B">
      <w:pPr>
        <w:spacing w:before="120" w:after="120"/>
        <w:ind w:firstLine="720"/>
        <w:jc w:val="both"/>
        <w:rPr>
          <w:i/>
          <w:iCs/>
          <w:szCs w:val="24"/>
        </w:rPr>
      </w:pPr>
      <w:bookmarkStart w:id="65" w:name="_Hlk170213304"/>
      <w:r w:rsidRPr="002F17D0">
        <w:rPr>
          <w:i/>
          <w:iCs/>
          <w:szCs w:val="24"/>
        </w:rPr>
        <w:t xml:space="preserve">Dėl </w:t>
      </w:r>
      <w:r w:rsidR="00566E45" w:rsidRPr="002F17D0">
        <w:rPr>
          <w:i/>
          <w:iCs/>
          <w:szCs w:val="24"/>
        </w:rPr>
        <w:t xml:space="preserve">Europos Sąjungos taikomų ribojamųjų priemonių apimties ir </w:t>
      </w:r>
      <w:r w:rsidRPr="002F17D0">
        <w:rPr>
          <w:i/>
          <w:iCs/>
          <w:szCs w:val="24"/>
        </w:rPr>
        <w:t xml:space="preserve">prašymo kreiptis į Europos Sąjungos Teisingumo Teismą dėl prejudicinio sprendimo priėmimo </w:t>
      </w:r>
    </w:p>
    <w:bookmarkEnd w:id="65"/>
    <w:p w14:paraId="3CB7E81B" w14:textId="77777777" w:rsidR="00A072AE" w:rsidRPr="002F17D0" w:rsidRDefault="00A072AE" w:rsidP="00636D8B">
      <w:pPr>
        <w:spacing w:before="120" w:after="120"/>
        <w:ind w:firstLine="709"/>
        <w:jc w:val="both"/>
        <w:rPr>
          <w:iCs/>
          <w:szCs w:val="24"/>
        </w:rPr>
      </w:pPr>
    </w:p>
    <w:p w14:paraId="5017F157" w14:textId="284A13C7" w:rsidR="00566E45" w:rsidRPr="002F17D0" w:rsidRDefault="00566E45" w:rsidP="00636D8B">
      <w:pPr>
        <w:numPr>
          <w:ilvl w:val="0"/>
          <w:numId w:val="11"/>
        </w:numPr>
        <w:tabs>
          <w:tab w:val="left" w:pos="630"/>
          <w:tab w:val="left" w:pos="900"/>
          <w:tab w:val="left" w:pos="990"/>
        </w:tabs>
        <w:autoSpaceDN/>
        <w:spacing w:before="120" w:after="120"/>
        <w:ind w:left="357" w:hanging="357"/>
        <w:jc w:val="both"/>
        <w:textAlignment w:val="auto"/>
        <w:rPr>
          <w:rFonts w:eastAsia="Times New Roman"/>
          <w:bCs/>
          <w:iCs/>
          <w:color w:val="auto"/>
          <w:szCs w:val="24"/>
          <w:lang w:eastAsia="lt-LT" w:bidi="lt-LT"/>
        </w:rPr>
      </w:pPr>
      <w:r w:rsidRPr="002F17D0">
        <w:rPr>
          <w:rFonts w:eastAsia="Times New Roman"/>
          <w:bCs/>
          <w:iCs/>
          <w:color w:val="auto"/>
          <w:szCs w:val="24"/>
          <w:lang w:eastAsia="lt-LT" w:bidi="lt-LT"/>
        </w:rPr>
        <w:t>Kasaciniame skunde ieškovė teigia, kad bylą nagrinėję teismai netinkamai taikė Tarptautinių sankcijų įstatymo 7 straipsnio 2 ir 3 dal</w:t>
      </w:r>
      <w:r w:rsidR="00A7066D" w:rsidRPr="002F17D0">
        <w:rPr>
          <w:rFonts w:eastAsia="Times New Roman"/>
          <w:bCs/>
          <w:iCs/>
          <w:color w:val="auto"/>
          <w:szCs w:val="24"/>
          <w:lang w:eastAsia="lt-LT" w:bidi="lt-LT"/>
        </w:rPr>
        <w:t>is</w:t>
      </w:r>
      <w:r w:rsidRPr="002F17D0">
        <w:rPr>
          <w:rFonts w:eastAsia="Times New Roman"/>
          <w:bCs/>
          <w:iCs/>
          <w:color w:val="auto"/>
          <w:szCs w:val="24"/>
          <w:lang w:eastAsia="lt-LT" w:bidi="lt-LT"/>
        </w:rPr>
        <w:t xml:space="preserve"> kartu su Sprendimo Nr. 2014/145/BUSP 2 straipsniu ir Reglamento Nr. 269/2014 2 ir 7 straipsnius ir dėl to nepagrįstai atmetė ieškovės reikalavimą jai priteisti </w:t>
      </w:r>
      <w:r w:rsidR="00281D3C" w:rsidRPr="002F17D0">
        <w:rPr>
          <w:rFonts w:eastAsia="Times New Roman"/>
          <w:bCs/>
          <w:iCs/>
          <w:color w:val="auto"/>
          <w:szCs w:val="24"/>
          <w:lang w:eastAsia="lt-LT" w:bidi="lt-LT"/>
        </w:rPr>
        <w:t>skol</w:t>
      </w:r>
      <w:r w:rsidRPr="002F17D0">
        <w:rPr>
          <w:rFonts w:eastAsia="Times New Roman"/>
          <w:bCs/>
          <w:iCs/>
          <w:color w:val="auto"/>
          <w:szCs w:val="24"/>
          <w:lang w:eastAsia="lt-LT" w:bidi="lt-LT"/>
        </w:rPr>
        <w:t xml:space="preserve">ą už pagal Sutartį patiektą elektros energiją. Ieškovės vertinimu, ESTT </w:t>
      </w:r>
      <w:r w:rsidRPr="002F17D0">
        <w:rPr>
          <w:szCs w:val="24"/>
        </w:rPr>
        <w:t xml:space="preserve">nėra aiškinęs </w:t>
      </w:r>
      <w:r w:rsidR="00A7066D" w:rsidRPr="002F17D0">
        <w:rPr>
          <w:szCs w:val="24"/>
        </w:rPr>
        <w:t xml:space="preserve">nei </w:t>
      </w:r>
      <w:r w:rsidRPr="002F17D0">
        <w:rPr>
          <w:szCs w:val="24"/>
        </w:rPr>
        <w:t>lėšų ir ekonominių išteklių įšaldymo sąvokos, nei tokiu įšaldymu konkre</w:t>
      </w:r>
      <w:r w:rsidR="00A7066D" w:rsidRPr="002F17D0">
        <w:rPr>
          <w:szCs w:val="24"/>
        </w:rPr>
        <w:t>tiems</w:t>
      </w:r>
      <w:r w:rsidRPr="002F17D0">
        <w:rPr>
          <w:szCs w:val="24"/>
        </w:rPr>
        <w:t xml:space="preserve"> asmen</w:t>
      </w:r>
      <w:r w:rsidR="00A7066D" w:rsidRPr="002F17D0">
        <w:rPr>
          <w:szCs w:val="24"/>
        </w:rPr>
        <w:t>ims</w:t>
      </w:r>
      <w:r w:rsidRPr="002F17D0">
        <w:rPr>
          <w:szCs w:val="24"/>
        </w:rPr>
        <w:t xml:space="preserve"> taikomų apribojimų, nei kokios yra galimybės į sankcijų sąrašus įtrauktiems asmenims reikšti naujus reikalavimus dėl pagal dar iki sankcijų pritaikymo sudarytas sutartis susidariusių skolų </w:t>
      </w:r>
      <w:r w:rsidR="000D41B1" w:rsidRPr="002F17D0">
        <w:rPr>
          <w:szCs w:val="24"/>
        </w:rPr>
        <w:t xml:space="preserve">jiems </w:t>
      </w:r>
      <w:r w:rsidRPr="002F17D0">
        <w:rPr>
          <w:szCs w:val="24"/>
        </w:rPr>
        <w:t>priteisimo ir sumokėjimo</w:t>
      </w:r>
      <w:r w:rsidR="00261702" w:rsidRPr="002F17D0">
        <w:rPr>
          <w:szCs w:val="24"/>
        </w:rPr>
        <w:t>, todėl prašo kreiptis į ESTT dėl prejudicinio sprendimo priėmimo.</w:t>
      </w:r>
    </w:p>
    <w:p w14:paraId="5250658D" w14:textId="3CE57131" w:rsidR="00A072AE" w:rsidRPr="002F17D0" w:rsidRDefault="00A072AE" w:rsidP="00636D8B">
      <w:pPr>
        <w:numPr>
          <w:ilvl w:val="0"/>
          <w:numId w:val="11"/>
        </w:numPr>
        <w:tabs>
          <w:tab w:val="left" w:pos="630"/>
          <w:tab w:val="left" w:pos="900"/>
          <w:tab w:val="left" w:pos="990"/>
        </w:tabs>
        <w:autoSpaceDN/>
        <w:spacing w:before="120" w:after="120"/>
        <w:ind w:left="357" w:hanging="357"/>
        <w:jc w:val="both"/>
        <w:textAlignment w:val="auto"/>
        <w:rPr>
          <w:rFonts w:eastAsia="Times New Roman"/>
          <w:bCs/>
          <w:iCs/>
          <w:color w:val="auto"/>
          <w:szCs w:val="24"/>
          <w:lang w:eastAsia="lt-LT" w:bidi="lt-LT"/>
        </w:rPr>
      </w:pPr>
      <w:r w:rsidRPr="002F17D0">
        <w:rPr>
          <w:iCs/>
          <w:szCs w:val="24"/>
        </w:rPr>
        <w:t xml:space="preserve">CPK 3 straipsnio 5 dalyje nustatyta, kad teismas, nagrinėdamas bylas, taiko Europos Sąjungos teisės normas ir vadovaujasi Europos Sąjungos teisminių institucijų sprendimais, prejudiciniais sprendimais Europos Sąjungos teisės aktų aiškinimo ir galiojimo klausimais. Šioje nuostatoje taip pat </w:t>
      </w:r>
      <w:r w:rsidR="00A7066D" w:rsidRPr="002F17D0">
        <w:rPr>
          <w:iCs/>
          <w:szCs w:val="24"/>
        </w:rPr>
        <w:t>įtvirtin</w:t>
      </w:r>
      <w:r w:rsidRPr="002F17D0">
        <w:rPr>
          <w:iCs/>
          <w:szCs w:val="24"/>
        </w:rPr>
        <w:t>ta, kad teismas, kuriam taikant Europos Sąjungos teisės normas iškilo Europos Sąjungos teisės aktų aiškinimo ar galiojimo klausimas, kurį išnagrinėti būtina, kad sprendimas byloje būtų priimtas, turi teisę sustabdyti bylos nagrinėjimą ir kreiptis į kompetentingą Europos Sąjungos teisminę instituciją su prašymu pateikti dėl to prejudicinį sprendimą, o teismas, kuris yra galutinė instancija nagrinėjamoje byloje ir kuriam taikant Europos Sąjungos teisės normas iškilo Europos Sąjungos teisės aktų aiškinimo ar galiojimo klausimas, privalo prašyti kompetentingos Europos Sąjungos teisminės institucijos prejudicinio sprendimo Europos Sąjungos teisės aktų aiškinimo ar galiojimo klausimu. Sutarties dėl Europos Sąjungos veikimo</w:t>
      </w:r>
      <w:r w:rsidR="00A135A1" w:rsidRPr="002F17D0">
        <w:rPr>
          <w:iCs/>
          <w:szCs w:val="24"/>
        </w:rPr>
        <w:t xml:space="preserve"> (toliau – SESV)</w:t>
      </w:r>
      <w:r w:rsidRPr="002F17D0">
        <w:rPr>
          <w:iCs/>
          <w:szCs w:val="24"/>
        </w:rPr>
        <w:t xml:space="preserve"> 267 straipsnyje nustatyta, kad jurisdikcija priimti prejudicinį sprendimą dėl Sutarčių išaiškinimo ir Europos Sąjungos institucijų, įstaigų ar organų aktų galiojimo ir išaiškinimo priklauso ESTT. Šiame straipsnyje taip pat išdėstytos iš esmės analogiškos, kaip ir pirmiau minėtose CPK nuostatose, taisyklės dėl to, kada nacionalinis teismas gali ir turi kreiptis į ESTT dėl Europos Sąjungos teisės aiškinimo.</w:t>
      </w:r>
    </w:p>
    <w:p w14:paraId="36517763" w14:textId="77777777" w:rsidR="00A072AE" w:rsidRPr="002F17D0" w:rsidRDefault="00A072AE" w:rsidP="00636D8B">
      <w:pPr>
        <w:numPr>
          <w:ilvl w:val="0"/>
          <w:numId w:val="11"/>
        </w:numPr>
        <w:tabs>
          <w:tab w:val="left" w:pos="630"/>
          <w:tab w:val="left" w:pos="900"/>
          <w:tab w:val="left" w:pos="990"/>
        </w:tabs>
        <w:autoSpaceDN/>
        <w:spacing w:before="120" w:after="120"/>
        <w:ind w:left="357" w:hanging="357"/>
        <w:jc w:val="both"/>
        <w:textAlignment w:val="auto"/>
        <w:rPr>
          <w:rFonts w:eastAsia="Times New Roman"/>
          <w:bCs/>
          <w:iCs/>
          <w:color w:val="auto"/>
          <w:szCs w:val="24"/>
          <w:lang w:eastAsia="lt-LT" w:bidi="lt-LT"/>
        </w:rPr>
      </w:pPr>
      <w:r w:rsidRPr="002F17D0">
        <w:rPr>
          <w:iCs/>
          <w:szCs w:val="24"/>
        </w:rPr>
        <w:t xml:space="preserve">Nors pagal pirmiau nurodytas teisės normas galutinės instancijos teismas privalo prašyti prejudicinio sprendimo tuo atveju, jeigu taikant Europos Sąjungos teisės normas jam iškilo Europos Sąjungos teisės aktų aiškinimo ar galiojimo klausimas, ESTT praktikoje yra išaiškinta, kad tokio teismo pareiga kreiptis į ESTT nėra absoliuti. ESTT praktikoje yra nurodyta, kad nacionaliniai teismai, kurių sprendimai pagal nacionalinę teisę negali būti toliau apskundžiami, gali, spręsdami Europos Sąjungos teisės klausimą, nesilaikyti pareigos kreiptis dėl prejudicinio sprendimo tuo atveju, jei jie konstatavo, kad iškeltas klausimas nėra svarbus bylai, kad dėl nagrinėjamos Europos Sąjungos teisės nuostatos ESTT jau pateikė savo išaiškinimą arba kad tinkamas Europos Sąjungos teisės taikymas yra toks akivaizdus, jog dėl to negali kilti jokių pagrįstų abejonių (ESTT 2005 m. rugsėjo 15 d. sprendimas byloje </w:t>
      </w:r>
      <w:r w:rsidRPr="002F17D0">
        <w:rPr>
          <w:i/>
          <w:szCs w:val="24"/>
        </w:rPr>
        <w:t>Intermodal Transports BV prieš Staatssecretaris van Financin</w:t>
      </w:r>
      <w:r w:rsidRPr="002F17D0">
        <w:rPr>
          <w:iCs/>
          <w:szCs w:val="24"/>
        </w:rPr>
        <w:t xml:space="preserve">, C-495/03, 33 punktas). Tik bylą nagrinėjantis nacionalinis teismas, atsakingas už sprendimo priėmimą, atsižvelgdamas į konkrečias bylos aplinkybes, turi įvertinti ir tai, ar jo sprendimui priimti būtinas prejudicinis sprendimas, ir ESTT pateikiamų klausimų svarbą (ESTT 2021 m. birželio 10 d. sprendimas byloje </w:t>
      </w:r>
      <w:r w:rsidRPr="002F17D0">
        <w:rPr>
          <w:i/>
          <w:szCs w:val="24"/>
        </w:rPr>
        <w:t xml:space="preserve">Ultimo Portfolio Investment </w:t>
      </w:r>
      <w:r w:rsidRPr="002F17D0">
        <w:rPr>
          <w:i/>
          <w:szCs w:val="24"/>
        </w:rPr>
        <w:lastRenderedPageBreak/>
        <w:t>(Luxembourg) SA prieš KM</w:t>
      </w:r>
      <w:r w:rsidRPr="002F17D0">
        <w:rPr>
          <w:iCs/>
          <w:szCs w:val="24"/>
        </w:rPr>
        <w:t xml:space="preserve">, C-303/20, 22 punktas). Nacionalinis teismas nėra saistomas bylos šalių iniciatyvos ir sprendimą kreiptis dėl prejudicinio sprendimo priima savo nuožiūra (ESTT 1982 m. spalio 6 d. sprendimas </w:t>
      </w:r>
      <w:r w:rsidRPr="002F17D0">
        <w:rPr>
          <w:i/>
          <w:szCs w:val="24"/>
        </w:rPr>
        <w:t xml:space="preserve">byloje Srl CILFIT ir Lanificio di Gavardo SpA </w:t>
      </w:r>
      <w:r w:rsidRPr="002F17D0">
        <w:rPr>
          <w:rFonts w:asciiTheme="majorBidi" w:hAnsiTheme="majorBidi" w:cstheme="majorBidi"/>
          <w:i/>
          <w:szCs w:val="24"/>
        </w:rPr>
        <w:t>prieš Ministero della sanit</w:t>
      </w:r>
      <w:r w:rsidRPr="002F17D0">
        <w:rPr>
          <w:rFonts w:asciiTheme="majorBidi" w:hAnsiTheme="majorBidi" w:cstheme="majorBidi"/>
          <w:iCs/>
          <w:szCs w:val="24"/>
        </w:rPr>
        <w:t>., C-283/81, 9 punktas) (Lietuvos Aukščiausiojo Teismo 2021 m. lapkričio 24 d. nutartis civilinėje byloje Nr. e3K-3-295-421/2021, 58 ir 59 punktai).</w:t>
      </w:r>
    </w:p>
    <w:p w14:paraId="2DE9CA06" w14:textId="77777777" w:rsidR="00A072AE" w:rsidRPr="002F17D0"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rFonts w:asciiTheme="majorBidi" w:hAnsiTheme="majorBidi" w:cstheme="majorBidi"/>
          <w:iCs/>
          <w:szCs w:val="24"/>
        </w:rPr>
        <w:t>Kasacinio teismo praktikoje taip pat išaiškinta, kad tuo atveju, kai kasaciniam teismui nekyla klausimų dėl taikomų Europos Sąjungos teisės normų aiškinimo ir galiojimo, jis neturi pareigos kreiptis dėl prejudicinio sprendimo (Lietuvos Aukščiausiojo Teismo 2018 m. vasario 9 d. nutartis civilinėje byloje Nr. e3K-3-17-701/2018, 58–59 punktai).</w:t>
      </w:r>
    </w:p>
    <w:p w14:paraId="1B66D0C8" w14:textId="2708BBD9" w:rsidR="00A072AE" w:rsidRPr="002F17D0" w:rsidRDefault="002A4611"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szCs w:val="24"/>
        </w:rPr>
        <w:t xml:space="preserve">Ieškovė prašo kreiptis į ESTT su prašymu </w:t>
      </w:r>
      <w:r w:rsidRPr="002F17D0">
        <w:rPr>
          <w:rFonts w:ascii="TimesNewRomanPSMT" w:hAnsi="TimesNewRomanPSMT" w:cs="TimesNewRomanPSMT"/>
          <w:szCs w:val="24"/>
        </w:rPr>
        <w:t xml:space="preserve">priimti </w:t>
      </w:r>
      <w:r w:rsidR="00A072AE" w:rsidRPr="002F17D0">
        <w:rPr>
          <w:szCs w:val="24"/>
        </w:rPr>
        <w:t>prejudicinį sprendimą dėl to, ar pagal Reglamentą Nr. 269/2014 ir Sprendimą Nr. 2014/145/BUSP: 1) asmuo, kuri</w:t>
      </w:r>
      <w:r w:rsidR="00DB76FA" w:rsidRPr="002F17D0">
        <w:rPr>
          <w:szCs w:val="24"/>
        </w:rPr>
        <w:t>am</w:t>
      </w:r>
      <w:r w:rsidR="00A072AE" w:rsidRPr="002F17D0">
        <w:rPr>
          <w:szCs w:val="24"/>
        </w:rPr>
        <w:t xml:space="preserve"> yra pritaikytos ribojamosios priemonės, netenka teisės ne tik naudotis savo lėšomis, bet ir reikšti reikalavimus teisme dėl skolų, susidariusių pagal iki minėtų priemonių j</w:t>
      </w:r>
      <w:r w:rsidR="00DB76FA" w:rsidRPr="002F17D0">
        <w:rPr>
          <w:szCs w:val="24"/>
        </w:rPr>
        <w:t>am</w:t>
      </w:r>
      <w:r w:rsidR="00A072AE" w:rsidRPr="002F17D0">
        <w:rPr>
          <w:szCs w:val="24"/>
        </w:rPr>
        <w:t xml:space="preserve"> pritaikymo sudarytus sandorius, priteisimo ir tokie ieškiniai nurodytų priemonių galiojimo metu negali būti tenkinami; 2) teisės normos, leidžiančios netaikyti atitinkamų ribojamųjų priemonių mokėjimams pagal teisminių institucijų, administracinius arba arbitražinius sprendimus, priimtus Sąjungoje arba vykdytinus atitinkamoje valstybėje narėje, turi būti aiškinamos kaip taikytinos tik mokėjimams pagal teisminių institucijų, administracinius arba arbitražinius sprendimus, kurie buvo priimti ir įsiteisėjo tik iki minėtų ribojamųjų priemonių lėšų gavėj</w:t>
      </w:r>
      <w:r w:rsidR="00DB76FA" w:rsidRPr="002F17D0">
        <w:rPr>
          <w:szCs w:val="24"/>
        </w:rPr>
        <w:t>ui</w:t>
      </w:r>
      <w:r w:rsidR="00A072AE" w:rsidRPr="002F17D0">
        <w:rPr>
          <w:szCs w:val="24"/>
        </w:rPr>
        <w:t xml:space="preserve"> pritaikymo; 3) mokėjimus į įšaldytas sąskaitas leidžiama atlikti tik gavus už atitinkamos ribojamosios priemonės įgyvendinimą atsakingos valstybės institucijos leidimą.</w:t>
      </w:r>
    </w:p>
    <w:p w14:paraId="7BDE88A6" w14:textId="01EACEDB" w:rsidR="00A072AE" w:rsidRPr="002F17D0"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szCs w:val="24"/>
        </w:rPr>
        <w:t xml:space="preserve">Kreipimosi į ESTT poreikis kasaciniame skunde grindžiamas tuo, kad ESTT </w:t>
      </w:r>
      <w:bookmarkStart w:id="66" w:name="_Hlk169623164"/>
      <w:r w:rsidRPr="002F17D0">
        <w:rPr>
          <w:szCs w:val="24"/>
        </w:rPr>
        <w:t>nėra aiškinęs nei Reglamente Nr. 269/2014 ir Sprendime Nr. 2014/145/BUSP įtvirtintos lėšų ir ekonominių išteklių įšaldymo sąvokos, nei tokiu įšaldymu konkre</w:t>
      </w:r>
      <w:r w:rsidR="00DB76FA" w:rsidRPr="002F17D0">
        <w:rPr>
          <w:szCs w:val="24"/>
        </w:rPr>
        <w:t>tiems</w:t>
      </w:r>
      <w:r w:rsidRPr="002F17D0">
        <w:rPr>
          <w:szCs w:val="24"/>
        </w:rPr>
        <w:t xml:space="preserve"> asmen</w:t>
      </w:r>
      <w:r w:rsidR="00DB76FA" w:rsidRPr="002F17D0">
        <w:rPr>
          <w:szCs w:val="24"/>
        </w:rPr>
        <w:t>ims</w:t>
      </w:r>
      <w:r w:rsidRPr="002F17D0">
        <w:rPr>
          <w:szCs w:val="24"/>
        </w:rPr>
        <w:t xml:space="preserve"> taikomų apribojimų, nei kokios yra galimybės į sankcijų sąrašus įtrauktiems asmenims reikšti naujus reikalavimus dėl pagal dar iki sankcijų pritaikymo sudarytas sutartis susidariusių skolų </w:t>
      </w:r>
      <w:r w:rsidR="00281D3C" w:rsidRPr="002F17D0">
        <w:rPr>
          <w:szCs w:val="24"/>
        </w:rPr>
        <w:t xml:space="preserve">jiems </w:t>
      </w:r>
      <w:r w:rsidRPr="002F17D0">
        <w:rPr>
          <w:szCs w:val="24"/>
        </w:rPr>
        <w:t>priteisimo ir sumokėjimo.</w:t>
      </w:r>
    </w:p>
    <w:bookmarkEnd w:id="66"/>
    <w:p w14:paraId="6F3BBADD" w14:textId="34579E36" w:rsidR="00A072AE" w:rsidRPr="002F17D0"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szCs w:val="24"/>
        </w:rPr>
        <w:t>Nagrinėjamoje byloje taikytinas</w:t>
      </w:r>
      <w:r w:rsidRPr="002F17D0">
        <w:rPr>
          <w:szCs w:val="24"/>
          <w:shd w:val="clear" w:color="auto" w:fill="FFFFFF"/>
        </w:rPr>
        <w:t xml:space="preserve"> </w:t>
      </w:r>
      <w:r w:rsidR="002A4611" w:rsidRPr="002F17D0">
        <w:rPr>
          <w:szCs w:val="24"/>
          <w:shd w:val="clear" w:color="auto" w:fill="FFFFFF"/>
        </w:rPr>
        <w:t>R</w:t>
      </w:r>
      <w:r w:rsidRPr="002F17D0">
        <w:rPr>
          <w:szCs w:val="24"/>
          <w:shd w:val="clear" w:color="auto" w:fill="FFFFFF"/>
        </w:rPr>
        <w:t>eglamentas Nr.</w:t>
      </w:r>
      <w:r w:rsidR="002A4611" w:rsidRPr="002F17D0">
        <w:rPr>
          <w:szCs w:val="24"/>
          <w:shd w:val="clear" w:color="auto" w:fill="FFFFFF"/>
        </w:rPr>
        <w:t xml:space="preserve"> </w:t>
      </w:r>
      <w:r w:rsidRPr="002F17D0">
        <w:rPr>
          <w:szCs w:val="24"/>
          <w:shd w:val="clear" w:color="auto" w:fill="FFFFFF"/>
        </w:rPr>
        <w:t xml:space="preserve">269/2014 </w:t>
      </w:r>
      <w:r w:rsidRPr="002F17D0">
        <w:rPr>
          <w:szCs w:val="24"/>
        </w:rPr>
        <w:t>yra priimtas atsižvelgiant į SE</w:t>
      </w:r>
      <w:r w:rsidR="003B494F" w:rsidRPr="002F17D0">
        <w:rPr>
          <w:szCs w:val="24"/>
        </w:rPr>
        <w:t>S</w:t>
      </w:r>
      <w:r w:rsidRPr="002F17D0">
        <w:rPr>
          <w:szCs w:val="24"/>
        </w:rPr>
        <w:t>V 215</w:t>
      </w:r>
      <w:r w:rsidR="00DB76FA" w:rsidRPr="002F17D0">
        <w:rPr>
          <w:szCs w:val="24"/>
        </w:rPr>
        <w:t> </w:t>
      </w:r>
      <w:r w:rsidRPr="002F17D0">
        <w:rPr>
          <w:szCs w:val="24"/>
        </w:rPr>
        <w:t xml:space="preserve">straipsnį (tai nurodoma Reglamento Nr. </w:t>
      </w:r>
      <w:r w:rsidRPr="002F17D0">
        <w:rPr>
          <w:szCs w:val="24"/>
          <w:shd w:val="clear" w:color="auto" w:fill="FFFFFF"/>
        </w:rPr>
        <w:t>269/2014</w:t>
      </w:r>
      <w:r w:rsidRPr="002F17D0">
        <w:rPr>
          <w:szCs w:val="24"/>
        </w:rPr>
        <w:t xml:space="preserve"> pirmojoje konstatuojamojoje dalyje). SESV 215 straipsnio (Europos </w:t>
      </w:r>
      <w:r w:rsidR="00281D3C" w:rsidRPr="002F17D0">
        <w:rPr>
          <w:szCs w:val="24"/>
        </w:rPr>
        <w:t>B</w:t>
      </w:r>
      <w:r w:rsidRPr="002F17D0">
        <w:rPr>
          <w:szCs w:val="24"/>
        </w:rPr>
        <w:t>endrijos sutarties ex 301 straipsnio) pagrindu yra priimta ir kitų ES reglamentų dėl ribojamųjų priemonių. Tuose reglamentuose nu</w:t>
      </w:r>
      <w:r w:rsidR="00DB76FA" w:rsidRPr="002F17D0">
        <w:rPr>
          <w:szCs w:val="24"/>
        </w:rPr>
        <w:t>st</w:t>
      </w:r>
      <w:r w:rsidRPr="002F17D0">
        <w:rPr>
          <w:szCs w:val="24"/>
        </w:rPr>
        <w:t xml:space="preserve">atytos ribojamosios priemonės yra apibrėžtos analogiškai. Todėl aiškinant Reglamento </w:t>
      </w:r>
      <w:r w:rsidRPr="002F17D0">
        <w:rPr>
          <w:szCs w:val="24"/>
          <w:shd w:val="clear" w:color="auto" w:fill="FFFFFF"/>
        </w:rPr>
        <w:t xml:space="preserve">Nr. 269/2014 nuostatas yra aktuali ESTT praktika, kurioje aiškinamos ir kitų </w:t>
      </w:r>
      <w:r w:rsidRPr="002F17D0">
        <w:rPr>
          <w:szCs w:val="24"/>
        </w:rPr>
        <w:t xml:space="preserve">SESV 215 straipsnio (Europos </w:t>
      </w:r>
      <w:r w:rsidR="00281D3C" w:rsidRPr="002F17D0">
        <w:rPr>
          <w:szCs w:val="24"/>
        </w:rPr>
        <w:t>B</w:t>
      </w:r>
      <w:r w:rsidRPr="002F17D0">
        <w:rPr>
          <w:szCs w:val="24"/>
        </w:rPr>
        <w:t>endrijos sutarties ex 301 straipsnio) pagrindu priimtų reglamentų dėl ribojamųjų priemonių nuostatos.</w:t>
      </w:r>
    </w:p>
    <w:p w14:paraId="3B8BB8FD" w14:textId="1F5C7F12" w:rsidR="00A072AE" w:rsidRPr="002F17D0"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szCs w:val="24"/>
        </w:rPr>
        <w:t xml:space="preserve">ESTT </w:t>
      </w:r>
      <w:r w:rsidR="00281D3C" w:rsidRPr="002F17D0">
        <w:rPr>
          <w:szCs w:val="24"/>
        </w:rPr>
        <w:t>sprendime byloje</w:t>
      </w:r>
      <w:r w:rsidR="00281D3C" w:rsidRPr="002F17D0">
        <w:rPr>
          <w:i/>
          <w:iCs/>
          <w:szCs w:val="24"/>
        </w:rPr>
        <w:t xml:space="preserve"> </w:t>
      </w:r>
      <w:r w:rsidRPr="002F17D0">
        <w:rPr>
          <w:i/>
          <w:iCs/>
          <w:szCs w:val="24"/>
        </w:rPr>
        <w:t xml:space="preserve">Bank Sepah </w:t>
      </w:r>
      <w:r w:rsidRPr="002F17D0">
        <w:rPr>
          <w:szCs w:val="24"/>
        </w:rPr>
        <w:t xml:space="preserve">aiškino </w:t>
      </w:r>
      <w:r w:rsidR="0087173C" w:rsidRPr="002F17D0">
        <w:rPr>
          <w:szCs w:val="24"/>
        </w:rPr>
        <w:t>2007 m. balandžio 19 d. Tarybos reglamento (EB)</w:t>
      </w:r>
      <w:r w:rsidRPr="002F17D0">
        <w:rPr>
          <w:szCs w:val="24"/>
        </w:rPr>
        <w:t xml:space="preserve"> </w:t>
      </w:r>
      <w:r w:rsidRPr="002F17D0">
        <w:rPr>
          <w:rFonts w:eastAsia="Times New Roman"/>
          <w:szCs w:val="24"/>
          <w:lang w:eastAsia="lt-LT"/>
        </w:rPr>
        <w:t xml:space="preserve">Nr. 423/2007 </w:t>
      </w:r>
      <w:r w:rsidRPr="002F17D0">
        <w:rPr>
          <w:szCs w:val="24"/>
          <w:shd w:val="clear" w:color="auto" w:fill="FFFFFF"/>
        </w:rPr>
        <w:t>dėl ribojančių priemonių Iranui</w:t>
      </w:r>
      <w:r w:rsidRPr="002F17D0">
        <w:rPr>
          <w:rFonts w:eastAsia="Times New Roman"/>
          <w:szCs w:val="24"/>
          <w:lang w:eastAsia="lt-LT"/>
        </w:rPr>
        <w:t xml:space="preserve">, priimto atsižvelgiant į </w:t>
      </w:r>
      <w:r w:rsidRPr="002F17D0">
        <w:rPr>
          <w:szCs w:val="24"/>
          <w:shd w:val="clear" w:color="auto" w:fill="FFFFFF"/>
        </w:rPr>
        <w:t xml:space="preserve">Europos </w:t>
      </w:r>
      <w:r w:rsidR="00DB76FA" w:rsidRPr="002F17D0">
        <w:rPr>
          <w:szCs w:val="24"/>
          <w:shd w:val="clear" w:color="auto" w:fill="FFFFFF"/>
        </w:rPr>
        <w:t>B</w:t>
      </w:r>
      <w:r w:rsidRPr="002F17D0">
        <w:rPr>
          <w:szCs w:val="24"/>
          <w:shd w:val="clear" w:color="auto" w:fill="FFFFFF"/>
        </w:rPr>
        <w:t>endrijos steigimo sutarties 60 ir 301 straipsnius,</w:t>
      </w:r>
      <w:r w:rsidRPr="002F17D0">
        <w:rPr>
          <w:rFonts w:eastAsia="Times New Roman"/>
          <w:szCs w:val="24"/>
          <w:lang w:eastAsia="lt-LT"/>
        </w:rPr>
        <w:t xml:space="preserve"> sąvokas „lėšų įšaldymas“ ir „ekonominių išteklių įšaldymas“</w:t>
      </w:r>
      <w:r w:rsidR="00DB76FA" w:rsidRPr="002F17D0">
        <w:rPr>
          <w:rFonts w:eastAsia="Times New Roman"/>
          <w:szCs w:val="24"/>
          <w:lang w:eastAsia="lt-LT"/>
        </w:rPr>
        <w:t>.</w:t>
      </w:r>
      <w:r w:rsidRPr="002F17D0">
        <w:rPr>
          <w:rFonts w:eastAsia="Times New Roman"/>
          <w:szCs w:val="24"/>
          <w:lang w:eastAsia="lt-LT"/>
        </w:rPr>
        <w:t xml:space="preserve"> ESTT konstatavo, kad </w:t>
      </w:r>
      <w:r w:rsidRPr="002F17D0">
        <w:rPr>
          <w:szCs w:val="24"/>
          <w:shd w:val="clear" w:color="auto" w:fill="FFFFFF"/>
        </w:rPr>
        <w:t>lėšų įšaldymu siekiama kuo labiau apriboti sandorius, kurie gali būti atliekami naudojant įšaldytas lėšas, o tai patvirtina didelis nurodytų atvejų skaičius ir žodžių junginys „bet kokios“. Kalbant apie priemones, kuriomis siekiama apriboti šiuos sandorius, pažymėtina, kad jas taip pat plačiai apibrėžė Sąjungos teisės aktų leidėjas. Tai, kas išdėstyta, taip pat galioja ir sąvokai „ekonominių išteklių įšaldymas“. Ši sąvoka apibrėžta Reglamento Nr. 423/2007 1 straipsnio j punkte: „draudimas naudoti ekonominius išteklius lėšoms, prekėms ar paslaugoms įsigyti bet kokiu būdu, įskaitant jų pardavimą, nuomą arba įkeitimą [hipoteką], tačiau tuo neapsiribojant“.</w:t>
      </w:r>
      <w:r w:rsidRPr="002F17D0">
        <w:rPr>
          <w:rFonts w:eastAsia="Times New Roman"/>
          <w:szCs w:val="24"/>
          <w:lang w:eastAsia="lt-LT"/>
        </w:rPr>
        <w:t xml:space="preserve"> D</w:t>
      </w:r>
      <w:r w:rsidRPr="002F17D0">
        <w:rPr>
          <w:szCs w:val="24"/>
          <w:shd w:val="clear" w:color="auto" w:fill="FFFFFF"/>
        </w:rPr>
        <w:t>arytina išvada, kad Reglamente Nr. 423/2007 vartojamos „lėšų įšaldymo“ ir „ekonominių išteklių įšaldymo“ sąvokos apibrėžtos labai plačiai</w:t>
      </w:r>
      <w:r w:rsidR="003B494F" w:rsidRPr="002F17D0">
        <w:rPr>
          <w:szCs w:val="24"/>
          <w:shd w:val="clear" w:color="auto" w:fill="FFFFFF"/>
        </w:rPr>
        <w:t xml:space="preserve"> </w:t>
      </w:r>
      <w:r w:rsidRPr="002F17D0">
        <w:rPr>
          <w:rFonts w:eastAsia="Times New Roman"/>
          <w:szCs w:val="24"/>
          <w:lang w:eastAsia="lt-LT"/>
        </w:rPr>
        <w:t>(</w:t>
      </w:r>
      <w:r w:rsidR="000467F6" w:rsidRPr="002F17D0">
        <w:rPr>
          <w:rFonts w:eastAsia="Times New Roman"/>
          <w:szCs w:val="24"/>
          <w:lang w:eastAsia="lt-LT"/>
        </w:rPr>
        <w:t xml:space="preserve">ESTT </w:t>
      </w:r>
      <w:r w:rsidRPr="002F17D0">
        <w:rPr>
          <w:szCs w:val="24"/>
          <w:shd w:val="clear" w:color="auto" w:fill="FFFFFF"/>
        </w:rPr>
        <w:t xml:space="preserve">2021 m. lapkričio 11 d. sprendimas byloje </w:t>
      </w:r>
      <w:r w:rsidR="00783D5C" w:rsidRPr="002F17D0">
        <w:rPr>
          <w:i/>
          <w:iCs/>
          <w:szCs w:val="24"/>
        </w:rPr>
        <w:t>Bank Sepah</w:t>
      </w:r>
      <w:r w:rsidR="00783D5C" w:rsidRPr="002F17D0">
        <w:rPr>
          <w:szCs w:val="24"/>
        </w:rPr>
        <w:t>,</w:t>
      </w:r>
      <w:r w:rsidR="00783D5C" w:rsidRPr="002F17D0">
        <w:rPr>
          <w:i/>
          <w:iCs/>
          <w:szCs w:val="24"/>
        </w:rPr>
        <w:t xml:space="preserve"> </w:t>
      </w:r>
      <w:r w:rsidRPr="002F17D0">
        <w:rPr>
          <w:szCs w:val="24"/>
          <w:shd w:val="clear" w:color="auto" w:fill="FFFFFF"/>
        </w:rPr>
        <w:t>C-340/20, 43</w:t>
      </w:r>
      <w:r w:rsidR="00DB76FA" w:rsidRPr="002F17D0">
        <w:rPr>
          <w:szCs w:val="24"/>
          <w:shd w:val="clear" w:color="auto" w:fill="FFFFFF"/>
        </w:rPr>
        <w:t>–</w:t>
      </w:r>
      <w:r w:rsidRPr="002F17D0">
        <w:rPr>
          <w:szCs w:val="24"/>
          <w:shd w:val="clear" w:color="auto" w:fill="FFFFFF"/>
        </w:rPr>
        <w:t>45</w:t>
      </w:r>
      <w:r w:rsidR="000467F6" w:rsidRPr="002F17D0">
        <w:rPr>
          <w:szCs w:val="24"/>
          <w:shd w:val="clear" w:color="auto" w:fill="FFFFFF"/>
        </w:rPr>
        <w:t> </w:t>
      </w:r>
      <w:r w:rsidRPr="002F17D0">
        <w:rPr>
          <w:szCs w:val="24"/>
          <w:shd w:val="clear" w:color="auto" w:fill="FFFFFF"/>
        </w:rPr>
        <w:t>punktai)</w:t>
      </w:r>
      <w:r w:rsidRPr="002F17D0">
        <w:rPr>
          <w:rFonts w:eastAsia="Times New Roman"/>
          <w:szCs w:val="24"/>
          <w:lang w:eastAsia="lt-LT"/>
        </w:rPr>
        <w:t xml:space="preserve">. Todėl ir nagrinėjamai bylai aktualaus </w:t>
      </w:r>
      <w:r w:rsidRPr="002F17D0">
        <w:rPr>
          <w:szCs w:val="24"/>
        </w:rPr>
        <w:t>Reglamento Nr.</w:t>
      </w:r>
      <w:r w:rsidR="00783D5C" w:rsidRPr="002F17D0">
        <w:rPr>
          <w:szCs w:val="24"/>
        </w:rPr>
        <w:t> </w:t>
      </w:r>
      <w:r w:rsidRPr="002F17D0">
        <w:rPr>
          <w:szCs w:val="24"/>
        </w:rPr>
        <w:t xml:space="preserve">269/2014 sąvokos </w:t>
      </w:r>
      <w:r w:rsidRPr="002F17D0">
        <w:rPr>
          <w:rFonts w:eastAsia="Times New Roman"/>
          <w:szCs w:val="24"/>
          <w:lang w:eastAsia="lt-LT"/>
        </w:rPr>
        <w:t>„lėšų įšaldymas“ ir „ekonominių išteklių įšaldymas“ turi būti aiškinamos labai plačiai.</w:t>
      </w:r>
    </w:p>
    <w:p w14:paraId="58A24915" w14:textId="51F22B19" w:rsidR="00A072AE"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2F17D0">
        <w:rPr>
          <w:szCs w:val="24"/>
        </w:rPr>
        <w:lastRenderedPageBreak/>
        <w:t xml:space="preserve">Reglamento </w:t>
      </w:r>
      <w:r w:rsidRPr="002F17D0">
        <w:rPr>
          <w:szCs w:val="24"/>
          <w:shd w:val="clear" w:color="auto" w:fill="FFFFFF"/>
        </w:rPr>
        <w:t>Nr. 269/2014 11 straipsnio 1 dalyje nustatyta, kad netenkinami jokie su sutartimi arba sandoriu, kurių vykdymui tiesioginį arba netiesioginį, visapusišką arba dalinį poveikį turėjo šiuo reglamentu nustatytos priemonės, susiję reikalavimai dėl žalos atlyginimo arba kiti šios</w:t>
      </w:r>
      <w:r w:rsidRPr="00742E61">
        <w:rPr>
          <w:szCs w:val="24"/>
          <w:shd w:val="clear" w:color="auto" w:fill="FFFFFF"/>
        </w:rPr>
        <w:t xml:space="preserve"> rūšies reikalavimai, ypač reikalavimai pratęsti įsipareigojimo, garantijos ar žalos atlyginimo įsipareigojimo terminą arba juos apmokėti, ypač jeigu tai yra finansinė garantija ar finansinis žalos atlyginimo įsipareigojimas, kad ir kokia būtų jų forma. Šiai nuostatai aiškinti yra svarbi ESTT praktika, kurioje buvo išaiškinta analogiška </w:t>
      </w:r>
      <w:r w:rsidR="0087173C">
        <w:rPr>
          <w:szCs w:val="24"/>
          <w:shd w:val="clear" w:color="auto" w:fill="FFFFFF"/>
        </w:rPr>
        <w:t xml:space="preserve">2011 m. kovo 2 d. Tarybos reglamento (EU) </w:t>
      </w:r>
      <w:r w:rsidRPr="00742E61">
        <w:rPr>
          <w:szCs w:val="24"/>
          <w:shd w:val="clear" w:color="auto" w:fill="FFFFFF"/>
        </w:rPr>
        <w:t xml:space="preserve">Nr. 204/2011 dėl ribojamųjų priemonių atsižvelgiant į padėtį Libijoje, iš dalies pakeisto 2014 m. sausio 20 d. Tarybos reglamentu (ES) Nr. 45/2014, 12 straipsnio 1 dalies nuostata. Pastarąją nuostatą ESTT </w:t>
      </w:r>
      <w:r w:rsidR="00783D5C">
        <w:rPr>
          <w:szCs w:val="24"/>
          <w:shd w:val="clear" w:color="auto" w:fill="FFFFFF"/>
        </w:rPr>
        <w:t xml:space="preserve">sprendime </w:t>
      </w:r>
      <w:r w:rsidRPr="00742E61">
        <w:rPr>
          <w:szCs w:val="24"/>
          <w:shd w:val="clear" w:color="auto" w:fill="FFFFFF"/>
        </w:rPr>
        <w:t xml:space="preserve">byloje </w:t>
      </w:r>
      <w:r w:rsidRPr="00742E61">
        <w:rPr>
          <w:i/>
          <w:iCs/>
          <w:szCs w:val="24"/>
          <w:shd w:val="clear" w:color="auto" w:fill="FFFFFF"/>
        </w:rPr>
        <w:t xml:space="preserve">SH </w:t>
      </w:r>
      <w:r w:rsidRPr="00742E61">
        <w:rPr>
          <w:szCs w:val="24"/>
          <w:shd w:val="clear" w:color="auto" w:fill="FFFFFF"/>
        </w:rPr>
        <w:t>(ESTT 2019 m. sausio 17 d. sprendim</w:t>
      </w:r>
      <w:r w:rsidR="001A50A1">
        <w:rPr>
          <w:szCs w:val="24"/>
          <w:shd w:val="clear" w:color="auto" w:fill="FFFFFF"/>
        </w:rPr>
        <w:t>as</w:t>
      </w:r>
      <w:r w:rsidRPr="00742E61">
        <w:rPr>
          <w:szCs w:val="24"/>
          <w:shd w:val="clear" w:color="auto" w:fill="FFFFFF"/>
        </w:rPr>
        <w:t xml:space="preserve"> byloje</w:t>
      </w:r>
      <w:r w:rsidR="00783D5C">
        <w:rPr>
          <w:szCs w:val="24"/>
          <w:shd w:val="clear" w:color="auto" w:fill="FFFFFF"/>
        </w:rPr>
        <w:t xml:space="preserve"> </w:t>
      </w:r>
      <w:r w:rsidR="00783D5C" w:rsidRPr="00F70C27">
        <w:rPr>
          <w:i/>
          <w:iCs/>
          <w:szCs w:val="24"/>
          <w:shd w:val="clear" w:color="auto" w:fill="FFFFFF"/>
        </w:rPr>
        <w:t>SH</w:t>
      </w:r>
      <w:r w:rsidR="00783D5C" w:rsidRPr="00F70C27">
        <w:rPr>
          <w:szCs w:val="24"/>
          <w:shd w:val="clear" w:color="auto" w:fill="FFFFFF"/>
        </w:rPr>
        <w:t>,</w:t>
      </w:r>
      <w:r w:rsidRPr="00783D5C">
        <w:rPr>
          <w:szCs w:val="24"/>
          <w:shd w:val="clear" w:color="auto" w:fill="FFFFFF"/>
        </w:rPr>
        <w:t xml:space="preserve"> </w:t>
      </w:r>
      <w:r w:rsidRPr="00742E61">
        <w:rPr>
          <w:szCs w:val="24"/>
          <w:shd w:val="clear" w:color="auto" w:fill="FFFFFF"/>
        </w:rPr>
        <w:t>C</w:t>
      </w:r>
      <w:r w:rsidRPr="00742E61">
        <w:rPr>
          <w:szCs w:val="24"/>
          <w:shd w:val="clear" w:color="auto" w:fill="FFFFFF"/>
        </w:rPr>
        <w:noBreakHyphen/>
        <w:t>168/17</w:t>
      </w:r>
      <w:r w:rsidR="00783D5C">
        <w:rPr>
          <w:szCs w:val="24"/>
          <w:shd w:val="clear" w:color="auto" w:fill="FFFFFF"/>
        </w:rPr>
        <w:t>,</w:t>
      </w:r>
      <w:r w:rsidRPr="00742E61">
        <w:rPr>
          <w:szCs w:val="24"/>
          <w:shd w:val="clear" w:color="auto" w:fill="FFFFFF"/>
        </w:rPr>
        <w:t xml:space="preserve"> 72</w:t>
      </w:r>
      <w:r w:rsidR="000467F6">
        <w:rPr>
          <w:szCs w:val="24"/>
          <w:shd w:val="clear" w:color="auto" w:fill="FFFFFF"/>
        </w:rPr>
        <w:t>–</w:t>
      </w:r>
      <w:r w:rsidRPr="00742E61">
        <w:rPr>
          <w:szCs w:val="24"/>
          <w:shd w:val="clear" w:color="auto" w:fill="FFFFFF"/>
        </w:rPr>
        <w:t>75 punkt</w:t>
      </w:r>
      <w:r w:rsidR="001A50A1">
        <w:rPr>
          <w:szCs w:val="24"/>
          <w:shd w:val="clear" w:color="auto" w:fill="FFFFFF"/>
        </w:rPr>
        <w:t>ai</w:t>
      </w:r>
      <w:r w:rsidRPr="00742E61">
        <w:rPr>
          <w:szCs w:val="24"/>
          <w:shd w:val="clear" w:color="auto" w:fill="FFFFFF"/>
        </w:rPr>
        <w:t>) išaiškino taip, kad pagal minėtą straipsnį draudžiama tenkinti bet kokį reikalavimą, susijusį su tokia sutartimi ar sandoriu, pavyzdžiui, reikalavimą dėl žalos atlyginimo, reikalavimą dėl kompensacijos ar reikalavimą dėl garantijos suteikimo. Dėl savo bendro pobūdžio ir dėl to, kad jame pateiktas reikalavimų sąrašas, pradedamas žodžiu „pavyzdžiui“, yra pavyzdinis, šis straipsnis apima bet kokios rūšies reikalavimus, susijusius su sutartimi ar sandoriu. Remiantis šiuo ESTT sprendimu</w:t>
      </w:r>
      <w:r w:rsidR="00783D5C">
        <w:rPr>
          <w:szCs w:val="24"/>
          <w:shd w:val="clear" w:color="auto" w:fill="FFFFFF"/>
        </w:rPr>
        <w:t>,</w:t>
      </w:r>
      <w:r w:rsidRPr="00742E61">
        <w:rPr>
          <w:szCs w:val="24"/>
          <w:shd w:val="clear" w:color="auto" w:fill="FFFFFF"/>
        </w:rPr>
        <w:t xml:space="preserve"> darytina išvada, kad ir </w:t>
      </w:r>
      <w:r w:rsidRPr="00742E61">
        <w:rPr>
          <w:szCs w:val="24"/>
        </w:rPr>
        <w:t xml:space="preserve">Reglamento </w:t>
      </w:r>
      <w:r w:rsidRPr="00742E61">
        <w:rPr>
          <w:szCs w:val="24"/>
          <w:shd w:val="clear" w:color="auto" w:fill="FFFFFF"/>
        </w:rPr>
        <w:t xml:space="preserve">Nr. 269/2014 11 straipsnio 1 dalies nuostatoje pateiktas pavyzdinis reikalavimų sąrašas turi būti suvokiamas kaip neribojantis plataus į šio straipsnio taikymo sritį patenkančių su sutartimi ar sandoriu susijusių reikalavimų spektro. Todėl ir iš </w:t>
      </w:r>
      <w:r w:rsidR="003B494F" w:rsidRPr="00742E61">
        <w:rPr>
          <w:szCs w:val="24"/>
          <w:shd w:val="clear" w:color="auto" w:fill="FFFFFF"/>
        </w:rPr>
        <w:t>S</w:t>
      </w:r>
      <w:r w:rsidRPr="00742E61">
        <w:rPr>
          <w:szCs w:val="24"/>
          <w:shd w:val="clear" w:color="auto" w:fill="FFFFFF"/>
        </w:rPr>
        <w:t>utarties kildinamas reikalavimas sumokėti skolą už elektrą, kurią šios bylos ieškovė atsakovei patiekė po to</w:t>
      </w:r>
      <w:r w:rsidRPr="006B4C4D">
        <w:rPr>
          <w:szCs w:val="24"/>
          <w:shd w:val="clear" w:color="auto" w:fill="FFFFFF"/>
        </w:rPr>
        <w:t>, kai ieškovei įsigaliojo ES ribojamosios priemonės, turi</w:t>
      </w:r>
      <w:r w:rsidRPr="00742E61">
        <w:rPr>
          <w:szCs w:val="24"/>
          <w:shd w:val="clear" w:color="auto" w:fill="FFFFFF"/>
        </w:rPr>
        <w:t xml:space="preserve"> būti suvokiamas kaip patenkantis į su sutartimi ar sandoriu susijusių reikalavimų, kurių vykdymui poveikį turėjo </w:t>
      </w:r>
      <w:r w:rsidRPr="00742E61">
        <w:rPr>
          <w:szCs w:val="24"/>
        </w:rPr>
        <w:t xml:space="preserve">Reglamentu </w:t>
      </w:r>
      <w:r w:rsidRPr="00742E61">
        <w:rPr>
          <w:szCs w:val="24"/>
          <w:shd w:val="clear" w:color="auto" w:fill="FFFFFF"/>
        </w:rPr>
        <w:t xml:space="preserve">Nr. 269/2014 nustatytos priemonės, sąrašą. Taigi šis reikalavimas negali būti tenkintas tol, kol </w:t>
      </w:r>
      <w:r w:rsidRPr="00742E61">
        <w:rPr>
          <w:szCs w:val="24"/>
        </w:rPr>
        <w:t xml:space="preserve">Reglamentu </w:t>
      </w:r>
      <w:r w:rsidRPr="00742E61">
        <w:rPr>
          <w:szCs w:val="24"/>
          <w:shd w:val="clear" w:color="auto" w:fill="FFFFFF"/>
        </w:rPr>
        <w:t>Nr. 269/2014 nustatytos priemonės nėra panaikintos.</w:t>
      </w:r>
    </w:p>
    <w:p w14:paraId="07602E2D" w14:textId="0E78C6AF" w:rsidR="00D37C69"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t xml:space="preserve">Tokią išvadą patvirtina ir ESTT praktika. ESTT byloje, kurioje buvo spręsta dėl apribojimų pagal </w:t>
      </w:r>
      <w:r w:rsidR="00723D09">
        <w:rPr>
          <w:szCs w:val="24"/>
        </w:rPr>
        <w:t>2002 m. gegužės 27 d. Tarybos r</w:t>
      </w:r>
      <w:r w:rsidRPr="00742E61">
        <w:rPr>
          <w:szCs w:val="24"/>
        </w:rPr>
        <w:t>eglamentą</w:t>
      </w:r>
      <w:r w:rsidR="00723D09">
        <w:rPr>
          <w:szCs w:val="24"/>
        </w:rPr>
        <w:t xml:space="preserve"> (EB)</w:t>
      </w:r>
      <w:r w:rsidRPr="00742E61">
        <w:rPr>
          <w:szCs w:val="24"/>
        </w:rPr>
        <w:t xml:space="preserve"> Nr. 881/2002, pažymėjo, kad Reglamento Nr. 881/2002 9 straipsnis turi būti suprantamas taip, kad jo nustatytos priemonės, tarp kurių yra ir ekonominių išteklių įšaldymas, taip pat draudžia vykdyti prieš įsigaliojant šiam reglamentui sudarytas sutartis, pavyzdžiui, į nekilnojamojo turto registrą galutinai įrašyti nuosavybės teisės perleidimą (</w:t>
      </w:r>
      <w:r w:rsidR="000467F6">
        <w:rPr>
          <w:szCs w:val="24"/>
        </w:rPr>
        <w:t xml:space="preserve">ESTT </w:t>
      </w:r>
      <w:r w:rsidRPr="00742E61">
        <w:rPr>
          <w:szCs w:val="24"/>
          <w:shd w:val="clear" w:color="auto" w:fill="FFFFFF"/>
        </w:rPr>
        <w:t>2007 m. spalio 11 d. sprendimas</w:t>
      </w:r>
      <w:r w:rsidRPr="00742E61">
        <w:rPr>
          <w:szCs w:val="24"/>
        </w:rPr>
        <w:t xml:space="preserve"> byloje </w:t>
      </w:r>
      <w:r w:rsidRPr="00742E61">
        <w:rPr>
          <w:i/>
          <w:iCs/>
          <w:szCs w:val="24"/>
        </w:rPr>
        <w:t>Möllendorf ir Möllendorf-Niehuus</w:t>
      </w:r>
      <w:r w:rsidR="000467F6">
        <w:rPr>
          <w:szCs w:val="24"/>
        </w:rPr>
        <w:t xml:space="preserve">, </w:t>
      </w:r>
      <w:r w:rsidRPr="00742E61">
        <w:rPr>
          <w:szCs w:val="24"/>
        </w:rPr>
        <w:t xml:space="preserve">C-117/06, 62 punktas). </w:t>
      </w:r>
    </w:p>
    <w:p w14:paraId="6ACF1DD0" w14:textId="711E66C8" w:rsidR="00D37C69"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t>ES Tarybos 2022 m. birželio 27 d. atnaujinto dokumento „ES ribojamųjų priemonių veiksmingo įgyvendinimo geriausia praktika“ 33 punkte</w:t>
      </w:r>
      <w:r w:rsidR="000467F6">
        <w:rPr>
          <w:szCs w:val="24"/>
        </w:rPr>
        <w:t>,</w:t>
      </w:r>
      <w:r w:rsidRPr="00742E61">
        <w:rPr>
          <w:szCs w:val="24"/>
        </w:rPr>
        <w:t xml:space="preserve"> remiantis </w:t>
      </w:r>
      <w:r w:rsidR="002620C7">
        <w:rPr>
          <w:szCs w:val="24"/>
        </w:rPr>
        <w:t>nurodytu</w:t>
      </w:r>
      <w:r w:rsidRPr="00742E61">
        <w:rPr>
          <w:szCs w:val="24"/>
        </w:rPr>
        <w:t xml:space="preserve"> ESTT sprendimu</w:t>
      </w:r>
      <w:r w:rsidR="000467F6">
        <w:rPr>
          <w:szCs w:val="24"/>
        </w:rPr>
        <w:t xml:space="preserve"> byloje</w:t>
      </w:r>
      <w:r w:rsidRPr="00742E61">
        <w:rPr>
          <w:szCs w:val="24"/>
        </w:rPr>
        <w:t xml:space="preserve"> </w:t>
      </w:r>
      <w:r w:rsidRPr="00742E61">
        <w:rPr>
          <w:i/>
          <w:iCs/>
          <w:szCs w:val="24"/>
        </w:rPr>
        <w:t>Möllendorf ir Möllendorf-Niehuus</w:t>
      </w:r>
      <w:r w:rsidR="000467F6">
        <w:rPr>
          <w:szCs w:val="24"/>
        </w:rPr>
        <w:t>,</w:t>
      </w:r>
      <w:r w:rsidRPr="00742E61">
        <w:rPr>
          <w:szCs w:val="24"/>
        </w:rPr>
        <w:t xml:space="preserve"> daroma tokia išvada: „Kai reglamentai, kuriais nustatomos įšaldymo priemonės, įsigalioja, jie yra viršesni už visas su jais nesuderinamas sutartines priemones. Taigi, reglamentai taikomi neatsižvelgiant į prieš jiems įsigaliojant sudarytomis sutartimis suteiktas teises ar nustatytas pareigas ir jais draudžiama užbaigti veiksmus, kuriais vykdomos prieš įsigaliojant reglamentams sudarytos sutartys.“ Lietuvos Aukščiausiasis Teismas bylose dėl ES reglamentais nustatytų ribojamųjų priemonių taikymo atsižvelgia į ES Tarybos parengtus dokumentus, kuriais siekiama padėti valstybėms narėms tinkamai taikyti ES reglamentus dėl tokių priemonių (Lietuvos Aukščiausias</w:t>
      </w:r>
      <w:r w:rsidR="00293B8C">
        <w:rPr>
          <w:szCs w:val="24"/>
        </w:rPr>
        <w:t>is</w:t>
      </w:r>
      <w:r w:rsidRPr="00742E61">
        <w:rPr>
          <w:szCs w:val="24"/>
        </w:rPr>
        <w:t xml:space="preserve"> Teismas byloje </w:t>
      </w:r>
      <w:r w:rsidRPr="00742E61">
        <w:rPr>
          <w:szCs w:val="24"/>
          <w:shd w:val="clear" w:color="auto" w:fill="FFFFFF"/>
        </w:rPr>
        <w:t xml:space="preserve">dėl Baltarusijos Respublikos teismo sprendimo pripažinimo </w:t>
      </w:r>
      <w:r w:rsidR="00723D09">
        <w:rPr>
          <w:szCs w:val="24"/>
          <w:shd w:val="clear" w:color="auto" w:fill="FFFFFF"/>
        </w:rPr>
        <w:t>2006 m. gegužės 18 d. Tarybos</w:t>
      </w:r>
      <w:r w:rsidRPr="00742E61">
        <w:rPr>
          <w:szCs w:val="24"/>
          <w:shd w:val="clear" w:color="auto" w:fill="FFFFFF"/>
        </w:rPr>
        <w:t xml:space="preserve"> Reglamento</w:t>
      </w:r>
      <w:r w:rsidR="00723D09">
        <w:rPr>
          <w:szCs w:val="24"/>
          <w:shd w:val="clear" w:color="auto" w:fill="FFFFFF"/>
        </w:rPr>
        <w:t xml:space="preserve"> (EB)</w:t>
      </w:r>
      <w:r w:rsidRPr="00742E61">
        <w:rPr>
          <w:szCs w:val="24"/>
          <w:shd w:val="clear" w:color="auto" w:fill="FFFFFF"/>
        </w:rPr>
        <w:t xml:space="preserve"> Nr. 765/2006 dėl </w:t>
      </w:r>
      <w:r w:rsidR="00723D09" w:rsidRPr="00723D09">
        <w:rPr>
          <w:szCs w:val="24"/>
          <w:shd w:val="clear" w:color="auto" w:fill="FFFFFF"/>
        </w:rPr>
        <w:t>ribojančių priemonių Prezidentui Lukašenkai ir tam tikriems Baltarusijos pareigūnams</w:t>
      </w:r>
      <w:r w:rsidR="00723D09">
        <w:rPr>
          <w:szCs w:val="24"/>
          <w:shd w:val="clear" w:color="auto" w:fill="FFFFFF"/>
        </w:rPr>
        <w:t xml:space="preserve"> </w:t>
      </w:r>
      <w:r w:rsidRPr="00742E61">
        <w:rPr>
          <w:szCs w:val="24"/>
          <w:shd w:val="clear" w:color="auto" w:fill="FFFFFF"/>
        </w:rPr>
        <w:t>kontekste</w:t>
      </w:r>
      <w:r w:rsidRPr="00742E61">
        <w:rPr>
          <w:szCs w:val="24"/>
        </w:rPr>
        <w:t xml:space="preserve"> rėmėsi Europos Sąjungos Tarybos </w:t>
      </w:r>
      <w:r w:rsidRPr="00742E61">
        <w:rPr>
          <w:szCs w:val="24"/>
          <w:shd w:val="clear" w:color="auto" w:fill="FFFFFF"/>
        </w:rPr>
        <w:t xml:space="preserve">Ribojamųjų priemonių pagal ES bendrą užsienio ir saugumo politiką įgyvendinimo ir vertinimo gairėmis ir geriausios praktikos dokumentu, žr. </w:t>
      </w:r>
      <w:r w:rsidRPr="00742E61">
        <w:rPr>
          <w:szCs w:val="24"/>
        </w:rPr>
        <w:t>Lietuvos Aukščiausiojo Teismo 2022 m. lapkričio 9 d. nutarti</w:t>
      </w:r>
      <w:r w:rsidR="00293B8C">
        <w:rPr>
          <w:szCs w:val="24"/>
        </w:rPr>
        <w:t>e</w:t>
      </w:r>
      <w:r w:rsidRPr="00742E61">
        <w:rPr>
          <w:szCs w:val="24"/>
        </w:rPr>
        <w:t>s civilinėje byloje Nr. 3K-3-255-611/2022</w:t>
      </w:r>
      <w:r w:rsidR="009C79E4" w:rsidRPr="00742E61">
        <w:rPr>
          <w:szCs w:val="24"/>
        </w:rPr>
        <w:t xml:space="preserve"> </w:t>
      </w:r>
      <w:r w:rsidRPr="00742E61">
        <w:rPr>
          <w:szCs w:val="24"/>
        </w:rPr>
        <w:t>36</w:t>
      </w:r>
      <w:r w:rsidR="00293B8C">
        <w:rPr>
          <w:szCs w:val="24"/>
        </w:rPr>
        <w:t>–</w:t>
      </w:r>
      <w:r w:rsidRPr="00742E61">
        <w:rPr>
          <w:szCs w:val="24"/>
        </w:rPr>
        <w:t>38 punkt</w:t>
      </w:r>
      <w:r w:rsidR="00293B8C">
        <w:rPr>
          <w:szCs w:val="24"/>
        </w:rPr>
        <w:t>us</w:t>
      </w:r>
      <w:r w:rsidRPr="00742E61">
        <w:rPr>
          <w:szCs w:val="24"/>
        </w:rPr>
        <w:t xml:space="preserve">). Todėl minėto ES Tarybos 2022 m. birželio 27 d. atnaujinto dokumento „ES ribojamųjų priemonių veiksmingo įgyvendinimo geriausia praktika“ 33 punkte pateiktas aiškinimas turi teisinę reikšmę, į jį turi būti atsižvelgta aiškinant </w:t>
      </w:r>
      <w:r w:rsidR="002620C7">
        <w:rPr>
          <w:szCs w:val="24"/>
        </w:rPr>
        <w:t xml:space="preserve">nagrinėjamoje </w:t>
      </w:r>
      <w:r w:rsidRPr="00742E61">
        <w:rPr>
          <w:szCs w:val="24"/>
        </w:rPr>
        <w:t>byloje taikytino ES teisinio reguliavimo turinį.</w:t>
      </w:r>
    </w:p>
    <w:p w14:paraId="6F0D8BBF" w14:textId="20F2CBEA" w:rsidR="00D37C69"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lastRenderedPageBreak/>
        <w:t>Taigi remiantis ES teisės aktais ir ESTT praktika galima daryti išvadą, kad pareiga vykdyti iki ES teisės aktuose nu</w:t>
      </w:r>
      <w:r w:rsidR="00293B8C">
        <w:rPr>
          <w:szCs w:val="24"/>
        </w:rPr>
        <w:t>st</w:t>
      </w:r>
      <w:r w:rsidRPr="00742E61">
        <w:rPr>
          <w:szCs w:val="24"/>
        </w:rPr>
        <w:t xml:space="preserve">atytų ribojamųjų priemonių taikymo pradžios momento sudarytas sutartis pasikeičia nuo tokių ribojamųjų priemonių taikymo pradžios momento. </w:t>
      </w:r>
      <w:r w:rsidR="002620C7">
        <w:rPr>
          <w:szCs w:val="24"/>
        </w:rPr>
        <w:t>Dėl to</w:t>
      </w:r>
      <w:r w:rsidRPr="00742E61">
        <w:rPr>
          <w:szCs w:val="24"/>
        </w:rPr>
        <w:t xml:space="preserve"> </w:t>
      </w:r>
      <w:r w:rsidR="002620C7">
        <w:rPr>
          <w:szCs w:val="24"/>
        </w:rPr>
        <w:t>S</w:t>
      </w:r>
      <w:r w:rsidRPr="00742E61">
        <w:rPr>
          <w:szCs w:val="24"/>
        </w:rPr>
        <w:t>utartis, pagal kurią ieškov</w:t>
      </w:r>
      <w:r w:rsidR="00D37C69" w:rsidRPr="00742E61">
        <w:rPr>
          <w:szCs w:val="24"/>
        </w:rPr>
        <w:t>ė</w:t>
      </w:r>
      <w:r w:rsidRPr="00742E61">
        <w:rPr>
          <w:szCs w:val="24"/>
        </w:rPr>
        <w:t xml:space="preserve"> atsakov</w:t>
      </w:r>
      <w:r w:rsidR="00D37C69" w:rsidRPr="00742E61">
        <w:rPr>
          <w:szCs w:val="24"/>
        </w:rPr>
        <w:t>e</w:t>
      </w:r>
      <w:r w:rsidRPr="00742E61">
        <w:rPr>
          <w:szCs w:val="24"/>
        </w:rPr>
        <w:t>i turėjo tiekti elektrą, o atsakov</w:t>
      </w:r>
      <w:r w:rsidR="009C79E4" w:rsidRPr="00742E61">
        <w:rPr>
          <w:szCs w:val="24"/>
        </w:rPr>
        <w:t>ė</w:t>
      </w:r>
      <w:r w:rsidRPr="00742E61">
        <w:rPr>
          <w:szCs w:val="24"/>
        </w:rPr>
        <w:t xml:space="preserve"> už tą elektrą turėjo sumokėti nustatytą kainą, nuo ribojamųjų priemonių taikymo pradžios momento turi būti suvokiama kaip nevykdytina ribojamųjų priemonių taikymo laikotarpiu, nes ekonominiai ištekliai (šiuo atveju – elektra) turi būti įšaldomi, negali būti naudojami ekonominei veiklai (taigi negali būti parduodami) ir negali būti sudaroma galimybė išvengti tokio ekonominių išteklių įšaldymo, t. y. ekonominių išteklių naudojimas ribojamųjų priemonių taikymo laikotarpiu negali teikti ekonominės naudos asmenims, kurių lėšos ir ekonominiai ištekliai įšaldomi.</w:t>
      </w:r>
    </w:p>
    <w:p w14:paraId="074571FC" w14:textId="42F2E62D" w:rsidR="00190D2F" w:rsidRPr="00742E61" w:rsidRDefault="002620C7"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Pr>
          <w:szCs w:val="24"/>
        </w:rPr>
        <w:t>D</w:t>
      </w:r>
      <w:r w:rsidR="00190D2F" w:rsidRPr="00742E61">
        <w:rPr>
          <w:szCs w:val="24"/>
        </w:rPr>
        <w:t xml:space="preserve">ėl prašymo kreiptis į ESTT su klausimu dėl teisės reikšti reikalavimus teisme dėl skolų pagal sandorius pažymėtina, kad Reglamento Nr. 269/2014 11 straipsnio 3 dalyje nustatyta, </w:t>
      </w:r>
      <w:r w:rsidR="00293B8C">
        <w:rPr>
          <w:szCs w:val="24"/>
        </w:rPr>
        <w:t>jog</w:t>
      </w:r>
      <w:r w:rsidR="00190D2F" w:rsidRPr="00742E61">
        <w:rPr>
          <w:szCs w:val="24"/>
        </w:rPr>
        <w:t xml:space="preserve"> </w:t>
      </w:r>
      <w:r w:rsidR="00190D2F" w:rsidRPr="00742E61">
        <w:rPr>
          <w:szCs w:val="24"/>
          <w:shd w:val="clear" w:color="auto" w:fill="FFFFFF"/>
        </w:rPr>
        <w:t xml:space="preserve">šiuo straipsniu nedaromas poveikis 1 dalyje nurodytų fizinių ar juridinių asmenų, subjektų ar įstaigų teisei į sutartinių įsipareigojimų nesilaikymo pagal šį reglamentą teisėtumo teisminę peržiūrą. Tačiau tai, kad pagal </w:t>
      </w:r>
      <w:r w:rsidR="00190D2F" w:rsidRPr="00742E61">
        <w:rPr>
          <w:szCs w:val="24"/>
        </w:rPr>
        <w:t xml:space="preserve">Reglamento Nr. 269/2014 11 straipsnio </w:t>
      </w:r>
      <w:r w:rsidR="00190D2F" w:rsidRPr="00742E61">
        <w:rPr>
          <w:szCs w:val="24"/>
          <w:shd w:val="clear" w:color="auto" w:fill="FFFFFF"/>
        </w:rPr>
        <w:t xml:space="preserve">1 dalį draudžiama tenkinti su sutartimi ar sandoriu susijusius reikalavimus, kurių vykdymui poveikį turėjo </w:t>
      </w:r>
      <w:r w:rsidR="00190D2F" w:rsidRPr="00742E61">
        <w:rPr>
          <w:szCs w:val="24"/>
        </w:rPr>
        <w:t xml:space="preserve">Reglamentu </w:t>
      </w:r>
      <w:r w:rsidR="00190D2F" w:rsidRPr="00742E61">
        <w:rPr>
          <w:szCs w:val="24"/>
          <w:shd w:val="clear" w:color="auto" w:fill="FFFFFF"/>
        </w:rPr>
        <w:t xml:space="preserve">Nr. 269/2014 nustatytos priemonės, reiškia, kad teismas negali tenkinti </w:t>
      </w:r>
      <w:r w:rsidR="00190D2F" w:rsidRPr="00742E61">
        <w:rPr>
          <w:szCs w:val="24"/>
        </w:rPr>
        <w:t xml:space="preserve">reikalavimų dėl sutartinių įsipareigojimų vykdymo, kai jų vykdymui poveikį turėjo šiuo reglamentu nustatytos priemonės, taigi negali tenkinti ir reikalavimo priteisti skolą už elektrą </w:t>
      </w:r>
      <w:r w:rsidR="00783D5C" w:rsidRPr="00742E61">
        <w:rPr>
          <w:szCs w:val="24"/>
        </w:rPr>
        <w:t>toki</w:t>
      </w:r>
      <w:r w:rsidR="00783D5C">
        <w:rPr>
          <w:szCs w:val="24"/>
        </w:rPr>
        <w:t>oje</w:t>
      </w:r>
      <w:r w:rsidR="00783D5C" w:rsidRPr="00742E61">
        <w:rPr>
          <w:szCs w:val="24"/>
        </w:rPr>
        <w:t xml:space="preserve"> </w:t>
      </w:r>
      <w:r w:rsidR="00190D2F" w:rsidRPr="00742E61">
        <w:rPr>
          <w:szCs w:val="24"/>
        </w:rPr>
        <w:t>byloje kaip ši, t. y. kai dėl skolos buvimo tarp šalių nėra ginčo, o mokėti skolą ribojamųjų priemonių taikymo laikotarpiu atsakovė atsisako todėl, kad vykdo Reglamento Nr. 269/2014 reikalavimus, būtent 9 straipsnyje nu</w:t>
      </w:r>
      <w:r w:rsidR="00293B8C">
        <w:rPr>
          <w:szCs w:val="24"/>
        </w:rPr>
        <w:t>st</w:t>
      </w:r>
      <w:r w:rsidR="00190D2F" w:rsidRPr="00742E61">
        <w:rPr>
          <w:szCs w:val="24"/>
        </w:rPr>
        <w:t>atytą draudimą dalyvauti veikloje, kurios tikslas arba poveikis yra išvengti 2 straipsnyje nu</w:t>
      </w:r>
      <w:r w:rsidR="00293B8C">
        <w:rPr>
          <w:szCs w:val="24"/>
        </w:rPr>
        <w:t>st</w:t>
      </w:r>
      <w:r w:rsidR="00190D2F" w:rsidRPr="00742E61">
        <w:rPr>
          <w:szCs w:val="24"/>
        </w:rPr>
        <w:t>atytų priemonių, t. y. lėšų ir ekonominių išteklių įšaldymo ir galimybės jais tiesiogiai arba netiesiogiai naudotis nesuteikimo.</w:t>
      </w:r>
    </w:p>
    <w:p w14:paraId="7FB8562F" w14:textId="17564687" w:rsidR="00190D2F" w:rsidRPr="00742E61" w:rsidRDefault="00190D2F"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t xml:space="preserve">Atsižvelgiant į </w:t>
      </w:r>
      <w:r w:rsidR="00293B8C">
        <w:rPr>
          <w:szCs w:val="24"/>
        </w:rPr>
        <w:t xml:space="preserve">tai, kas </w:t>
      </w:r>
      <w:r w:rsidRPr="00742E61">
        <w:rPr>
          <w:szCs w:val="24"/>
        </w:rPr>
        <w:t>nurodyt</w:t>
      </w:r>
      <w:r w:rsidR="00293B8C">
        <w:rPr>
          <w:szCs w:val="24"/>
        </w:rPr>
        <w:t>a</w:t>
      </w:r>
      <w:r w:rsidRPr="00742E61">
        <w:rPr>
          <w:szCs w:val="24"/>
        </w:rPr>
        <w:t>, apeliacinės instancijos teismas, padarydamas išvadą, kad sankcijų įgyvendinimo laikotarpiu jokie mokėjimai nėra atliekami, išskyrus tam tikras nustatytas išimtis, k</w:t>
      </w:r>
      <w:r w:rsidR="00293B8C">
        <w:rPr>
          <w:szCs w:val="24"/>
        </w:rPr>
        <w:t>ai</w:t>
      </w:r>
      <w:r w:rsidRPr="00742E61">
        <w:rPr>
          <w:szCs w:val="24"/>
        </w:rPr>
        <w:t xml:space="preserve"> tai leidžia valstybių narių kompetentingos institucijos, tinkamai taikė </w:t>
      </w:r>
      <w:r w:rsidR="00AE2A40" w:rsidRPr="00742E61">
        <w:rPr>
          <w:szCs w:val="24"/>
        </w:rPr>
        <w:t xml:space="preserve">nacionalines ir </w:t>
      </w:r>
      <w:r w:rsidRPr="00742E61">
        <w:rPr>
          <w:szCs w:val="24"/>
        </w:rPr>
        <w:t xml:space="preserve">ES teisės aktų nuostatas, nenukrypo nuo ESTT formuojamos praktikos, todėl kasacinio skundo argumentai, jog teismai nepagrįstai išplėtė lėšų ir ekonominių išteklių įšaldymo sąvoką, atmestini kaip nepagrįsti. Pažymėtina, kad, priešingai nei teigia ieškovė, reikalavimo dėl skolos priteisimo šiame etape atmetimas nereiškia pripažinimo, kad atsakovė neturi pareigos mokėti nurodytą sumą ieškovei, o ieškovė neturi reikalavimo teisės į šią sumą. Kaip jau nurodyta </w:t>
      </w:r>
      <w:r w:rsidR="009C79E4" w:rsidRPr="00742E61">
        <w:rPr>
          <w:szCs w:val="24"/>
        </w:rPr>
        <w:t>pirmiau</w:t>
      </w:r>
      <w:r w:rsidRPr="00742E61">
        <w:rPr>
          <w:szCs w:val="24"/>
        </w:rPr>
        <w:t xml:space="preserve">, atitinkami apribojimai dėl sutarčių vykdymo yra taikomi tik ribojamųjų priemonių galiojimo laikotarpiu ir nereiškia ieškovės reikalavimo teisės </w:t>
      </w:r>
      <w:r w:rsidR="00293B8C">
        <w:rPr>
          <w:szCs w:val="24"/>
        </w:rPr>
        <w:t>su</w:t>
      </w:r>
      <w:r w:rsidRPr="00742E61">
        <w:rPr>
          <w:szCs w:val="24"/>
        </w:rPr>
        <w:t>mokė</w:t>
      </w:r>
      <w:r w:rsidR="00293B8C">
        <w:rPr>
          <w:szCs w:val="24"/>
        </w:rPr>
        <w:t>ti</w:t>
      </w:r>
      <w:r w:rsidRPr="00742E61">
        <w:rPr>
          <w:szCs w:val="24"/>
        </w:rPr>
        <w:t xml:space="preserve"> už pagal Sutartį patiektą elektros energiją paneigimo. Pasibaigus ribojamųjų priemonių galiojimo laikotarpiui (arba nustačius, kad jos ieškov</w:t>
      </w:r>
      <w:r w:rsidR="00293B8C">
        <w:rPr>
          <w:szCs w:val="24"/>
        </w:rPr>
        <w:t>ei</w:t>
      </w:r>
      <w:r w:rsidRPr="00742E61">
        <w:rPr>
          <w:szCs w:val="24"/>
        </w:rPr>
        <w:t xml:space="preserve"> netaikomos), ieškovė</w:t>
      </w:r>
      <w:r w:rsidR="00063C35">
        <w:rPr>
          <w:szCs w:val="24"/>
        </w:rPr>
        <w:t>, esant ginčui,</w:t>
      </w:r>
      <w:r w:rsidRPr="00742E61">
        <w:rPr>
          <w:szCs w:val="24"/>
        </w:rPr>
        <w:t xml:space="preserve"> galės iš naujo reikšti reikalavimą dėl skolos pagal Sutartį priteisimo.</w:t>
      </w:r>
    </w:p>
    <w:p w14:paraId="3DBFD8A0" w14:textId="77777777" w:rsidR="00D37C69"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t>Dėl prašymo kreiptis į ESTT su klausimu dėl ribojamųjų priemonių netaikymo mokėjimams pagal teisminių institucijų, administracinius arba arbitražinius sprendimus, priimtus Sąjungoje arba vykdytinus atitinkamoje valstybėje narėje, pažymėtina, kad byloje nėra ginčo dėl mokėjimo į įšaldytas sąskaitas pagal teismo sprendimus galimybės, todėl šis klausimas bylai neaktualus.</w:t>
      </w:r>
    </w:p>
    <w:p w14:paraId="429664C9" w14:textId="591682DD" w:rsidR="00D37C69" w:rsidRPr="00742E61" w:rsidRDefault="00A072AE" w:rsidP="00636D8B">
      <w:pPr>
        <w:numPr>
          <w:ilvl w:val="0"/>
          <w:numId w:val="11"/>
        </w:numPr>
        <w:tabs>
          <w:tab w:val="left" w:pos="630"/>
          <w:tab w:val="left" w:pos="900"/>
          <w:tab w:val="left" w:pos="990"/>
        </w:tabs>
        <w:autoSpaceDN/>
        <w:spacing w:before="120" w:after="120"/>
        <w:jc w:val="both"/>
        <w:textAlignment w:val="auto"/>
        <w:rPr>
          <w:rFonts w:eastAsia="Times New Roman"/>
          <w:bCs/>
          <w:iCs/>
          <w:color w:val="auto"/>
          <w:szCs w:val="24"/>
          <w:lang w:eastAsia="lt-LT" w:bidi="lt-LT"/>
        </w:rPr>
      </w:pPr>
      <w:r w:rsidRPr="00742E61">
        <w:rPr>
          <w:szCs w:val="24"/>
        </w:rPr>
        <w:t xml:space="preserve">Dėl prašymo kreiptis į ESTT su klausimu, ar mokėjimus į įšaldytas sąskaitas leidžiama atlikti tik gavus už atitinkamos ribojamosios priemonės įgyvendinimą atsakingos valstybės institucijos leidimą, atsižvelgiant į šioje byloje nagrinėjamus </w:t>
      </w:r>
      <w:r w:rsidR="009C79E4" w:rsidRPr="00742E61">
        <w:rPr>
          <w:szCs w:val="24"/>
        </w:rPr>
        <w:t>S</w:t>
      </w:r>
      <w:r w:rsidRPr="00742E61">
        <w:rPr>
          <w:szCs w:val="24"/>
        </w:rPr>
        <w:t>utarties vykdymo klausimus</w:t>
      </w:r>
      <w:r w:rsidR="00293B8C">
        <w:rPr>
          <w:szCs w:val="24"/>
        </w:rPr>
        <w:t>,</w:t>
      </w:r>
      <w:r w:rsidRPr="00742E61">
        <w:rPr>
          <w:szCs w:val="24"/>
        </w:rPr>
        <w:t xml:space="preserve"> pažymėtina, kad</w:t>
      </w:r>
      <w:r w:rsidRPr="00742E61">
        <w:t xml:space="preserve"> </w:t>
      </w:r>
      <w:r w:rsidRPr="00742E61">
        <w:rPr>
          <w:szCs w:val="24"/>
        </w:rPr>
        <w:t>Reglamento Nr. 269/2014 7 straipsnio 2 dal</w:t>
      </w:r>
      <w:r w:rsidR="007E45FF">
        <w:rPr>
          <w:szCs w:val="24"/>
        </w:rPr>
        <w:t>ies b punkte</w:t>
      </w:r>
      <w:r w:rsidRPr="00742E61">
        <w:rPr>
          <w:szCs w:val="24"/>
        </w:rPr>
        <w:t xml:space="preserve"> yra </w:t>
      </w:r>
      <w:r w:rsidR="00293B8C">
        <w:rPr>
          <w:szCs w:val="24"/>
        </w:rPr>
        <w:t>įtvirtin</w:t>
      </w:r>
      <w:r w:rsidRPr="00742E61">
        <w:rPr>
          <w:szCs w:val="24"/>
        </w:rPr>
        <w:t xml:space="preserve">ta galimybė papildyti įšaldytą sąskaitą </w:t>
      </w:r>
      <w:r w:rsidRPr="00742E61">
        <w:rPr>
          <w:szCs w:val="24"/>
          <w:shd w:val="clear" w:color="auto" w:fill="FFFFFF"/>
        </w:rPr>
        <w:t xml:space="preserve">mokėjimais pagal sutartis, susitarimus ar įsipareigojimus, kurie buvo sudaryti arba nustatyti iki dienos, kurią asmuo buvo įtrauktas į I priede pateiktą asmenų, kuriems taikomos ribojamosios priemonės, sąrašą, jei tokie mokėjimai įšaldomi pagal Reglamento </w:t>
      </w:r>
      <w:r w:rsidRPr="00742E61">
        <w:rPr>
          <w:szCs w:val="24"/>
        </w:rPr>
        <w:t>Nr. 269/2014</w:t>
      </w:r>
      <w:r w:rsidRPr="00742E61">
        <w:rPr>
          <w:szCs w:val="24"/>
          <w:shd w:val="clear" w:color="auto" w:fill="FFFFFF"/>
        </w:rPr>
        <w:t xml:space="preserve"> 2</w:t>
      </w:r>
      <w:r w:rsidR="00BF075D">
        <w:rPr>
          <w:szCs w:val="24"/>
          <w:shd w:val="clear" w:color="auto" w:fill="FFFFFF"/>
        </w:rPr>
        <w:t> </w:t>
      </w:r>
      <w:r w:rsidRPr="00742E61">
        <w:rPr>
          <w:szCs w:val="24"/>
          <w:shd w:val="clear" w:color="auto" w:fill="FFFFFF"/>
        </w:rPr>
        <w:t xml:space="preserve">straipsnio 1 dalį. Ši galimybė nėra siejama su kompetentingos institucijos leidimu. Todėl nebūtų </w:t>
      </w:r>
      <w:r w:rsidRPr="00742E61">
        <w:rPr>
          <w:szCs w:val="24"/>
          <w:shd w:val="clear" w:color="auto" w:fill="FFFFFF"/>
        </w:rPr>
        <w:lastRenderedPageBreak/>
        <w:t>reikalingas kompetentingos institucijos leidimas atsakov</w:t>
      </w:r>
      <w:r w:rsidR="00D37C69" w:rsidRPr="00742E61">
        <w:rPr>
          <w:szCs w:val="24"/>
          <w:shd w:val="clear" w:color="auto" w:fill="FFFFFF"/>
        </w:rPr>
        <w:t>e</w:t>
      </w:r>
      <w:r w:rsidRPr="00742E61">
        <w:rPr>
          <w:szCs w:val="24"/>
          <w:shd w:val="clear" w:color="auto" w:fill="FFFFFF"/>
        </w:rPr>
        <w:t xml:space="preserve">i atlikti mokėjimą už elektrą, patiektą iki pagal Reglamentą </w:t>
      </w:r>
      <w:r w:rsidRPr="00742E61">
        <w:rPr>
          <w:szCs w:val="24"/>
        </w:rPr>
        <w:t xml:space="preserve">Nr. 269/2014 </w:t>
      </w:r>
      <w:r w:rsidRPr="00742E61">
        <w:rPr>
          <w:szCs w:val="24"/>
          <w:shd w:val="clear" w:color="auto" w:fill="FFFFFF"/>
        </w:rPr>
        <w:t>asmeniui nustatytų ribojamųjų priemonių taikymo pradžios</w:t>
      </w:r>
      <w:r w:rsidR="00293B8C">
        <w:rPr>
          <w:szCs w:val="24"/>
          <w:shd w:val="clear" w:color="auto" w:fill="FFFFFF"/>
        </w:rPr>
        <w:t>,</w:t>
      </w:r>
      <w:r w:rsidRPr="00742E61">
        <w:rPr>
          <w:szCs w:val="24"/>
          <w:shd w:val="clear" w:color="auto" w:fill="FFFFFF"/>
        </w:rPr>
        <w:t xml:space="preserve"> su sąlyga, kad toks mokėjimas bus įšaldytas pagal Reglamento </w:t>
      </w:r>
      <w:r w:rsidRPr="00742E61">
        <w:rPr>
          <w:szCs w:val="24"/>
        </w:rPr>
        <w:t>Nr. 269/2014</w:t>
      </w:r>
      <w:r w:rsidRPr="00742E61">
        <w:rPr>
          <w:szCs w:val="24"/>
          <w:shd w:val="clear" w:color="auto" w:fill="FFFFFF"/>
        </w:rPr>
        <w:t xml:space="preserve"> 2 straipsnio 1 dalį.</w:t>
      </w:r>
    </w:p>
    <w:p w14:paraId="7DFC1F7D" w14:textId="79C42D3D" w:rsidR="00D37C69" w:rsidRPr="00742E61" w:rsidRDefault="007E45FF" w:rsidP="008257A3">
      <w:pPr>
        <w:numPr>
          <w:ilvl w:val="0"/>
          <w:numId w:val="11"/>
        </w:numPr>
        <w:tabs>
          <w:tab w:val="left" w:pos="630"/>
          <w:tab w:val="left" w:pos="900"/>
          <w:tab w:val="left" w:pos="990"/>
        </w:tabs>
        <w:autoSpaceDN/>
        <w:spacing w:before="120" w:after="120"/>
        <w:ind w:left="357"/>
        <w:jc w:val="both"/>
        <w:textAlignment w:val="auto"/>
        <w:rPr>
          <w:rFonts w:eastAsia="Times New Roman"/>
          <w:bCs/>
          <w:iCs/>
          <w:color w:val="auto"/>
          <w:szCs w:val="24"/>
          <w:lang w:eastAsia="lt-LT" w:bidi="lt-LT"/>
        </w:rPr>
      </w:pPr>
      <w:r>
        <w:rPr>
          <w:szCs w:val="24"/>
        </w:rPr>
        <w:t>V</w:t>
      </w:r>
      <w:r w:rsidR="00A072AE" w:rsidRPr="00742E61">
        <w:rPr>
          <w:szCs w:val="24"/>
        </w:rPr>
        <w:t xml:space="preserve">ertinant mokėjimo už sutartinių įsipareigojimų vykdymą asmeniui tiekiant pagal </w:t>
      </w:r>
      <w:r w:rsidR="009C79E4" w:rsidRPr="00742E61">
        <w:rPr>
          <w:szCs w:val="24"/>
        </w:rPr>
        <w:t>S</w:t>
      </w:r>
      <w:r w:rsidR="00A072AE" w:rsidRPr="00742E61">
        <w:rPr>
          <w:szCs w:val="24"/>
        </w:rPr>
        <w:t xml:space="preserve">utartį elektrą po to, kai tam asmeniui pagal ES teisę buvo nustatytos (pradėtos taikyti) ribojamosios priemonės, galimybę, </w:t>
      </w:r>
      <w:r>
        <w:rPr>
          <w:szCs w:val="24"/>
        </w:rPr>
        <w:t>pažymėtina</w:t>
      </w:r>
      <w:r w:rsidR="00A072AE" w:rsidRPr="00742E61">
        <w:rPr>
          <w:szCs w:val="24"/>
        </w:rPr>
        <w:t xml:space="preserve">, kad </w:t>
      </w:r>
      <w:r>
        <w:rPr>
          <w:szCs w:val="24"/>
        </w:rPr>
        <w:t xml:space="preserve">tokiu atveju nurodyta </w:t>
      </w:r>
      <w:r w:rsidR="00A072AE" w:rsidRPr="00742E61">
        <w:rPr>
          <w:szCs w:val="24"/>
        </w:rPr>
        <w:t>Reglamento Nr. 269/2014 7 straipsnio 2 dal</w:t>
      </w:r>
      <w:r>
        <w:rPr>
          <w:szCs w:val="24"/>
        </w:rPr>
        <w:t>ies b punkte</w:t>
      </w:r>
      <w:r w:rsidR="00A072AE" w:rsidRPr="00742E61">
        <w:rPr>
          <w:szCs w:val="24"/>
        </w:rPr>
        <w:t xml:space="preserve"> nustatyta išimtis, pagal kurią tam tikrais atvejais </w:t>
      </w:r>
      <w:r w:rsidR="00A072AE" w:rsidRPr="00742E61">
        <w:rPr>
          <w:szCs w:val="24"/>
          <w:shd w:val="clear" w:color="auto" w:fill="FFFFFF"/>
        </w:rPr>
        <w:t xml:space="preserve">kompetentingos institucijos leidimas vykdyti mokėjimus į įšaldytas sąskaitas yra nereikalingas tam, kad tokie mokėjimai nebūtų laikomi Reglamento 2 straipsnio 2 dalies (būtent reikalavimo nesuteikti galimybės naudotis lėšomis ir ištekliais) pažeidimu, netaikytina. Tokiu atveju taikytina bendroji Reglamento </w:t>
      </w:r>
      <w:r w:rsidR="00A072AE" w:rsidRPr="00742E61">
        <w:rPr>
          <w:szCs w:val="24"/>
        </w:rPr>
        <w:t>Nr.</w:t>
      </w:r>
      <w:r w:rsidR="00293B8C">
        <w:rPr>
          <w:szCs w:val="24"/>
        </w:rPr>
        <w:t> </w:t>
      </w:r>
      <w:r w:rsidR="00A072AE" w:rsidRPr="00742E61">
        <w:rPr>
          <w:szCs w:val="24"/>
        </w:rPr>
        <w:t>269/2014</w:t>
      </w:r>
      <w:r w:rsidR="00A072AE" w:rsidRPr="00742E61">
        <w:rPr>
          <w:szCs w:val="24"/>
          <w:shd w:val="clear" w:color="auto" w:fill="FFFFFF"/>
        </w:rPr>
        <w:t xml:space="preserve"> 2 straipsnio 2 dalyje nu</w:t>
      </w:r>
      <w:r w:rsidR="00293B8C">
        <w:rPr>
          <w:szCs w:val="24"/>
          <w:shd w:val="clear" w:color="auto" w:fill="FFFFFF"/>
        </w:rPr>
        <w:t>st</w:t>
      </w:r>
      <w:r w:rsidR="00A072AE" w:rsidRPr="00742E61">
        <w:rPr>
          <w:szCs w:val="24"/>
          <w:shd w:val="clear" w:color="auto" w:fill="FFFFFF"/>
        </w:rPr>
        <w:t>atyta taisyklė, t. y. reikalavimas atsakovui nesuteikti galimybės ieškovui naudotis įšaldytais ekonominiais ištekliais, t</w:t>
      </w:r>
      <w:r w:rsidR="00006BA2">
        <w:rPr>
          <w:szCs w:val="24"/>
          <w:shd w:val="clear" w:color="auto" w:fill="FFFFFF"/>
        </w:rPr>
        <w:t>aigi</w:t>
      </w:r>
      <w:r w:rsidR="00A072AE" w:rsidRPr="00742E61">
        <w:rPr>
          <w:szCs w:val="24"/>
          <w:shd w:val="clear" w:color="auto" w:fill="FFFFFF"/>
        </w:rPr>
        <w:t xml:space="preserve"> nesudaryti sąlyg</w:t>
      </w:r>
      <w:r w:rsidR="00006BA2">
        <w:rPr>
          <w:szCs w:val="24"/>
          <w:shd w:val="clear" w:color="auto" w:fill="FFFFFF"/>
        </w:rPr>
        <w:t>ų</w:t>
      </w:r>
      <w:r w:rsidR="00A072AE" w:rsidRPr="00742E61">
        <w:rPr>
          <w:szCs w:val="24"/>
          <w:shd w:val="clear" w:color="auto" w:fill="FFFFFF"/>
        </w:rPr>
        <w:t xml:space="preserve"> ieškovui gauti ekonominės naudos iš ekonominių išteklių pardavimo. </w:t>
      </w:r>
      <w:r w:rsidR="00A072AE" w:rsidRPr="00742E61">
        <w:rPr>
          <w:szCs w:val="24"/>
        </w:rPr>
        <w:t>Vertinant atsakov</w:t>
      </w:r>
      <w:r w:rsidR="009C79E4" w:rsidRPr="00742E61">
        <w:rPr>
          <w:szCs w:val="24"/>
        </w:rPr>
        <w:t>ės</w:t>
      </w:r>
      <w:r w:rsidR="00A072AE" w:rsidRPr="00742E61">
        <w:rPr>
          <w:szCs w:val="24"/>
        </w:rPr>
        <w:t xml:space="preserve"> mokėjimo už sutartinių įsipareigojimų vykdymą asmeniui tiekiant pagal sutartį elektrą po to, kai tam asmeniui pagal ES teisę buvo nustatytos (pradėtos taikyti) ribojamosios priemonės, galimybę</w:t>
      </w:r>
      <w:r w:rsidR="00985F6C">
        <w:rPr>
          <w:szCs w:val="24"/>
        </w:rPr>
        <w:t>,</w:t>
      </w:r>
      <w:r w:rsidR="00A072AE" w:rsidRPr="00742E61">
        <w:rPr>
          <w:szCs w:val="24"/>
        </w:rPr>
        <w:t xml:space="preserve"> taip pat būtų svarbu, ar nėra taikoma kuri nors kita </w:t>
      </w:r>
      <w:r w:rsidR="00A072AE" w:rsidRPr="00742E61">
        <w:rPr>
          <w:szCs w:val="24"/>
          <w:shd w:val="clear" w:color="auto" w:fill="FFFFFF"/>
        </w:rPr>
        <w:t xml:space="preserve">Reglamente </w:t>
      </w:r>
      <w:r w:rsidR="00A072AE" w:rsidRPr="00742E61">
        <w:rPr>
          <w:szCs w:val="24"/>
        </w:rPr>
        <w:t>Nr. 269/2014</w:t>
      </w:r>
      <w:r w:rsidR="00A072AE" w:rsidRPr="00742E61">
        <w:rPr>
          <w:szCs w:val="24"/>
          <w:shd w:val="clear" w:color="auto" w:fill="FFFFFF"/>
        </w:rPr>
        <w:t xml:space="preserve"> </w:t>
      </w:r>
      <w:r w:rsidR="00985F6C">
        <w:rPr>
          <w:szCs w:val="24"/>
          <w:shd w:val="clear" w:color="auto" w:fill="FFFFFF"/>
        </w:rPr>
        <w:t>įtvirtin</w:t>
      </w:r>
      <w:r w:rsidR="00A072AE" w:rsidRPr="00742E61">
        <w:rPr>
          <w:szCs w:val="24"/>
          <w:shd w:val="clear" w:color="auto" w:fill="FFFFFF"/>
        </w:rPr>
        <w:t>ta išimtis, t. y. ar</w:t>
      </w:r>
      <w:r w:rsidR="00A072AE" w:rsidRPr="00742E61">
        <w:rPr>
          <w:szCs w:val="24"/>
        </w:rPr>
        <w:t xml:space="preserve"> tas asmuo nėra gavęs kompetentingos institucijos leidimo naudotis savo ekonominiais ištekliais tokiu būdu (t. y. juos parduoti) pagal Reglamento Nr. 269/2014 nuostatas, </w:t>
      </w:r>
      <w:r w:rsidR="00985F6C">
        <w:rPr>
          <w:szCs w:val="24"/>
        </w:rPr>
        <w:t>įtvirtin</w:t>
      </w:r>
      <w:r w:rsidR="00A072AE" w:rsidRPr="00742E61">
        <w:rPr>
          <w:szCs w:val="24"/>
        </w:rPr>
        <w:t xml:space="preserve">ančias galimybę valstybių narių kompetentingoms institucijoms, nukrypstant nuo Reglamento Nr. 269/2014 2 straipsnyje nustatytos bendrosios taisyklės, tam tikrais atvejais </w:t>
      </w:r>
      <w:r w:rsidR="00A072AE" w:rsidRPr="00742E61">
        <w:rPr>
          <w:szCs w:val="24"/>
          <w:shd w:val="clear" w:color="auto" w:fill="FFFFFF"/>
        </w:rPr>
        <w:t>nutraukti tam tikrų lėšų arba ekonominių išteklių, priklausančių subjektams, kuriems taikomos ribojamosios priemonės, įšaldymą arba leisti tiems subjektams naudotis tam tikromis lėšomis ar ekonominiais ištekliais tokiomis sąlygomis, kurias kompetentingos institucijos laiko tinkamomis</w:t>
      </w:r>
      <w:r w:rsidR="00A072AE" w:rsidRPr="00742E61">
        <w:rPr>
          <w:szCs w:val="24"/>
        </w:rPr>
        <w:t>. Tačiau tokio kompetentingų institucijų leidimo ieškov</w:t>
      </w:r>
      <w:r w:rsidR="00FD4E1B" w:rsidRPr="00742E61">
        <w:rPr>
          <w:szCs w:val="24"/>
        </w:rPr>
        <w:t>e</w:t>
      </w:r>
      <w:r w:rsidR="00A072AE" w:rsidRPr="00742E61">
        <w:rPr>
          <w:szCs w:val="24"/>
        </w:rPr>
        <w:t>i parduoti elektrą atsakov</w:t>
      </w:r>
      <w:r w:rsidR="00FD4E1B" w:rsidRPr="00742E61">
        <w:rPr>
          <w:szCs w:val="24"/>
        </w:rPr>
        <w:t>e</w:t>
      </w:r>
      <w:r w:rsidR="00A072AE" w:rsidRPr="00742E61">
        <w:rPr>
          <w:szCs w:val="24"/>
        </w:rPr>
        <w:t>i faktas šioje byloje nėra nustatytas.</w:t>
      </w:r>
    </w:p>
    <w:p w14:paraId="283052B7" w14:textId="33E68C1A" w:rsidR="008257A3" w:rsidRPr="008257A3" w:rsidRDefault="00A072AE"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742E61">
        <w:rPr>
          <w:rFonts w:asciiTheme="majorBidi" w:hAnsiTheme="majorBidi" w:cstheme="majorBidi"/>
          <w:iCs/>
          <w:szCs w:val="24"/>
        </w:rPr>
        <w:t>Teisėjų kolegija, remdamasi tuo, kas išdėstyta, konstatuoja, kad nagrinėjamoje byloje kasaciniam teismui nekyla klausimų dėl Europos Sąjungos teisės normų aiškinimo, siekiant išspręsti bylą, atitinkamai nekyla ir kasacinio teismo pareiga kreiptis į ESTT dėl prejudicinio sprendimo priėmimo, todėl ieškov</w:t>
      </w:r>
      <w:r w:rsidR="00FD4E1B" w:rsidRPr="00742E61">
        <w:rPr>
          <w:rFonts w:asciiTheme="majorBidi" w:hAnsiTheme="majorBidi" w:cstheme="majorBidi"/>
          <w:iCs/>
          <w:szCs w:val="24"/>
        </w:rPr>
        <w:t>ės</w:t>
      </w:r>
      <w:r w:rsidRPr="00742E61">
        <w:rPr>
          <w:rFonts w:asciiTheme="majorBidi" w:hAnsiTheme="majorBidi" w:cstheme="majorBidi"/>
          <w:iCs/>
          <w:szCs w:val="24"/>
        </w:rPr>
        <w:t xml:space="preserve"> prašymas dėl tokio kreipimosi atmestinas</w:t>
      </w:r>
      <w:r w:rsidR="00566E45" w:rsidRPr="00742E61">
        <w:rPr>
          <w:rFonts w:asciiTheme="majorBidi" w:hAnsiTheme="majorBidi" w:cstheme="majorBidi"/>
          <w:iCs/>
          <w:szCs w:val="24"/>
        </w:rPr>
        <w:t>. T</w:t>
      </w:r>
      <w:r w:rsidR="00985F6C">
        <w:rPr>
          <w:rFonts w:asciiTheme="majorBidi" w:hAnsiTheme="majorBidi" w:cstheme="majorBidi"/>
          <w:iCs/>
          <w:szCs w:val="24"/>
        </w:rPr>
        <w:t>aip</w:t>
      </w:r>
      <w:r w:rsidR="00D37C69" w:rsidRPr="00742E61">
        <w:rPr>
          <w:rFonts w:asciiTheme="majorBidi" w:hAnsiTheme="majorBidi" w:cstheme="majorBidi"/>
          <w:iCs/>
          <w:szCs w:val="24"/>
        </w:rPr>
        <w:t xml:space="preserve"> pa</w:t>
      </w:r>
      <w:r w:rsidR="00985F6C">
        <w:rPr>
          <w:rFonts w:asciiTheme="majorBidi" w:hAnsiTheme="majorBidi" w:cstheme="majorBidi"/>
          <w:iCs/>
          <w:szCs w:val="24"/>
        </w:rPr>
        <w:t>t</w:t>
      </w:r>
      <w:r w:rsidR="00D37C69" w:rsidRPr="00742E61">
        <w:rPr>
          <w:rFonts w:asciiTheme="majorBidi" w:hAnsiTheme="majorBidi" w:cstheme="majorBidi"/>
          <w:iCs/>
          <w:szCs w:val="24"/>
        </w:rPr>
        <w:t xml:space="preserve"> konstatuotina, kad bylą nagrinėję teismai, atmesdami ieškovės reikalavimą dėl </w:t>
      </w:r>
      <w:r w:rsidR="00BF075D">
        <w:rPr>
          <w:rFonts w:asciiTheme="majorBidi" w:hAnsiTheme="majorBidi" w:cstheme="majorBidi"/>
          <w:iCs/>
          <w:szCs w:val="24"/>
        </w:rPr>
        <w:t>skolos</w:t>
      </w:r>
      <w:r w:rsidR="00D37C69" w:rsidRPr="00742E61">
        <w:rPr>
          <w:rFonts w:asciiTheme="majorBidi" w:hAnsiTheme="majorBidi" w:cstheme="majorBidi"/>
          <w:iCs/>
          <w:szCs w:val="24"/>
        </w:rPr>
        <w:t xml:space="preserve"> pagal Sutartį priteisimo</w:t>
      </w:r>
      <w:r w:rsidR="00985F6C">
        <w:rPr>
          <w:rFonts w:asciiTheme="majorBidi" w:hAnsiTheme="majorBidi" w:cstheme="majorBidi"/>
          <w:iCs/>
          <w:szCs w:val="24"/>
        </w:rPr>
        <w:t>,</w:t>
      </w:r>
      <w:r w:rsidR="00D37C69" w:rsidRPr="00742E61">
        <w:rPr>
          <w:rFonts w:asciiTheme="majorBidi" w:hAnsiTheme="majorBidi" w:cstheme="majorBidi"/>
          <w:iCs/>
          <w:szCs w:val="24"/>
        </w:rPr>
        <w:t xml:space="preserve"> </w:t>
      </w:r>
      <w:r w:rsidR="00566E45" w:rsidRPr="00742E61">
        <w:rPr>
          <w:rFonts w:asciiTheme="majorBidi" w:hAnsiTheme="majorBidi" w:cstheme="majorBidi"/>
          <w:iCs/>
          <w:szCs w:val="24"/>
        </w:rPr>
        <w:t>tinkamai taikė Tarptautinių sankcijų įstatymo, Sprendimo Nr. 2014/145/BUSP ir Reglamento Nr.</w:t>
      </w:r>
      <w:r w:rsidR="00985F6C">
        <w:rPr>
          <w:rFonts w:asciiTheme="majorBidi" w:hAnsiTheme="majorBidi" w:cstheme="majorBidi"/>
          <w:iCs/>
          <w:szCs w:val="24"/>
        </w:rPr>
        <w:t> </w:t>
      </w:r>
      <w:r w:rsidR="00566E45" w:rsidRPr="00742E61">
        <w:rPr>
          <w:rFonts w:asciiTheme="majorBidi" w:hAnsiTheme="majorBidi" w:cstheme="majorBidi"/>
          <w:iCs/>
          <w:szCs w:val="24"/>
        </w:rPr>
        <w:t>269/2014 nuostatas.</w:t>
      </w:r>
    </w:p>
    <w:p w14:paraId="0A0A061D" w14:textId="77777777" w:rsidR="008257A3" w:rsidRPr="008257A3" w:rsidRDefault="008257A3" w:rsidP="008257A3">
      <w:p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p>
    <w:p w14:paraId="5906A913" w14:textId="77777777" w:rsidR="008257A3" w:rsidRPr="008257A3" w:rsidRDefault="0007405D" w:rsidP="008257A3">
      <w:pPr>
        <w:tabs>
          <w:tab w:val="left" w:pos="630"/>
          <w:tab w:val="left" w:pos="900"/>
          <w:tab w:val="left" w:pos="993"/>
        </w:tabs>
        <w:autoSpaceDN/>
        <w:spacing w:before="120" w:after="120"/>
        <w:ind w:left="357" w:firstLine="349"/>
        <w:jc w:val="both"/>
        <w:textAlignment w:val="auto"/>
        <w:rPr>
          <w:rFonts w:eastAsia="Times New Roman"/>
          <w:bCs/>
          <w:iCs/>
          <w:color w:val="auto"/>
          <w:szCs w:val="24"/>
          <w:lang w:eastAsia="lt-LT" w:bidi="lt-LT"/>
        </w:rPr>
      </w:pPr>
      <w:r w:rsidRPr="008257A3">
        <w:rPr>
          <w:rFonts w:eastAsia="Times New Roman"/>
          <w:bCs/>
          <w:i/>
          <w:color w:val="auto"/>
          <w:szCs w:val="24"/>
          <w:lang w:eastAsia="lt-LT" w:bidi="lt-LT"/>
        </w:rPr>
        <w:t>Dėl bylos procesinės baigties ir bylinėjimosi išlaidų</w:t>
      </w:r>
    </w:p>
    <w:p w14:paraId="3CDCF989" w14:textId="77777777" w:rsidR="008257A3" w:rsidRPr="008257A3" w:rsidRDefault="008257A3" w:rsidP="008257A3">
      <w:p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p>
    <w:p w14:paraId="218C3100" w14:textId="6C461D66" w:rsidR="008257A3" w:rsidRDefault="0007405D"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742E61">
        <w:t>Apibendrindama išdėstytus argumentus teisėjų kolegija padaro išvadą, jog kasaciniu skundu nepagrindžiama, kad apeliacinės instancijos teismas netinkamai aiškino ir taikė Tarptautinių sankcijų įstatymo 7 straipsnio 2 ir 3 dalis, Sprendimo Nr. 2014/145/BUSP 2 straipsnio 1 ir 2 dalis, 6 dalies b ir c punktus, Reglamento Nr. 269/2014 2 straipsnio 1 ir 2 dalis, 7 straipsnio 1 dalį, 2</w:t>
      </w:r>
      <w:r w:rsidR="00985F6C">
        <w:t> </w:t>
      </w:r>
      <w:r w:rsidRPr="00742E61">
        <w:t>dalies nuostatas, taip pat pažeidė įrodymų tyrimą ir vertinimą reglamentuojančias teisės normas</w:t>
      </w:r>
      <w:r w:rsidR="00513E30" w:rsidRPr="00742E61">
        <w:t xml:space="preserve">, nukrypo nuo kasacinio teismo suformuotos </w:t>
      </w:r>
      <w:r w:rsidR="00BD5C68">
        <w:t xml:space="preserve">CPK 182 straipsnio 2 punkto </w:t>
      </w:r>
      <w:r w:rsidR="00513E30" w:rsidRPr="00742E61">
        <w:t>taikymo praktikos</w:t>
      </w:r>
      <w:r w:rsidRPr="00742E61">
        <w:t xml:space="preserve">. </w:t>
      </w:r>
      <w:r w:rsidR="00BD5C68">
        <w:t>Dėl to konstatuotina, kad naikinti ar pakei</w:t>
      </w:r>
      <w:r w:rsidR="00985F6C">
        <w:t>s</w:t>
      </w:r>
      <w:r w:rsidR="00BD5C68">
        <w:t xml:space="preserve">ti skundžiamą </w:t>
      </w:r>
      <w:r w:rsidRPr="00742E61">
        <w:t xml:space="preserve">apeliacinės instancijos teismo </w:t>
      </w:r>
      <w:r w:rsidR="00513E30" w:rsidRPr="00742E61">
        <w:t>nutart</w:t>
      </w:r>
      <w:r w:rsidR="00BD5C68">
        <w:t>į</w:t>
      </w:r>
      <w:r w:rsidRPr="00742E61">
        <w:t xml:space="preserve"> </w:t>
      </w:r>
      <w:r w:rsidR="00985F6C">
        <w:t xml:space="preserve">remiantis </w:t>
      </w:r>
      <w:r w:rsidR="00BD5C68">
        <w:t xml:space="preserve">kasacinio skundo argumentais </w:t>
      </w:r>
      <w:r w:rsidRPr="00742E61">
        <w:t>nėra pagrindo</w:t>
      </w:r>
      <w:r w:rsidR="00BD5C68">
        <w:t xml:space="preserve"> (CPK 346 straipsnis, 359 straipsnio 3</w:t>
      </w:r>
      <w:r w:rsidR="00BF075D">
        <w:t> </w:t>
      </w:r>
      <w:r w:rsidR="00BD5C68">
        <w:t>dalis).</w:t>
      </w:r>
    </w:p>
    <w:p w14:paraId="41990B47" w14:textId="77777777" w:rsidR="008257A3" w:rsidRDefault="00AF3AD1"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742E61">
        <w:t>Šaliai, kurios naudai priimtas sprendimas, jos turėtas bylinėjimosi išlaidas teismas priteisia iš antrosios šalies (CPK 93 straipsnio 1 dalis</w:t>
      </w:r>
      <w:r w:rsidR="002D76C5">
        <w:t>, 98 straipsnio 1 dalis)</w:t>
      </w:r>
      <w:r w:rsidRPr="00742E61">
        <w:t xml:space="preserve">. </w:t>
      </w:r>
      <w:r w:rsidR="003E0F3A" w:rsidRPr="008257A3">
        <w:rPr>
          <w:szCs w:val="24"/>
        </w:rPr>
        <w:t xml:space="preserve">Šalies išlaidos, susijusios su advokato ar advokato padėjėjo pagalba, atsižvelgiant į konkrečios bylos sudėtingumą ir advokato ar advokato padėjėjo darbo ir laiko sąnaudas, yra priteisiamos ne didesnės, kaip yra nustatyta </w:t>
      </w:r>
      <w:r w:rsidR="003E0F3A" w:rsidRPr="008257A3">
        <w:rPr>
          <w:szCs w:val="24"/>
        </w:rPr>
        <w:lastRenderedPageBreak/>
        <w:t>teisingumo ministro kartu su Lietuvos advokatų tarybos pirmininku patvirtintose rekomendacijose dėl užmokesčio dydžio (CPK 98 straipsnio 2 dalis).</w:t>
      </w:r>
    </w:p>
    <w:p w14:paraId="25B2914D" w14:textId="77777777" w:rsidR="008257A3" w:rsidRDefault="00AF3AD1"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091FB3">
        <w:t>Ieškovės kasacin</w:t>
      </w:r>
      <w:r w:rsidR="009421D2">
        <w:t>io</w:t>
      </w:r>
      <w:r w:rsidRPr="00091FB3">
        <w:t xml:space="preserve"> skund</w:t>
      </w:r>
      <w:r w:rsidR="009421D2">
        <w:t>o</w:t>
      </w:r>
      <w:r w:rsidRPr="00091FB3">
        <w:t xml:space="preserve"> </w:t>
      </w:r>
      <w:r w:rsidR="009421D2">
        <w:t>netenkinant</w:t>
      </w:r>
      <w:r w:rsidRPr="00091FB3">
        <w:t xml:space="preserve">, teisę į bylinėjimosi išlaidų atlyginimą įgijo atsakovė. </w:t>
      </w:r>
    </w:p>
    <w:p w14:paraId="709E326C" w14:textId="0C2B3375" w:rsidR="008257A3" w:rsidRDefault="003E0F3A"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091FB3">
        <w:t xml:space="preserve">Atsakovė </w:t>
      </w:r>
      <w:r w:rsidR="007A1A57" w:rsidRPr="008257A3">
        <w:rPr>
          <w:bCs/>
          <w:szCs w:val="24"/>
        </w:rPr>
        <w:t xml:space="preserve">pateikė įrodymus, patvirtinančius kasaciniame teisme patirtas bylinėjimosi išlaidas – </w:t>
      </w:r>
      <w:r w:rsidR="007A1A57" w:rsidRPr="00091FB3">
        <w:t xml:space="preserve">4825,66 Eur už </w:t>
      </w:r>
      <w:bookmarkStart w:id="67" w:name="_Hlk170205056"/>
      <w:bookmarkStart w:id="68" w:name="_Hlk170205413"/>
      <w:r w:rsidR="007A1A57" w:rsidRPr="00091FB3">
        <w:t xml:space="preserve">atsiliepimo į kasacinį skundą </w:t>
      </w:r>
      <w:bookmarkEnd w:id="67"/>
      <w:r w:rsidR="007A1A57" w:rsidRPr="00091FB3">
        <w:t>parengimą</w:t>
      </w:r>
      <w:bookmarkEnd w:id="68"/>
      <w:r w:rsidR="007A1A57" w:rsidRPr="00091FB3">
        <w:t xml:space="preserve">, 128,75 Eur už </w:t>
      </w:r>
      <w:bookmarkStart w:id="69" w:name="_Hlk170205980"/>
      <w:r w:rsidR="007A1A57" w:rsidRPr="00091FB3">
        <w:t xml:space="preserve">prašymo dėl bylinėjimosi išlaidų atlyginimo </w:t>
      </w:r>
      <w:bookmarkEnd w:id="69"/>
      <w:r w:rsidR="007A1A57" w:rsidRPr="00091FB3">
        <w:t>parengimą,</w:t>
      </w:r>
      <w:r w:rsidR="007A1A57" w:rsidRPr="008257A3">
        <w:rPr>
          <w:bCs/>
          <w:szCs w:val="24"/>
        </w:rPr>
        <w:t xml:space="preserve"> ir prašo priteisti šių bylinėjimosi išlaidų atlyginimą. Prašoma priteisti </w:t>
      </w:r>
      <w:r w:rsidR="00D364A3" w:rsidRPr="008257A3">
        <w:rPr>
          <w:bCs/>
          <w:szCs w:val="24"/>
        </w:rPr>
        <w:t xml:space="preserve">išlaidų </w:t>
      </w:r>
      <w:r w:rsidR="007A1A57" w:rsidRPr="008257A3">
        <w:rPr>
          <w:bCs/>
          <w:szCs w:val="24"/>
        </w:rPr>
        <w:t>teisin</w:t>
      </w:r>
      <w:r w:rsidR="00D364A3" w:rsidRPr="008257A3">
        <w:rPr>
          <w:bCs/>
          <w:szCs w:val="24"/>
        </w:rPr>
        <w:t>ei</w:t>
      </w:r>
      <w:r w:rsidR="007A1A57" w:rsidRPr="008257A3">
        <w:rPr>
          <w:bCs/>
          <w:szCs w:val="24"/>
        </w:rPr>
        <w:t xml:space="preserve"> pagalb</w:t>
      </w:r>
      <w:r w:rsidR="00D364A3" w:rsidRPr="008257A3">
        <w:rPr>
          <w:bCs/>
          <w:szCs w:val="24"/>
        </w:rPr>
        <w:t>ai</w:t>
      </w:r>
      <w:r w:rsidR="007A1A57" w:rsidRPr="008257A3">
        <w:rPr>
          <w:bCs/>
          <w:szCs w:val="24"/>
        </w:rPr>
        <w:t xml:space="preserve"> rengiant </w:t>
      </w:r>
      <w:r w:rsidR="007A1A57" w:rsidRPr="00091FB3">
        <w:t xml:space="preserve">atsiliepimą į kasacinį skundą </w:t>
      </w:r>
      <w:r w:rsidR="00D364A3" w:rsidRPr="00091FB3">
        <w:t xml:space="preserve">atlyginimo </w:t>
      </w:r>
      <w:r w:rsidR="007A1A57" w:rsidRPr="008257A3">
        <w:rPr>
          <w:bCs/>
          <w:szCs w:val="24"/>
        </w:rPr>
        <w:t xml:space="preserve">suma viršija Lietuvos Respublikos teisingumo ministro 2004 m. balandžio 2 d. įsakymu Nr. 1R-85 ir Lietuvos advokatų tarybos 2004 m. kovo 26 d. nutarimu patvirtintų </w:t>
      </w:r>
      <w:bookmarkStart w:id="70" w:name="_Hlk170206144"/>
      <w:r w:rsidR="007A1A57" w:rsidRPr="008257A3">
        <w:rPr>
          <w:bCs/>
          <w:szCs w:val="24"/>
        </w:rPr>
        <w:t>Rekomendacijų</w:t>
      </w:r>
      <w:bookmarkEnd w:id="70"/>
      <w:r w:rsidR="007A1A57" w:rsidRPr="008257A3">
        <w:rPr>
          <w:bCs/>
          <w:szCs w:val="24"/>
        </w:rPr>
        <w:t xml:space="preserve"> dėl civilinėse bylose priteistino užmokesčio už advokato ar advokato padėjėjo teikiamą pagalbą maksimalaus dydžio (redakcija, galiojanti nuo 2015 m. kovo 20 d.) </w:t>
      </w:r>
      <w:r w:rsidR="00D364A3" w:rsidRPr="008257A3">
        <w:rPr>
          <w:bCs/>
          <w:szCs w:val="24"/>
        </w:rPr>
        <w:t xml:space="preserve">(toliau – ir Rekomendacijos) </w:t>
      </w:r>
      <w:bookmarkStart w:id="71" w:name="_Hlk170206186"/>
      <w:r w:rsidR="007A1A57" w:rsidRPr="008257A3">
        <w:rPr>
          <w:bCs/>
          <w:szCs w:val="24"/>
        </w:rPr>
        <w:t>7, 8.14 punktuose nustatytą</w:t>
      </w:r>
      <w:r w:rsidR="007A1A57" w:rsidRPr="00091FB3">
        <w:t xml:space="preserve"> maksimalų</w:t>
      </w:r>
      <w:r w:rsidR="007A1A57" w:rsidRPr="008257A3">
        <w:rPr>
          <w:bCs/>
          <w:szCs w:val="24"/>
        </w:rPr>
        <w:t xml:space="preserve"> dydį</w:t>
      </w:r>
      <w:bookmarkEnd w:id="71"/>
      <w:r w:rsidR="007A1A57" w:rsidRPr="008257A3">
        <w:rPr>
          <w:bCs/>
          <w:szCs w:val="24"/>
        </w:rPr>
        <w:t xml:space="preserve">, </w:t>
      </w:r>
      <w:r w:rsidR="007A1A57" w:rsidRPr="00091FB3">
        <w:t xml:space="preserve">todėl atsakovės prašymas dėl </w:t>
      </w:r>
      <w:r w:rsidR="00D364A3" w:rsidRPr="00091FB3">
        <w:t xml:space="preserve">šių išlaidų atlyginimo priteisimo tenkintinas iš dalies, jai priteisiant </w:t>
      </w:r>
      <w:r w:rsidR="007A1A57" w:rsidRPr="00091FB3">
        <w:t>maksimali</w:t>
      </w:r>
      <w:r w:rsidR="00D364A3" w:rsidRPr="00091FB3">
        <w:t>ą</w:t>
      </w:r>
      <w:r w:rsidR="007A1A57" w:rsidRPr="00091FB3">
        <w:t xml:space="preserve"> už atsiliepimo į kasacinį skundą parengimą priteistin</w:t>
      </w:r>
      <w:r w:rsidR="00D364A3" w:rsidRPr="00091FB3">
        <w:t xml:space="preserve">ą sumą </w:t>
      </w:r>
      <w:r w:rsidR="00985F6C">
        <w:t>–</w:t>
      </w:r>
      <w:r w:rsidR="00D364A3" w:rsidRPr="00091FB3">
        <w:t xml:space="preserve"> 3588 Eur. </w:t>
      </w:r>
      <w:r w:rsidR="00091FB3" w:rsidRPr="00091FB3">
        <w:t>Atsakovės p</w:t>
      </w:r>
      <w:r w:rsidR="00091FB3" w:rsidRPr="008257A3">
        <w:rPr>
          <w:bCs/>
          <w:szCs w:val="24"/>
        </w:rPr>
        <w:t xml:space="preserve">rašoma priteisti išlaidų teisinei pagalbai rengiant </w:t>
      </w:r>
      <w:r w:rsidR="00091FB3" w:rsidRPr="00091FB3">
        <w:t xml:space="preserve">prašymą dėl bylinėjimosi išlaidų atlyginimo suma neviršija </w:t>
      </w:r>
      <w:r w:rsidR="00091FB3" w:rsidRPr="008257A3">
        <w:rPr>
          <w:bCs/>
          <w:szCs w:val="24"/>
        </w:rPr>
        <w:t>Rekomendacijų</w:t>
      </w:r>
      <w:r w:rsidR="00091FB3" w:rsidRPr="00091FB3">
        <w:t xml:space="preserve"> </w:t>
      </w:r>
      <w:r w:rsidR="00091FB3" w:rsidRPr="008257A3">
        <w:rPr>
          <w:bCs/>
          <w:szCs w:val="24"/>
        </w:rPr>
        <w:t>7, 8.16 punktuose nustatyto</w:t>
      </w:r>
      <w:r w:rsidR="00091FB3" w:rsidRPr="00091FB3">
        <w:t xml:space="preserve"> maksimalaus </w:t>
      </w:r>
      <w:r w:rsidR="00091FB3" w:rsidRPr="008257A3">
        <w:rPr>
          <w:bCs/>
          <w:szCs w:val="24"/>
        </w:rPr>
        <w:t>dydžio, todėl atsakovės pr</w:t>
      </w:r>
      <w:r w:rsidR="00985F6C">
        <w:rPr>
          <w:bCs/>
          <w:szCs w:val="24"/>
        </w:rPr>
        <w:t>a</w:t>
      </w:r>
      <w:r w:rsidR="00091FB3" w:rsidRPr="008257A3">
        <w:rPr>
          <w:bCs/>
          <w:szCs w:val="24"/>
        </w:rPr>
        <w:t xml:space="preserve">šymas dėl šių išlaidų atlyginimo priteisimo tenkintinas </w:t>
      </w:r>
      <w:r w:rsidR="00985F6C">
        <w:rPr>
          <w:bCs/>
          <w:szCs w:val="24"/>
        </w:rPr>
        <w:t>visišk</w:t>
      </w:r>
      <w:r w:rsidR="00091FB3" w:rsidRPr="008257A3">
        <w:rPr>
          <w:bCs/>
          <w:szCs w:val="24"/>
        </w:rPr>
        <w:t>ai.</w:t>
      </w:r>
      <w:r w:rsidR="00091FB3" w:rsidRPr="00091FB3">
        <w:t xml:space="preserve"> </w:t>
      </w:r>
      <w:r w:rsidR="00D364A3" w:rsidRPr="00091FB3">
        <w:t>Iš viso atsakovei iš ieškovės priteistinas 3717 Eur bylinėjimosi išlaidų atlyginimas</w:t>
      </w:r>
      <w:r w:rsidR="00091FB3" w:rsidRPr="00091FB3">
        <w:t xml:space="preserve"> </w:t>
      </w:r>
      <w:r w:rsidR="00091FB3" w:rsidRPr="008257A3">
        <w:rPr>
          <w:bCs/>
          <w:szCs w:val="24"/>
        </w:rPr>
        <w:t xml:space="preserve">(CPK </w:t>
      </w:r>
      <w:r w:rsidR="00091FB3" w:rsidRPr="008257A3">
        <w:rPr>
          <w:szCs w:val="24"/>
        </w:rPr>
        <w:t xml:space="preserve">93 straipsnio 1 dalis, </w:t>
      </w:r>
      <w:r w:rsidR="00091FB3" w:rsidRPr="008257A3">
        <w:rPr>
          <w:bCs/>
          <w:szCs w:val="24"/>
        </w:rPr>
        <w:t xml:space="preserve">98 straipsnis). </w:t>
      </w:r>
    </w:p>
    <w:p w14:paraId="0D11CDB8" w14:textId="1983CEB8" w:rsidR="00941A2E" w:rsidRPr="008257A3" w:rsidRDefault="00941A2E" w:rsidP="008257A3">
      <w:pPr>
        <w:numPr>
          <w:ilvl w:val="0"/>
          <w:numId w:val="11"/>
        </w:numPr>
        <w:tabs>
          <w:tab w:val="left" w:pos="630"/>
          <w:tab w:val="left" w:pos="900"/>
          <w:tab w:val="left" w:pos="993"/>
        </w:tabs>
        <w:autoSpaceDN/>
        <w:spacing w:before="120" w:after="120"/>
        <w:ind w:left="357"/>
        <w:jc w:val="both"/>
        <w:textAlignment w:val="auto"/>
        <w:rPr>
          <w:rFonts w:eastAsia="Times New Roman"/>
          <w:bCs/>
          <w:iCs/>
          <w:color w:val="auto"/>
          <w:szCs w:val="24"/>
          <w:lang w:eastAsia="lt-LT" w:bidi="lt-LT"/>
        </w:rPr>
      </w:pPr>
      <w:r w:rsidRPr="00742E61">
        <w:t>Kasaciniame teisme bylinėjimosi išlaidų, susijusių su procesinių dokumentų įteikimu, nepatirta.</w:t>
      </w:r>
    </w:p>
    <w:p w14:paraId="2A6CEBE5" w14:textId="77777777" w:rsidR="00255CC2" w:rsidRPr="00742E61" w:rsidRDefault="00255CC2" w:rsidP="00255CC2">
      <w:pPr>
        <w:pStyle w:val="ListParagraph"/>
        <w:tabs>
          <w:tab w:val="left" w:pos="993"/>
        </w:tabs>
        <w:autoSpaceDN/>
        <w:spacing w:after="0" w:line="240" w:lineRule="auto"/>
        <w:ind w:left="360"/>
        <w:jc w:val="both"/>
        <w:textAlignment w:val="auto"/>
      </w:pPr>
    </w:p>
    <w:p w14:paraId="58ADFE3A" w14:textId="77777777" w:rsidR="0007405D" w:rsidRPr="00742E61" w:rsidRDefault="0007405D" w:rsidP="00421E0C">
      <w:pPr>
        <w:ind w:firstLine="720"/>
        <w:contextualSpacing/>
        <w:jc w:val="both"/>
      </w:pPr>
      <w:r w:rsidRPr="00742E61">
        <w:t xml:space="preserve">Lietuvos Aukščiausiojo Teismo </w:t>
      </w:r>
      <w:bookmarkStart w:id="72" w:name="_Hlk170154981"/>
      <w:r w:rsidRPr="00742E61">
        <w:t>Civilinių bylų skyriaus teisėjų kolegija</w:t>
      </w:r>
      <w:bookmarkEnd w:id="72"/>
      <w:r w:rsidRPr="00742E61">
        <w:t>, vadovaudamasi Lietuvos Respublikos civilinio proceso kodekso 359 straipsnio 1 dalies 1 punktu, 362 straipsnio 1 dalimi,</w:t>
      </w:r>
    </w:p>
    <w:p w14:paraId="25FED94E" w14:textId="77777777" w:rsidR="0007405D" w:rsidRPr="00742E61" w:rsidRDefault="0007405D" w:rsidP="00421E0C">
      <w:pPr>
        <w:ind w:firstLine="720"/>
        <w:contextualSpacing/>
      </w:pPr>
    </w:p>
    <w:p w14:paraId="3CE33DD5" w14:textId="77777777" w:rsidR="0007405D" w:rsidRPr="00742E61" w:rsidRDefault="0007405D" w:rsidP="00421E0C">
      <w:pPr>
        <w:contextualSpacing/>
        <w:rPr>
          <w:b/>
          <w:bCs/>
        </w:rPr>
      </w:pPr>
      <w:r w:rsidRPr="00742E61">
        <w:t>n u t a r i a :</w:t>
      </w:r>
    </w:p>
    <w:p w14:paraId="74C7EC91" w14:textId="77777777" w:rsidR="0007405D" w:rsidRPr="00742E61" w:rsidRDefault="0007405D" w:rsidP="00421E0C">
      <w:pPr>
        <w:ind w:firstLine="720"/>
        <w:contextualSpacing/>
      </w:pPr>
    </w:p>
    <w:p w14:paraId="34CB6EDD" w14:textId="46D7E006" w:rsidR="0007405D" w:rsidRPr="00742E61" w:rsidRDefault="00F074E5" w:rsidP="00421E0C">
      <w:pPr>
        <w:ind w:firstLine="720"/>
        <w:contextualSpacing/>
        <w:jc w:val="both"/>
      </w:pPr>
      <w:r w:rsidRPr="00742E61">
        <w:t xml:space="preserve">Lietuvos apeliacinio </w:t>
      </w:r>
      <w:r w:rsidR="0007405D" w:rsidRPr="00742E61">
        <w:t xml:space="preserve">teismo </w:t>
      </w:r>
      <w:r w:rsidR="00636D8B" w:rsidRPr="00742E61">
        <w:t>Civilinių bylų skyriaus teisėjų kolegij</w:t>
      </w:r>
      <w:r w:rsidR="00636D8B">
        <w:t>os</w:t>
      </w:r>
      <w:r w:rsidR="00636D8B" w:rsidRPr="00742E61">
        <w:t xml:space="preserve"> </w:t>
      </w:r>
      <w:r w:rsidR="0007405D" w:rsidRPr="00742E61">
        <w:t xml:space="preserve">2023 m. </w:t>
      </w:r>
      <w:r w:rsidRPr="00742E61">
        <w:t>gruodžio 21</w:t>
      </w:r>
      <w:r w:rsidR="0007405D" w:rsidRPr="00742E61">
        <w:t xml:space="preserve"> d. </w:t>
      </w:r>
      <w:r w:rsidRPr="00742E61">
        <w:t>nutartį</w:t>
      </w:r>
      <w:r w:rsidR="0007405D" w:rsidRPr="00742E61">
        <w:t xml:space="preserve"> palikti nepakeistą.</w:t>
      </w:r>
    </w:p>
    <w:p w14:paraId="474945F3" w14:textId="724DFFAC" w:rsidR="00F074E5" w:rsidRPr="00742E61" w:rsidRDefault="00F074E5" w:rsidP="009B2640">
      <w:pPr>
        <w:ind w:firstLine="720"/>
        <w:contextualSpacing/>
        <w:jc w:val="both"/>
      </w:pPr>
      <w:r w:rsidRPr="00742E61">
        <w:t>Priteisti atsakovei uždarajai akcinei bendrovei „E</w:t>
      </w:r>
      <w:r w:rsidR="00985F6C">
        <w:t>lektrum</w:t>
      </w:r>
      <w:r w:rsidRPr="00742E61">
        <w:t xml:space="preserve"> L</w:t>
      </w:r>
      <w:r w:rsidR="00985F6C">
        <w:t>ietuva</w:t>
      </w:r>
      <w:r w:rsidRPr="00742E61">
        <w:t>“</w:t>
      </w:r>
      <w:r w:rsidR="00731FB5" w:rsidRPr="00742E61">
        <w:t xml:space="preserve"> (j. a. k. 301506046)</w:t>
      </w:r>
      <w:r w:rsidRPr="00742E61">
        <w:t xml:space="preserve"> </w:t>
      </w:r>
      <w:r w:rsidR="009B2640" w:rsidRPr="00742E61">
        <w:t xml:space="preserve">iš ieškovės uždarosios akcinės bendrovės </w:t>
      </w:r>
      <w:r w:rsidR="00985F6C">
        <w:t>„</w:t>
      </w:r>
      <w:r w:rsidR="009B2640" w:rsidRPr="00742E61">
        <w:t>Vydmantai wind park</w:t>
      </w:r>
      <w:r w:rsidR="00985F6C">
        <w:t>“</w:t>
      </w:r>
      <w:r w:rsidR="009B2640" w:rsidRPr="00742E61">
        <w:t xml:space="preserve"> (j. a. k. 302666616)</w:t>
      </w:r>
      <w:r w:rsidR="009B2640">
        <w:t xml:space="preserve"> </w:t>
      </w:r>
      <w:r w:rsidRPr="00742E61">
        <w:t xml:space="preserve">3717 </w:t>
      </w:r>
      <w:r w:rsidR="00731FB5" w:rsidRPr="00742E61">
        <w:t xml:space="preserve">(trijų tūkstančių septynių šimtų septyniolikos) </w:t>
      </w:r>
      <w:r w:rsidRPr="00742E61">
        <w:t>Eur bylinėjimosi išlaidų kasaciniame teisme atlyginimą</w:t>
      </w:r>
      <w:bookmarkStart w:id="73" w:name="_Hlk170206673"/>
      <w:r w:rsidRPr="00742E61">
        <w:t>.</w:t>
      </w:r>
    </w:p>
    <w:bookmarkEnd w:id="73"/>
    <w:p w14:paraId="7B68D53F" w14:textId="77777777" w:rsidR="0007405D" w:rsidRPr="00742E61" w:rsidRDefault="0007405D" w:rsidP="00421E0C">
      <w:pPr>
        <w:ind w:firstLine="720"/>
        <w:contextualSpacing/>
        <w:jc w:val="both"/>
      </w:pPr>
      <w:r w:rsidRPr="00742E61">
        <w:t>Ši Lietuvos Aukščiausiojo Teismo nutartis yra galutinė, neskundžiama ir įsiteisėja nuo priėmimo dienos.</w:t>
      </w:r>
    </w:p>
    <w:p w14:paraId="7993D072" w14:textId="2771CD6A" w:rsidR="0007405D" w:rsidRPr="00742E61" w:rsidRDefault="0007405D" w:rsidP="0007405D"/>
    <w:p w14:paraId="36B09EB9" w14:textId="6EF8EC66" w:rsidR="0007405D" w:rsidRPr="00742E61" w:rsidRDefault="0007405D" w:rsidP="00421E0C">
      <w:r w:rsidRPr="00742E61">
        <w:t>Teisėjai</w:t>
      </w:r>
      <w:r w:rsidRPr="00742E61">
        <w:tab/>
      </w:r>
      <w:r w:rsidRPr="00742E61">
        <w:tab/>
      </w:r>
      <w:r w:rsidRPr="00742E61">
        <w:tab/>
      </w:r>
      <w:r w:rsidRPr="00742E61">
        <w:tab/>
        <w:t xml:space="preserve">     </w:t>
      </w:r>
      <w:r w:rsidR="00F074E5" w:rsidRPr="00742E61">
        <w:t xml:space="preserve"> </w:t>
      </w:r>
      <w:r w:rsidRPr="00742E61">
        <w:t xml:space="preserve">  </w:t>
      </w:r>
      <w:r w:rsidR="00F074E5" w:rsidRPr="00742E61">
        <w:t>Gražina Davidonienė</w:t>
      </w:r>
    </w:p>
    <w:p w14:paraId="30C5FC0B" w14:textId="77777777" w:rsidR="0007405D" w:rsidRPr="00742E61" w:rsidRDefault="0007405D" w:rsidP="00421E0C"/>
    <w:p w14:paraId="29677B9C" w14:textId="47D26EFE" w:rsidR="00F074E5" w:rsidRPr="00742E61" w:rsidRDefault="0007405D" w:rsidP="00421E0C">
      <w:pPr>
        <w:ind w:left="5672" w:hanging="2"/>
      </w:pPr>
      <w:r w:rsidRPr="00742E61">
        <w:tab/>
      </w:r>
      <w:r w:rsidRPr="00742E61">
        <w:tab/>
      </w:r>
      <w:r w:rsidRPr="00742E61">
        <w:tab/>
      </w:r>
      <w:r w:rsidRPr="00742E61">
        <w:tab/>
        <w:t xml:space="preserve">    </w:t>
      </w:r>
      <w:r w:rsidR="00F074E5" w:rsidRPr="00742E61">
        <w:t>Antanas Simniškis</w:t>
      </w:r>
    </w:p>
    <w:p w14:paraId="21AAF1E2" w14:textId="77777777" w:rsidR="00F074E5" w:rsidRPr="00742E61" w:rsidRDefault="00F074E5" w:rsidP="00421E0C"/>
    <w:p w14:paraId="5A9A4AAF" w14:textId="77777777" w:rsidR="00F074E5" w:rsidRPr="00742E61" w:rsidRDefault="00F074E5" w:rsidP="00421E0C">
      <w:pPr>
        <w:ind w:left="4374" w:firstLine="1296"/>
      </w:pPr>
    </w:p>
    <w:p w14:paraId="11177EED" w14:textId="2073EE61" w:rsidR="0007405D" w:rsidRPr="00742E61" w:rsidRDefault="00F074E5" w:rsidP="00421E0C">
      <w:pPr>
        <w:ind w:left="4374" w:firstLine="1296"/>
      </w:pPr>
      <w:r w:rsidRPr="00742E61">
        <w:t>Donatas Šernas</w:t>
      </w:r>
    </w:p>
    <w:sectPr w:rsidR="0007405D" w:rsidRPr="00742E61" w:rsidSect="007E3D76">
      <w:headerReference w:type="default" r:id="rId11"/>
      <w:pgSz w:w="11906" w:h="16838"/>
      <w:pgMar w:top="1701" w:right="567"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134F0" w14:textId="77777777" w:rsidR="003A60C2" w:rsidRDefault="003A60C2">
      <w:r>
        <w:separator/>
      </w:r>
    </w:p>
  </w:endnote>
  <w:endnote w:type="continuationSeparator" w:id="0">
    <w:p w14:paraId="35018486" w14:textId="77777777" w:rsidR="003A60C2" w:rsidRDefault="003A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C842A" w14:textId="77777777" w:rsidR="003A60C2" w:rsidRDefault="003A60C2">
      <w:r>
        <w:separator/>
      </w:r>
    </w:p>
  </w:footnote>
  <w:footnote w:type="continuationSeparator" w:id="0">
    <w:p w14:paraId="21A1434D" w14:textId="77777777" w:rsidR="003A60C2" w:rsidRDefault="003A6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607570"/>
      <w:docPartObj>
        <w:docPartGallery w:val="Page Numbers (Top of Page)"/>
        <w:docPartUnique/>
      </w:docPartObj>
    </w:sdtPr>
    <w:sdtEndPr>
      <w:rPr>
        <w:noProof/>
      </w:rPr>
    </w:sdtEndPr>
    <w:sdtContent>
      <w:p w14:paraId="5FE00904" w14:textId="5DDEFA6F" w:rsidR="00E11F15" w:rsidRDefault="00E11F1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225E0A" w14:textId="77777777" w:rsidR="00E11F15" w:rsidRDefault="00E11F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0081C"/>
    <w:multiLevelType w:val="multilevel"/>
    <w:tmpl w:val="78782686"/>
    <w:lvl w:ilvl="0">
      <w:start w:val="1"/>
      <w:numFmt w:val="decimal"/>
      <w:lvlText w:val="%1."/>
      <w:lvlJc w:val="left"/>
      <w:pPr>
        <w:ind w:left="360" w:hanging="360"/>
      </w:pPr>
      <w:rPr>
        <w:rFonts w:ascii="Times New Roman" w:eastAsia="Calibri" w:hAnsi="Times New Roman" w:cs="Times New Roman"/>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C11814"/>
    <w:multiLevelType w:val="multilevel"/>
    <w:tmpl w:val="A99C6754"/>
    <w:lvl w:ilvl="0">
      <w:start w:val="1"/>
      <w:numFmt w:val="decimal"/>
      <w:lvlText w:val="%1."/>
      <w:lvlJc w:val="left"/>
      <w:pPr>
        <w:ind w:left="502" w:hanging="360"/>
      </w:pPr>
      <w:rPr>
        <w:rFonts w:hint="default"/>
        <w:b w:val="0"/>
        <w:i w:val="0"/>
        <w:color w:val="auto"/>
        <w:sz w:val="24"/>
        <w:szCs w:val="24"/>
      </w:rPr>
    </w:lvl>
    <w:lvl w:ilvl="1">
      <w:start w:val="1"/>
      <w:numFmt w:val="decimal"/>
      <w:lvlText w:val="%1.%2."/>
      <w:lvlJc w:val="left"/>
      <w:pPr>
        <w:ind w:left="539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601A22"/>
    <w:multiLevelType w:val="multilevel"/>
    <w:tmpl w:val="009E29FA"/>
    <w:lvl w:ilvl="0">
      <w:start w:val="29"/>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551220"/>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00059FD"/>
    <w:multiLevelType w:val="multilevel"/>
    <w:tmpl w:val="009E29FA"/>
    <w:lvl w:ilvl="0">
      <w:start w:val="29"/>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A4C234E"/>
    <w:multiLevelType w:val="multilevel"/>
    <w:tmpl w:val="29725F7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BD6128E"/>
    <w:multiLevelType w:val="multilevel"/>
    <w:tmpl w:val="2EBAFCB0"/>
    <w:lvl w:ilvl="0">
      <w:start w:val="11"/>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63323456"/>
    <w:multiLevelType w:val="multilevel"/>
    <w:tmpl w:val="01C2A9D2"/>
    <w:lvl w:ilvl="0">
      <w:start w:val="1"/>
      <w:numFmt w:val="decimal"/>
      <w:lvlText w:val="%1."/>
      <w:lvlJc w:val="left"/>
      <w:pPr>
        <w:ind w:left="360" w:hanging="360"/>
      </w:pPr>
      <w:rPr>
        <w:rFonts w:ascii="Candara" w:eastAsia="Times New Roman" w:hAnsi="Candara" w:cs="Arial" w:hint="default"/>
        <w:b w:val="0"/>
        <w:bCs w:val="0"/>
        <w:strike w:val="0"/>
      </w:rPr>
    </w:lvl>
    <w:lvl w:ilvl="1">
      <w:start w:val="1"/>
      <w:numFmt w:val="decimal"/>
      <w:lvlText w:val="%1.%2."/>
      <w:lvlJc w:val="left"/>
      <w:pPr>
        <w:ind w:left="792" w:hanging="432"/>
      </w:pPr>
      <w:rPr>
        <w:b w:val="0"/>
        <w:bCs w:val="0"/>
        <w:strike w:val="0"/>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CA7882"/>
    <w:multiLevelType w:val="multilevel"/>
    <w:tmpl w:val="009E29FA"/>
    <w:lvl w:ilvl="0">
      <w:start w:val="29"/>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7192301">
    <w:abstractNumId w:val="2"/>
  </w:num>
  <w:num w:numId="2" w16cid:durableId="15552386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1506295">
    <w:abstractNumId w:val="7"/>
  </w:num>
  <w:num w:numId="4" w16cid:durableId="917596929">
    <w:abstractNumId w:val="1"/>
  </w:num>
  <w:num w:numId="5" w16cid:durableId="1081869743">
    <w:abstractNumId w:val="9"/>
  </w:num>
  <w:num w:numId="6" w16cid:durableId="1099181726">
    <w:abstractNumId w:val="5"/>
  </w:num>
  <w:num w:numId="7" w16cid:durableId="418479709">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465526">
    <w:abstractNumId w:val="6"/>
  </w:num>
  <w:num w:numId="9" w16cid:durableId="2012221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2298206">
    <w:abstractNumId w:val="0"/>
  </w:num>
  <w:num w:numId="11" w16cid:durableId="1357806611">
    <w:abstractNumId w:val="5"/>
  </w:num>
  <w:num w:numId="12" w16cid:durableId="928393841">
    <w:abstractNumId w:val="3"/>
  </w:num>
  <w:num w:numId="13" w16cid:durableId="10066652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53236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03279"/>
    <w:rsid w:val="00006BA2"/>
    <w:rsid w:val="00010452"/>
    <w:rsid w:val="000149F8"/>
    <w:rsid w:val="00022350"/>
    <w:rsid w:val="000240E1"/>
    <w:rsid w:val="000260FA"/>
    <w:rsid w:val="000434FF"/>
    <w:rsid w:val="00045798"/>
    <w:rsid w:val="000467F6"/>
    <w:rsid w:val="000475FC"/>
    <w:rsid w:val="000516AE"/>
    <w:rsid w:val="0005226F"/>
    <w:rsid w:val="000550E6"/>
    <w:rsid w:val="00063069"/>
    <w:rsid w:val="00063C35"/>
    <w:rsid w:val="0006613A"/>
    <w:rsid w:val="0007405D"/>
    <w:rsid w:val="00086205"/>
    <w:rsid w:val="00091FB3"/>
    <w:rsid w:val="00093D22"/>
    <w:rsid w:val="00094D0E"/>
    <w:rsid w:val="00097F81"/>
    <w:rsid w:val="000A0BEF"/>
    <w:rsid w:val="000A258D"/>
    <w:rsid w:val="000B1D00"/>
    <w:rsid w:val="000B1E1F"/>
    <w:rsid w:val="000B377D"/>
    <w:rsid w:val="000C0A0A"/>
    <w:rsid w:val="000C1641"/>
    <w:rsid w:val="000C3DF2"/>
    <w:rsid w:val="000D0C3B"/>
    <w:rsid w:val="000D246A"/>
    <w:rsid w:val="000D41B1"/>
    <w:rsid w:val="000E7F85"/>
    <w:rsid w:val="000F3E96"/>
    <w:rsid w:val="000F5625"/>
    <w:rsid w:val="001012A4"/>
    <w:rsid w:val="001068CB"/>
    <w:rsid w:val="00124FAD"/>
    <w:rsid w:val="00133196"/>
    <w:rsid w:val="001415E1"/>
    <w:rsid w:val="00156C60"/>
    <w:rsid w:val="00164EB4"/>
    <w:rsid w:val="001667AE"/>
    <w:rsid w:val="001768EE"/>
    <w:rsid w:val="00183E57"/>
    <w:rsid w:val="001906EE"/>
    <w:rsid w:val="00190ADD"/>
    <w:rsid w:val="00190D2F"/>
    <w:rsid w:val="00194085"/>
    <w:rsid w:val="00194B06"/>
    <w:rsid w:val="001969F2"/>
    <w:rsid w:val="001A50A1"/>
    <w:rsid w:val="001B1559"/>
    <w:rsid w:val="001B79E7"/>
    <w:rsid w:val="001C4B30"/>
    <w:rsid w:val="001E0F62"/>
    <w:rsid w:val="001E2871"/>
    <w:rsid w:val="001E4498"/>
    <w:rsid w:val="001E727D"/>
    <w:rsid w:val="001E74AF"/>
    <w:rsid w:val="001F3DC2"/>
    <w:rsid w:val="001F63C2"/>
    <w:rsid w:val="001F64EF"/>
    <w:rsid w:val="00201882"/>
    <w:rsid w:val="00202B53"/>
    <w:rsid w:val="00211A92"/>
    <w:rsid w:val="0021360A"/>
    <w:rsid w:val="002138B7"/>
    <w:rsid w:val="002152E5"/>
    <w:rsid w:val="00221C67"/>
    <w:rsid w:val="0022608D"/>
    <w:rsid w:val="00226C0F"/>
    <w:rsid w:val="002332FA"/>
    <w:rsid w:val="002363D7"/>
    <w:rsid w:val="002405F2"/>
    <w:rsid w:val="00242495"/>
    <w:rsid w:val="00247CE8"/>
    <w:rsid w:val="00250F00"/>
    <w:rsid w:val="00255CC2"/>
    <w:rsid w:val="00260BAC"/>
    <w:rsid w:val="00261702"/>
    <w:rsid w:val="002620C7"/>
    <w:rsid w:val="00266FAD"/>
    <w:rsid w:val="00271FC6"/>
    <w:rsid w:val="00281D3C"/>
    <w:rsid w:val="00286B7F"/>
    <w:rsid w:val="00293B8C"/>
    <w:rsid w:val="00293E2C"/>
    <w:rsid w:val="002A1DAF"/>
    <w:rsid w:val="002A20F4"/>
    <w:rsid w:val="002A4611"/>
    <w:rsid w:val="002A6055"/>
    <w:rsid w:val="002C465E"/>
    <w:rsid w:val="002C46DA"/>
    <w:rsid w:val="002D6D8C"/>
    <w:rsid w:val="002D76C5"/>
    <w:rsid w:val="002E2A30"/>
    <w:rsid w:val="002E3578"/>
    <w:rsid w:val="002E7CF6"/>
    <w:rsid w:val="002F17D0"/>
    <w:rsid w:val="002F5E84"/>
    <w:rsid w:val="003062DA"/>
    <w:rsid w:val="00310CD4"/>
    <w:rsid w:val="00313DC0"/>
    <w:rsid w:val="0031546D"/>
    <w:rsid w:val="00315FD6"/>
    <w:rsid w:val="00320695"/>
    <w:rsid w:val="00330F77"/>
    <w:rsid w:val="003337F1"/>
    <w:rsid w:val="0033417D"/>
    <w:rsid w:val="00336C47"/>
    <w:rsid w:val="003372E8"/>
    <w:rsid w:val="00343633"/>
    <w:rsid w:val="0035068A"/>
    <w:rsid w:val="0035672A"/>
    <w:rsid w:val="00362495"/>
    <w:rsid w:val="003714E3"/>
    <w:rsid w:val="00377286"/>
    <w:rsid w:val="0038000A"/>
    <w:rsid w:val="00382070"/>
    <w:rsid w:val="003847D2"/>
    <w:rsid w:val="003859D1"/>
    <w:rsid w:val="003875DE"/>
    <w:rsid w:val="00395C3A"/>
    <w:rsid w:val="00396933"/>
    <w:rsid w:val="00397A6B"/>
    <w:rsid w:val="003A416A"/>
    <w:rsid w:val="003A4EA0"/>
    <w:rsid w:val="003A60C2"/>
    <w:rsid w:val="003B0F87"/>
    <w:rsid w:val="003B322F"/>
    <w:rsid w:val="003B494F"/>
    <w:rsid w:val="003D23C4"/>
    <w:rsid w:val="003D2841"/>
    <w:rsid w:val="003E0F3A"/>
    <w:rsid w:val="003E6CF2"/>
    <w:rsid w:val="003F4F75"/>
    <w:rsid w:val="00400B0C"/>
    <w:rsid w:val="00403AEF"/>
    <w:rsid w:val="00405986"/>
    <w:rsid w:val="004063DF"/>
    <w:rsid w:val="0041236F"/>
    <w:rsid w:val="004126FE"/>
    <w:rsid w:val="00413C42"/>
    <w:rsid w:val="00414378"/>
    <w:rsid w:val="00414F95"/>
    <w:rsid w:val="00420DE7"/>
    <w:rsid w:val="00421E0C"/>
    <w:rsid w:val="00424C1B"/>
    <w:rsid w:val="004259BA"/>
    <w:rsid w:val="00425AEB"/>
    <w:rsid w:val="00432708"/>
    <w:rsid w:val="004335B0"/>
    <w:rsid w:val="00434A90"/>
    <w:rsid w:val="0044548A"/>
    <w:rsid w:val="004463C7"/>
    <w:rsid w:val="004465BD"/>
    <w:rsid w:val="00452761"/>
    <w:rsid w:val="0045347E"/>
    <w:rsid w:val="00453DF6"/>
    <w:rsid w:val="00456B2E"/>
    <w:rsid w:val="0045731B"/>
    <w:rsid w:val="004649C0"/>
    <w:rsid w:val="0046696B"/>
    <w:rsid w:val="00466CCE"/>
    <w:rsid w:val="00467866"/>
    <w:rsid w:val="004705D1"/>
    <w:rsid w:val="004725F3"/>
    <w:rsid w:val="004739CF"/>
    <w:rsid w:val="0047728D"/>
    <w:rsid w:val="00482998"/>
    <w:rsid w:val="0048379C"/>
    <w:rsid w:val="00487D43"/>
    <w:rsid w:val="004944A3"/>
    <w:rsid w:val="00494529"/>
    <w:rsid w:val="004A2502"/>
    <w:rsid w:val="004A258E"/>
    <w:rsid w:val="004C00F8"/>
    <w:rsid w:val="004C0569"/>
    <w:rsid w:val="004C0A71"/>
    <w:rsid w:val="004C1F23"/>
    <w:rsid w:val="004D21BB"/>
    <w:rsid w:val="004E7B33"/>
    <w:rsid w:val="004F5056"/>
    <w:rsid w:val="005017D2"/>
    <w:rsid w:val="00506F76"/>
    <w:rsid w:val="00511C59"/>
    <w:rsid w:val="00513E30"/>
    <w:rsid w:val="00516A1A"/>
    <w:rsid w:val="0052315F"/>
    <w:rsid w:val="00526FE8"/>
    <w:rsid w:val="00530F1D"/>
    <w:rsid w:val="005313D9"/>
    <w:rsid w:val="005317D8"/>
    <w:rsid w:val="00532D38"/>
    <w:rsid w:val="00533D42"/>
    <w:rsid w:val="00533F98"/>
    <w:rsid w:val="00534332"/>
    <w:rsid w:val="005347AF"/>
    <w:rsid w:val="005375D2"/>
    <w:rsid w:val="00540B58"/>
    <w:rsid w:val="00541139"/>
    <w:rsid w:val="00544307"/>
    <w:rsid w:val="00557B07"/>
    <w:rsid w:val="0056171B"/>
    <w:rsid w:val="00561853"/>
    <w:rsid w:val="00566018"/>
    <w:rsid w:val="00566E45"/>
    <w:rsid w:val="005671C4"/>
    <w:rsid w:val="00577443"/>
    <w:rsid w:val="00585E90"/>
    <w:rsid w:val="00586742"/>
    <w:rsid w:val="0059047E"/>
    <w:rsid w:val="00590D23"/>
    <w:rsid w:val="00592A21"/>
    <w:rsid w:val="005A1B4E"/>
    <w:rsid w:val="005A2839"/>
    <w:rsid w:val="005A3A89"/>
    <w:rsid w:val="005A539F"/>
    <w:rsid w:val="005A5566"/>
    <w:rsid w:val="005A5BC9"/>
    <w:rsid w:val="005A5D77"/>
    <w:rsid w:val="005B073B"/>
    <w:rsid w:val="005B51EC"/>
    <w:rsid w:val="005B5682"/>
    <w:rsid w:val="005C3508"/>
    <w:rsid w:val="005C44BF"/>
    <w:rsid w:val="005C7F30"/>
    <w:rsid w:val="005D179E"/>
    <w:rsid w:val="005E4F24"/>
    <w:rsid w:val="005E6634"/>
    <w:rsid w:val="005F2307"/>
    <w:rsid w:val="005F3229"/>
    <w:rsid w:val="005F663C"/>
    <w:rsid w:val="00600D1D"/>
    <w:rsid w:val="0061719A"/>
    <w:rsid w:val="006204EB"/>
    <w:rsid w:val="00620E7F"/>
    <w:rsid w:val="00623AF6"/>
    <w:rsid w:val="00632063"/>
    <w:rsid w:val="00636D8B"/>
    <w:rsid w:val="0063796E"/>
    <w:rsid w:val="006401CF"/>
    <w:rsid w:val="00644D71"/>
    <w:rsid w:val="00644F67"/>
    <w:rsid w:val="006468E3"/>
    <w:rsid w:val="0065126E"/>
    <w:rsid w:val="00651632"/>
    <w:rsid w:val="00652EB1"/>
    <w:rsid w:val="006537EE"/>
    <w:rsid w:val="006551E4"/>
    <w:rsid w:val="00663E9F"/>
    <w:rsid w:val="006663A9"/>
    <w:rsid w:val="0067056D"/>
    <w:rsid w:val="00683637"/>
    <w:rsid w:val="006B05A5"/>
    <w:rsid w:val="006B4C4D"/>
    <w:rsid w:val="006B5A01"/>
    <w:rsid w:val="006D192D"/>
    <w:rsid w:val="006D30C2"/>
    <w:rsid w:val="006D5926"/>
    <w:rsid w:val="006D65C2"/>
    <w:rsid w:val="006E31B6"/>
    <w:rsid w:val="00705BB6"/>
    <w:rsid w:val="0071153D"/>
    <w:rsid w:val="00722DC7"/>
    <w:rsid w:val="007237D3"/>
    <w:rsid w:val="00723D09"/>
    <w:rsid w:val="00725418"/>
    <w:rsid w:val="00730255"/>
    <w:rsid w:val="00731E1D"/>
    <w:rsid w:val="00731FB5"/>
    <w:rsid w:val="00742E61"/>
    <w:rsid w:val="0074775D"/>
    <w:rsid w:val="00747E63"/>
    <w:rsid w:val="0075214F"/>
    <w:rsid w:val="00753C2A"/>
    <w:rsid w:val="00763386"/>
    <w:rsid w:val="00767635"/>
    <w:rsid w:val="00767FE4"/>
    <w:rsid w:val="00772D1C"/>
    <w:rsid w:val="00773622"/>
    <w:rsid w:val="00783D5C"/>
    <w:rsid w:val="007853A1"/>
    <w:rsid w:val="007943F4"/>
    <w:rsid w:val="00796088"/>
    <w:rsid w:val="007A1A57"/>
    <w:rsid w:val="007A281F"/>
    <w:rsid w:val="007A2DF7"/>
    <w:rsid w:val="007A5BD2"/>
    <w:rsid w:val="007B0E27"/>
    <w:rsid w:val="007B2E2C"/>
    <w:rsid w:val="007C04C9"/>
    <w:rsid w:val="007C41AD"/>
    <w:rsid w:val="007C4619"/>
    <w:rsid w:val="007C5AAD"/>
    <w:rsid w:val="007C7927"/>
    <w:rsid w:val="007C7F17"/>
    <w:rsid w:val="007E0681"/>
    <w:rsid w:val="007E3BE1"/>
    <w:rsid w:val="007E3D76"/>
    <w:rsid w:val="007E45FF"/>
    <w:rsid w:val="007E7D55"/>
    <w:rsid w:val="007F6A36"/>
    <w:rsid w:val="00801642"/>
    <w:rsid w:val="008075C0"/>
    <w:rsid w:val="008122D6"/>
    <w:rsid w:val="008204DD"/>
    <w:rsid w:val="008217DF"/>
    <w:rsid w:val="008257A3"/>
    <w:rsid w:val="00825B7F"/>
    <w:rsid w:val="00825F72"/>
    <w:rsid w:val="00834DFE"/>
    <w:rsid w:val="00836945"/>
    <w:rsid w:val="008379F7"/>
    <w:rsid w:val="00840B9F"/>
    <w:rsid w:val="00845FEA"/>
    <w:rsid w:val="0084763F"/>
    <w:rsid w:val="00847A06"/>
    <w:rsid w:val="00850F52"/>
    <w:rsid w:val="0085214F"/>
    <w:rsid w:val="0085263C"/>
    <w:rsid w:val="00852873"/>
    <w:rsid w:val="00865D0A"/>
    <w:rsid w:val="00870E07"/>
    <w:rsid w:val="0087173C"/>
    <w:rsid w:val="00877CCD"/>
    <w:rsid w:val="00894DCC"/>
    <w:rsid w:val="008957F3"/>
    <w:rsid w:val="00897506"/>
    <w:rsid w:val="008A563E"/>
    <w:rsid w:val="008C10E6"/>
    <w:rsid w:val="008D0418"/>
    <w:rsid w:val="008D1AAB"/>
    <w:rsid w:val="008E7B9F"/>
    <w:rsid w:val="008F0632"/>
    <w:rsid w:val="008F2C26"/>
    <w:rsid w:val="008F57E0"/>
    <w:rsid w:val="008F6594"/>
    <w:rsid w:val="0090508A"/>
    <w:rsid w:val="00917BD7"/>
    <w:rsid w:val="0092005E"/>
    <w:rsid w:val="00922C0B"/>
    <w:rsid w:val="00941A2E"/>
    <w:rsid w:val="009421D2"/>
    <w:rsid w:val="00942E55"/>
    <w:rsid w:val="00952F93"/>
    <w:rsid w:val="0096538C"/>
    <w:rsid w:val="00981D4F"/>
    <w:rsid w:val="00985F6C"/>
    <w:rsid w:val="00986ED4"/>
    <w:rsid w:val="009915CB"/>
    <w:rsid w:val="0099195A"/>
    <w:rsid w:val="00993863"/>
    <w:rsid w:val="00993C5D"/>
    <w:rsid w:val="0099447E"/>
    <w:rsid w:val="009B0F86"/>
    <w:rsid w:val="009B1FFD"/>
    <w:rsid w:val="009B2640"/>
    <w:rsid w:val="009B4AF5"/>
    <w:rsid w:val="009B5B52"/>
    <w:rsid w:val="009B701A"/>
    <w:rsid w:val="009C0051"/>
    <w:rsid w:val="009C28E1"/>
    <w:rsid w:val="009C79E4"/>
    <w:rsid w:val="009E1A8E"/>
    <w:rsid w:val="009E7AF2"/>
    <w:rsid w:val="009F0422"/>
    <w:rsid w:val="009F1DC0"/>
    <w:rsid w:val="009F48D4"/>
    <w:rsid w:val="009F63B2"/>
    <w:rsid w:val="009F6BBE"/>
    <w:rsid w:val="00A03C47"/>
    <w:rsid w:val="00A05B97"/>
    <w:rsid w:val="00A072AE"/>
    <w:rsid w:val="00A07A5A"/>
    <w:rsid w:val="00A11D1B"/>
    <w:rsid w:val="00A13458"/>
    <w:rsid w:val="00A135A1"/>
    <w:rsid w:val="00A23C88"/>
    <w:rsid w:val="00A343AA"/>
    <w:rsid w:val="00A37D98"/>
    <w:rsid w:val="00A37F52"/>
    <w:rsid w:val="00A43175"/>
    <w:rsid w:val="00A5038D"/>
    <w:rsid w:val="00A577E9"/>
    <w:rsid w:val="00A61FF8"/>
    <w:rsid w:val="00A7066D"/>
    <w:rsid w:val="00A74F6A"/>
    <w:rsid w:val="00A77564"/>
    <w:rsid w:val="00A8275B"/>
    <w:rsid w:val="00A82CFA"/>
    <w:rsid w:val="00A82E41"/>
    <w:rsid w:val="00A84C46"/>
    <w:rsid w:val="00A85BFF"/>
    <w:rsid w:val="00A933B1"/>
    <w:rsid w:val="00A96917"/>
    <w:rsid w:val="00AA1227"/>
    <w:rsid w:val="00AA506F"/>
    <w:rsid w:val="00AB0921"/>
    <w:rsid w:val="00AB235D"/>
    <w:rsid w:val="00AB792A"/>
    <w:rsid w:val="00AC01BC"/>
    <w:rsid w:val="00AC1EE8"/>
    <w:rsid w:val="00AC5505"/>
    <w:rsid w:val="00AC6F10"/>
    <w:rsid w:val="00AD2A31"/>
    <w:rsid w:val="00AD3AA1"/>
    <w:rsid w:val="00AE2A40"/>
    <w:rsid w:val="00AF3824"/>
    <w:rsid w:val="00AF3AD1"/>
    <w:rsid w:val="00AF76DE"/>
    <w:rsid w:val="00B02C42"/>
    <w:rsid w:val="00B11101"/>
    <w:rsid w:val="00B1653C"/>
    <w:rsid w:val="00B17299"/>
    <w:rsid w:val="00B22F41"/>
    <w:rsid w:val="00B34D2D"/>
    <w:rsid w:val="00B34D83"/>
    <w:rsid w:val="00B360AC"/>
    <w:rsid w:val="00B37079"/>
    <w:rsid w:val="00B40D0E"/>
    <w:rsid w:val="00B47C94"/>
    <w:rsid w:val="00B5388B"/>
    <w:rsid w:val="00B572EF"/>
    <w:rsid w:val="00B575EE"/>
    <w:rsid w:val="00B62B23"/>
    <w:rsid w:val="00B65010"/>
    <w:rsid w:val="00B758E2"/>
    <w:rsid w:val="00B83DE7"/>
    <w:rsid w:val="00B87069"/>
    <w:rsid w:val="00B924EA"/>
    <w:rsid w:val="00B93F6E"/>
    <w:rsid w:val="00BA4B35"/>
    <w:rsid w:val="00BB59F3"/>
    <w:rsid w:val="00BB6606"/>
    <w:rsid w:val="00BB7D1A"/>
    <w:rsid w:val="00BC4019"/>
    <w:rsid w:val="00BC4579"/>
    <w:rsid w:val="00BD1921"/>
    <w:rsid w:val="00BD401E"/>
    <w:rsid w:val="00BD59F7"/>
    <w:rsid w:val="00BD5C68"/>
    <w:rsid w:val="00BD7FF9"/>
    <w:rsid w:val="00BE3CC4"/>
    <w:rsid w:val="00BE6CEE"/>
    <w:rsid w:val="00BF075D"/>
    <w:rsid w:val="00BF130E"/>
    <w:rsid w:val="00BF25C0"/>
    <w:rsid w:val="00BF2706"/>
    <w:rsid w:val="00BF51A5"/>
    <w:rsid w:val="00C06E98"/>
    <w:rsid w:val="00C10920"/>
    <w:rsid w:val="00C11BBA"/>
    <w:rsid w:val="00C16EAE"/>
    <w:rsid w:val="00C17EE1"/>
    <w:rsid w:val="00C2355C"/>
    <w:rsid w:val="00C24067"/>
    <w:rsid w:val="00C308B5"/>
    <w:rsid w:val="00C31B35"/>
    <w:rsid w:val="00C32EE8"/>
    <w:rsid w:val="00C41722"/>
    <w:rsid w:val="00C469EC"/>
    <w:rsid w:val="00C53789"/>
    <w:rsid w:val="00C53C4B"/>
    <w:rsid w:val="00C57BA8"/>
    <w:rsid w:val="00C57CDC"/>
    <w:rsid w:val="00C6771C"/>
    <w:rsid w:val="00C67CD7"/>
    <w:rsid w:val="00C73A04"/>
    <w:rsid w:val="00C7644B"/>
    <w:rsid w:val="00C820C8"/>
    <w:rsid w:val="00C824B2"/>
    <w:rsid w:val="00C84560"/>
    <w:rsid w:val="00C87224"/>
    <w:rsid w:val="00C96711"/>
    <w:rsid w:val="00C967F5"/>
    <w:rsid w:val="00CA66E1"/>
    <w:rsid w:val="00CC0568"/>
    <w:rsid w:val="00CC1384"/>
    <w:rsid w:val="00CD043C"/>
    <w:rsid w:val="00CD100B"/>
    <w:rsid w:val="00CD131F"/>
    <w:rsid w:val="00CD15BC"/>
    <w:rsid w:val="00CD222D"/>
    <w:rsid w:val="00CD3BA8"/>
    <w:rsid w:val="00CE3287"/>
    <w:rsid w:val="00CE354E"/>
    <w:rsid w:val="00CE5A7C"/>
    <w:rsid w:val="00CF0C2B"/>
    <w:rsid w:val="00CF1394"/>
    <w:rsid w:val="00CF52DB"/>
    <w:rsid w:val="00D01E13"/>
    <w:rsid w:val="00D06A2C"/>
    <w:rsid w:val="00D12294"/>
    <w:rsid w:val="00D12D16"/>
    <w:rsid w:val="00D21AA0"/>
    <w:rsid w:val="00D22571"/>
    <w:rsid w:val="00D22CF5"/>
    <w:rsid w:val="00D27C4B"/>
    <w:rsid w:val="00D27DB6"/>
    <w:rsid w:val="00D329B4"/>
    <w:rsid w:val="00D34796"/>
    <w:rsid w:val="00D364A3"/>
    <w:rsid w:val="00D37C69"/>
    <w:rsid w:val="00D37E63"/>
    <w:rsid w:val="00D43F91"/>
    <w:rsid w:val="00D454F3"/>
    <w:rsid w:val="00D54DBD"/>
    <w:rsid w:val="00D6056D"/>
    <w:rsid w:val="00D6470B"/>
    <w:rsid w:val="00D65C6B"/>
    <w:rsid w:val="00D67AE5"/>
    <w:rsid w:val="00D67EC1"/>
    <w:rsid w:val="00D813DD"/>
    <w:rsid w:val="00D834AB"/>
    <w:rsid w:val="00D90F25"/>
    <w:rsid w:val="00D92431"/>
    <w:rsid w:val="00D9356E"/>
    <w:rsid w:val="00D947D5"/>
    <w:rsid w:val="00DA6BAF"/>
    <w:rsid w:val="00DB622C"/>
    <w:rsid w:val="00DB6526"/>
    <w:rsid w:val="00DB76FA"/>
    <w:rsid w:val="00DC1DAD"/>
    <w:rsid w:val="00DD4F98"/>
    <w:rsid w:val="00DD5799"/>
    <w:rsid w:val="00DE1C55"/>
    <w:rsid w:val="00DE35E5"/>
    <w:rsid w:val="00DE615B"/>
    <w:rsid w:val="00DE7725"/>
    <w:rsid w:val="00E00C1B"/>
    <w:rsid w:val="00E05F4C"/>
    <w:rsid w:val="00E060F4"/>
    <w:rsid w:val="00E11F15"/>
    <w:rsid w:val="00E1273E"/>
    <w:rsid w:val="00E2418C"/>
    <w:rsid w:val="00E26FC9"/>
    <w:rsid w:val="00E270A4"/>
    <w:rsid w:val="00E302D7"/>
    <w:rsid w:val="00E30361"/>
    <w:rsid w:val="00E3321A"/>
    <w:rsid w:val="00E33AD7"/>
    <w:rsid w:val="00E4179E"/>
    <w:rsid w:val="00E520D9"/>
    <w:rsid w:val="00E64E31"/>
    <w:rsid w:val="00E706CA"/>
    <w:rsid w:val="00E71175"/>
    <w:rsid w:val="00E7236B"/>
    <w:rsid w:val="00E75E6A"/>
    <w:rsid w:val="00E8005B"/>
    <w:rsid w:val="00E834F3"/>
    <w:rsid w:val="00E8374C"/>
    <w:rsid w:val="00EB22A4"/>
    <w:rsid w:val="00EB7578"/>
    <w:rsid w:val="00EB77FF"/>
    <w:rsid w:val="00EC71F5"/>
    <w:rsid w:val="00EC7582"/>
    <w:rsid w:val="00ED2E82"/>
    <w:rsid w:val="00ED417B"/>
    <w:rsid w:val="00EF1562"/>
    <w:rsid w:val="00EF2146"/>
    <w:rsid w:val="00EF2B30"/>
    <w:rsid w:val="00EF3D47"/>
    <w:rsid w:val="00F03C60"/>
    <w:rsid w:val="00F074E5"/>
    <w:rsid w:val="00F07A94"/>
    <w:rsid w:val="00F1051C"/>
    <w:rsid w:val="00F10DE1"/>
    <w:rsid w:val="00F2165A"/>
    <w:rsid w:val="00F234D8"/>
    <w:rsid w:val="00F25FA0"/>
    <w:rsid w:val="00F2644C"/>
    <w:rsid w:val="00F27061"/>
    <w:rsid w:val="00F27107"/>
    <w:rsid w:val="00F36169"/>
    <w:rsid w:val="00F3678D"/>
    <w:rsid w:val="00F36C66"/>
    <w:rsid w:val="00F43729"/>
    <w:rsid w:val="00F50828"/>
    <w:rsid w:val="00F607D5"/>
    <w:rsid w:val="00F65D54"/>
    <w:rsid w:val="00F70501"/>
    <w:rsid w:val="00F70C27"/>
    <w:rsid w:val="00F83D0B"/>
    <w:rsid w:val="00F861BB"/>
    <w:rsid w:val="00F86E6B"/>
    <w:rsid w:val="00F91229"/>
    <w:rsid w:val="00F93AA4"/>
    <w:rsid w:val="00F95979"/>
    <w:rsid w:val="00F972CA"/>
    <w:rsid w:val="00FA0F9A"/>
    <w:rsid w:val="00FB1A91"/>
    <w:rsid w:val="00FB3C06"/>
    <w:rsid w:val="00FD300F"/>
    <w:rsid w:val="00FD3C15"/>
    <w:rsid w:val="00FD4B0D"/>
    <w:rsid w:val="00FD4E1B"/>
    <w:rsid w:val="00FD563E"/>
    <w:rsid w:val="00FD72CD"/>
    <w:rsid w:val="00FE28E9"/>
    <w:rsid w:val="00FF20BC"/>
    <w:rsid w:val="00FF29BC"/>
    <w:rsid w:val="00FF50D2"/>
    <w:rsid w:val="00FF5D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8B7"/>
  <w15:docId w15:val="{705EF047-DD11-49EE-8BD5-F19C043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31F"/>
    <w:pPr>
      <w:suppressAutoHyphens/>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Bull"/>
    <w:basedOn w:val="Normal"/>
    <w:link w:val="ListParagraphChar"/>
    <w:uiPriority w:val="34"/>
    <w:qFormat/>
    <w:pPr>
      <w:spacing w:after="200" w:line="276" w:lineRule="auto"/>
      <w:ind w:left="720"/>
    </w:pPr>
  </w:style>
  <w:style w:type="paragraph" w:styleId="BalloonText">
    <w:name w:val="Balloon Text"/>
    <w:basedOn w:val="Normal"/>
    <w:rPr>
      <w:rFonts w:ascii="Tahoma" w:hAnsi="Tahoma" w:cs="Tahoma"/>
      <w:sz w:val="16"/>
      <w:szCs w:val="16"/>
    </w:rPr>
  </w:style>
  <w:style w:type="character" w:customStyle="1" w:styleId="DebesliotekstasDiagrama">
    <w:name w:val="Debesėlio tekstas Diagrama"/>
    <w:basedOn w:val="DefaultParagraphFont"/>
    <w:rPr>
      <w:rFonts w:ascii="Tahoma" w:eastAsia="Times New Roman" w:hAnsi="Tahoma" w:cs="Tahoma"/>
      <w:sz w:val="16"/>
      <w:szCs w:val="16"/>
      <w:lang w:eastAsia="lt-LT"/>
    </w:rPr>
  </w:style>
  <w:style w:type="paragraph" w:styleId="Header">
    <w:name w:val="header"/>
    <w:basedOn w:val="Normal"/>
    <w:link w:val="HeaderChar"/>
    <w:uiPriority w:val="99"/>
    <w:pPr>
      <w:tabs>
        <w:tab w:val="center" w:pos="4819"/>
        <w:tab w:val="right" w:pos="9638"/>
      </w:tabs>
    </w:pPr>
  </w:style>
  <w:style w:type="character" w:customStyle="1" w:styleId="AntratsDiagrama">
    <w:name w:val="Antraštės Diagrama"/>
    <w:basedOn w:val="DefaultParagraphFont"/>
    <w:rPr>
      <w:rFonts w:ascii="Times New Roman" w:eastAsia="Times New Roman" w:hAnsi="Times New Roman" w:cs="Times New Roman"/>
      <w:sz w:val="24"/>
      <w:szCs w:val="24"/>
      <w:lang w:eastAsia="lt-LT"/>
    </w:rPr>
  </w:style>
  <w:style w:type="paragraph" w:styleId="Footer">
    <w:name w:val="footer"/>
    <w:basedOn w:val="Normal"/>
    <w:pPr>
      <w:tabs>
        <w:tab w:val="center" w:pos="4819"/>
        <w:tab w:val="right" w:pos="9638"/>
      </w:tabs>
    </w:pPr>
  </w:style>
  <w:style w:type="character" w:customStyle="1" w:styleId="PoratDiagrama">
    <w:name w:val="Poraštė Diagrama"/>
    <w:basedOn w:val="DefaultParagraphFont"/>
    <w:rPr>
      <w:rFonts w:ascii="Times New Roman" w:eastAsia="Times New Roman" w:hAnsi="Times New Roman" w:cs="Times New Roman"/>
      <w:sz w:val="24"/>
      <w:szCs w:val="24"/>
      <w:lang w:eastAsia="lt-LT"/>
    </w:rPr>
  </w:style>
  <w:style w:type="character" w:customStyle="1" w:styleId="blackcaption">
    <w:name w:val="black_caption"/>
    <w:basedOn w:val="DefaultParagraphFont"/>
  </w:style>
  <w:style w:type="paragraph" w:customStyle="1" w:styleId="tajtip">
    <w:name w:val="tajtip"/>
    <w:basedOn w:val="Normal"/>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DefaultParagraphFont"/>
    <w:uiPriority w:val="34"/>
    <w:qFormat/>
  </w:style>
  <w:style w:type="paragraph" w:styleId="Revision">
    <w:name w:val="Revision"/>
    <w:pPr>
      <w:suppressAutoHyphens/>
      <w:spacing w:after="0" w:line="240" w:lineRule="auto"/>
    </w:pPr>
    <w:rPr>
      <w:rFonts w:eastAsia="Times New Roman"/>
      <w:szCs w:val="24"/>
      <w:lang w:eastAsia="lt-LT"/>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KomentarotekstasDiagrama">
    <w:name w:val="Komentaro tekstas Diagrama"/>
    <w:basedOn w:val="DefaultParagraphFont"/>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Normal"/>
    <w:pPr>
      <w:spacing w:after="150"/>
    </w:pPr>
    <w:rPr>
      <w:lang w:val="en-US"/>
    </w:rPr>
  </w:style>
  <w:style w:type="character" w:styleId="Hyperlink">
    <w:name w:val="Hyperlink"/>
    <w:basedOn w:val="DefaultParagraphFont"/>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Strong">
    <w:name w:val="Strong"/>
    <w:basedOn w:val="DefaultParagraphFont"/>
    <w:rPr>
      <w:b/>
      <w:bCs/>
    </w:rPr>
  </w:style>
  <w:style w:type="character" w:customStyle="1" w:styleId="normal-h">
    <w:name w:val="normal-h"/>
    <w:basedOn w:val="DefaultParagraphFont"/>
  </w:style>
  <w:style w:type="character" w:customStyle="1" w:styleId="plaintext">
    <w:name w:val="plain_text"/>
    <w:basedOn w:val="DefaultParagraphFont"/>
  </w:style>
  <w:style w:type="character" w:styleId="Emphasis">
    <w:name w:val="Emphasis"/>
    <w:basedOn w:val="DefaultParagraphFont"/>
    <w:rPr>
      <w:i/>
      <w:iCs/>
    </w:rPr>
  </w:style>
  <w:style w:type="paragraph" w:styleId="NormalWeb">
    <w:name w:val="Normal (Web)"/>
    <w:basedOn w:val="Normal"/>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Normal"/>
    <w:pPr>
      <w:suppressAutoHyphens w:val="0"/>
    </w:pPr>
    <w:rPr>
      <w:sz w:val="20"/>
      <w:szCs w:val="20"/>
    </w:rPr>
  </w:style>
  <w:style w:type="character" w:customStyle="1" w:styleId="CommentTextChar">
    <w:name w:val="Comment Text Char"/>
    <w:basedOn w:val="DefaultParagraphFont"/>
    <w:rPr>
      <w:sz w:val="20"/>
      <w:szCs w:val="20"/>
    </w:rPr>
  </w:style>
  <w:style w:type="character" w:customStyle="1" w:styleId="CommentReference1">
    <w:name w:val="Comment Reference1"/>
    <w:basedOn w:val="DefaultParagraphFont"/>
    <w:rPr>
      <w:sz w:val="16"/>
      <w:szCs w:val="16"/>
    </w:rPr>
  </w:style>
  <w:style w:type="character" w:styleId="UnresolvedMention">
    <w:name w:val="Unresolved Mention"/>
    <w:basedOn w:val="DefaultParagraphFont"/>
    <w:uiPriority w:val="99"/>
    <w:semiHidden/>
    <w:unhideWhenUsed/>
    <w:rsid w:val="00C67CD7"/>
    <w:rPr>
      <w:color w:val="605E5C"/>
      <w:shd w:val="clear" w:color="auto" w:fill="E1DFDD"/>
    </w:rPr>
  </w:style>
  <w:style w:type="character" w:customStyle="1" w:styleId="eop">
    <w:name w:val="eop"/>
    <w:basedOn w:val="DefaultParagraphFont"/>
    <w:rsid w:val="00894DCC"/>
  </w:style>
  <w:style w:type="character" w:customStyle="1" w:styleId="HeaderChar">
    <w:name w:val="Header Char"/>
    <w:basedOn w:val="DefaultParagraphFont"/>
    <w:link w:val="Header"/>
    <w:uiPriority w:val="99"/>
    <w:rsid w:val="00E11F15"/>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Bull Char"/>
    <w:link w:val="ListParagraph"/>
    <w:uiPriority w:val="34"/>
    <w:qFormat/>
    <w:locked/>
    <w:rsid w:val="00464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168102130">
      <w:bodyDiv w:val="1"/>
      <w:marLeft w:val="0"/>
      <w:marRight w:val="0"/>
      <w:marTop w:val="0"/>
      <w:marBottom w:val="0"/>
      <w:divBdr>
        <w:top w:val="none" w:sz="0" w:space="0" w:color="auto"/>
        <w:left w:val="none" w:sz="0" w:space="0" w:color="auto"/>
        <w:bottom w:val="none" w:sz="0" w:space="0" w:color="auto"/>
        <w:right w:val="none" w:sz="0" w:space="0" w:color="auto"/>
      </w:divBdr>
    </w:div>
    <w:div w:id="328825662">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 w:id="354498866">
      <w:bodyDiv w:val="1"/>
      <w:marLeft w:val="0"/>
      <w:marRight w:val="0"/>
      <w:marTop w:val="0"/>
      <w:marBottom w:val="0"/>
      <w:divBdr>
        <w:top w:val="none" w:sz="0" w:space="0" w:color="auto"/>
        <w:left w:val="none" w:sz="0" w:space="0" w:color="auto"/>
        <w:bottom w:val="none" w:sz="0" w:space="0" w:color="auto"/>
        <w:right w:val="none" w:sz="0" w:space="0" w:color="auto"/>
      </w:divBdr>
      <w:divsChild>
        <w:div w:id="1590583863">
          <w:marLeft w:val="0"/>
          <w:marRight w:val="0"/>
          <w:marTop w:val="0"/>
          <w:marBottom w:val="0"/>
          <w:divBdr>
            <w:top w:val="none" w:sz="0" w:space="0" w:color="auto"/>
            <w:left w:val="none" w:sz="0" w:space="0" w:color="auto"/>
            <w:bottom w:val="none" w:sz="0" w:space="0" w:color="auto"/>
            <w:right w:val="none" w:sz="0" w:space="0" w:color="auto"/>
          </w:divBdr>
        </w:div>
        <w:div w:id="37436407">
          <w:marLeft w:val="0"/>
          <w:marRight w:val="0"/>
          <w:marTop w:val="0"/>
          <w:marBottom w:val="0"/>
          <w:divBdr>
            <w:top w:val="none" w:sz="0" w:space="0" w:color="auto"/>
            <w:left w:val="none" w:sz="0" w:space="0" w:color="auto"/>
            <w:bottom w:val="none" w:sz="0" w:space="0" w:color="auto"/>
            <w:right w:val="none" w:sz="0" w:space="0" w:color="auto"/>
          </w:divBdr>
        </w:div>
        <w:div w:id="1950773897">
          <w:marLeft w:val="0"/>
          <w:marRight w:val="0"/>
          <w:marTop w:val="0"/>
          <w:marBottom w:val="0"/>
          <w:divBdr>
            <w:top w:val="none" w:sz="0" w:space="0" w:color="auto"/>
            <w:left w:val="none" w:sz="0" w:space="0" w:color="auto"/>
            <w:bottom w:val="none" w:sz="0" w:space="0" w:color="auto"/>
            <w:right w:val="none" w:sz="0" w:space="0" w:color="auto"/>
          </w:divBdr>
        </w:div>
      </w:divsChild>
    </w:div>
    <w:div w:id="472526239">
      <w:bodyDiv w:val="1"/>
      <w:marLeft w:val="0"/>
      <w:marRight w:val="0"/>
      <w:marTop w:val="0"/>
      <w:marBottom w:val="0"/>
      <w:divBdr>
        <w:top w:val="none" w:sz="0" w:space="0" w:color="auto"/>
        <w:left w:val="none" w:sz="0" w:space="0" w:color="auto"/>
        <w:bottom w:val="none" w:sz="0" w:space="0" w:color="auto"/>
        <w:right w:val="none" w:sz="0" w:space="0" w:color="auto"/>
      </w:divBdr>
    </w:div>
    <w:div w:id="594483726">
      <w:bodyDiv w:val="1"/>
      <w:marLeft w:val="0"/>
      <w:marRight w:val="0"/>
      <w:marTop w:val="0"/>
      <w:marBottom w:val="0"/>
      <w:divBdr>
        <w:top w:val="none" w:sz="0" w:space="0" w:color="auto"/>
        <w:left w:val="none" w:sz="0" w:space="0" w:color="auto"/>
        <w:bottom w:val="none" w:sz="0" w:space="0" w:color="auto"/>
        <w:right w:val="none" w:sz="0" w:space="0" w:color="auto"/>
      </w:divBdr>
    </w:div>
    <w:div w:id="1054810903">
      <w:bodyDiv w:val="1"/>
      <w:marLeft w:val="0"/>
      <w:marRight w:val="0"/>
      <w:marTop w:val="0"/>
      <w:marBottom w:val="0"/>
      <w:divBdr>
        <w:top w:val="none" w:sz="0" w:space="0" w:color="auto"/>
        <w:left w:val="none" w:sz="0" w:space="0" w:color="auto"/>
        <w:bottom w:val="none" w:sz="0" w:space="0" w:color="auto"/>
        <w:right w:val="none" w:sz="0" w:space="0" w:color="auto"/>
      </w:divBdr>
    </w:div>
    <w:div w:id="1086725099">
      <w:bodyDiv w:val="1"/>
      <w:marLeft w:val="0"/>
      <w:marRight w:val="0"/>
      <w:marTop w:val="0"/>
      <w:marBottom w:val="0"/>
      <w:divBdr>
        <w:top w:val="none" w:sz="0" w:space="0" w:color="auto"/>
        <w:left w:val="none" w:sz="0" w:space="0" w:color="auto"/>
        <w:bottom w:val="none" w:sz="0" w:space="0" w:color="auto"/>
        <w:right w:val="none" w:sz="0" w:space="0" w:color="auto"/>
      </w:divBdr>
    </w:div>
    <w:div w:id="1323043772">
      <w:bodyDiv w:val="1"/>
      <w:marLeft w:val="0"/>
      <w:marRight w:val="0"/>
      <w:marTop w:val="0"/>
      <w:marBottom w:val="0"/>
      <w:divBdr>
        <w:top w:val="none" w:sz="0" w:space="0" w:color="auto"/>
        <w:left w:val="none" w:sz="0" w:space="0" w:color="auto"/>
        <w:bottom w:val="none" w:sz="0" w:space="0" w:color="auto"/>
        <w:right w:val="none" w:sz="0" w:space="0" w:color="auto"/>
      </w:divBdr>
    </w:div>
    <w:div w:id="1799646273">
      <w:bodyDiv w:val="1"/>
      <w:marLeft w:val="0"/>
      <w:marRight w:val="0"/>
      <w:marTop w:val="0"/>
      <w:marBottom w:val="0"/>
      <w:divBdr>
        <w:top w:val="none" w:sz="0" w:space="0" w:color="auto"/>
        <w:left w:val="none" w:sz="0" w:space="0" w:color="auto"/>
        <w:bottom w:val="none" w:sz="0" w:space="0" w:color="auto"/>
        <w:right w:val="none" w:sz="0" w:space="0" w:color="auto"/>
      </w:divBdr>
      <w:divsChild>
        <w:div w:id="220949217">
          <w:marLeft w:val="0"/>
          <w:marRight w:val="0"/>
          <w:marTop w:val="0"/>
          <w:marBottom w:val="0"/>
          <w:divBdr>
            <w:top w:val="none" w:sz="0" w:space="0" w:color="auto"/>
            <w:left w:val="none" w:sz="0" w:space="0" w:color="auto"/>
            <w:bottom w:val="none" w:sz="0" w:space="0" w:color="auto"/>
            <w:right w:val="none" w:sz="0" w:space="0" w:color="auto"/>
          </w:divBdr>
          <w:divsChild>
            <w:div w:id="1016423729">
              <w:marLeft w:val="0"/>
              <w:marRight w:val="0"/>
              <w:marTop w:val="0"/>
              <w:marBottom w:val="0"/>
              <w:divBdr>
                <w:top w:val="none" w:sz="0" w:space="0" w:color="auto"/>
                <w:left w:val="none" w:sz="0" w:space="0" w:color="auto"/>
                <w:bottom w:val="none" w:sz="0" w:space="0" w:color="auto"/>
                <w:right w:val="none" w:sz="0" w:space="0" w:color="auto"/>
              </w:divBdr>
            </w:div>
            <w:div w:id="566576140">
              <w:marLeft w:val="0"/>
              <w:marRight w:val="0"/>
              <w:marTop w:val="0"/>
              <w:marBottom w:val="0"/>
              <w:divBdr>
                <w:top w:val="none" w:sz="0" w:space="0" w:color="auto"/>
                <w:left w:val="none" w:sz="0" w:space="0" w:color="auto"/>
                <w:bottom w:val="none" w:sz="0" w:space="0" w:color="auto"/>
                <w:right w:val="none" w:sz="0" w:space="0" w:color="auto"/>
              </w:divBdr>
            </w:div>
            <w:div w:id="67823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nfolex.lt/tp/2074853" TargetMode="External"/><Relationship Id="rId4" Type="http://schemas.openxmlformats.org/officeDocument/2006/relationships/settings" Target="settings.xml"/><Relationship Id="rId9" Type="http://schemas.openxmlformats.org/officeDocument/2006/relationships/hyperlink" Target="https://www.infolex.lt/ta/7755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58977-9F60-41F8-94B5-C7F651664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12485</Words>
  <Characters>71166</Characters>
  <Application>Microsoft Office Word</Application>
  <DocSecurity>0</DocSecurity>
  <Lines>593</Lines>
  <Paragraphs>166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Monika Vanagė</cp:lastModifiedBy>
  <cp:revision>2</cp:revision>
  <cp:lastPrinted>2024-06-19T06:18:00Z</cp:lastPrinted>
  <dcterms:created xsi:type="dcterms:W3CDTF">2024-06-27T12:09:00Z</dcterms:created>
  <dcterms:modified xsi:type="dcterms:W3CDTF">2024-06-27T12:09:00Z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92a692868b147a885735befb086660a202406271508226">
    <vt:lpwstr>vZky47Lu1plyeE8gRIffxW+6I8M=</vt:lpwstr>
  </property>
</Properties>
</file>