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669EE" w14:textId="52507726" w:rsidR="00123EE2" w:rsidRPr="00034EDF" w:rsidRDefault="00A80C8A">
      <w:pPr>
        <w:ind w:left="5103"/>
      </w:pPr>
      <w:r w:rsidRPr="00034EDF">
        <w:t>Civilinė byla Nr. </w:t>
      </w:r>
      <w:r w:rsidR="008D2DD4" w:rsidRPr="00034EDF">
        <w:t>e3K-3-152-1120/2024</w:t>
      </w:r>
    </w:p>
    <w:p w14:paraId="35FA9DB0" w14:textId="28A7CC54" w:rsidR="00123EE2" w:rsidRPr="00034EDF" w:rsidRDefault="00A80C8A">
      <w:pPr>
        <w:ind w:left="5103"/>
        <w:rPr>
          <w:bCs/>
          <w:color w:val="000000"/>
        </w:rPr>
      </w:pPr>
      <w:r w:rsidRPr="00034EDF">
        <w:t>Teisminio proceso Nr.</w:t>
      </w:r>
      <w:r w:rsidRPr="00034EDF">
        <w:rPr>
          <w:rFonts w:eastAsia="Calibri"/>
        </w:rPr>
        <w:t> </w:t>
      </w:r>
      <w:r w:rsidR="008D2DD4" w:rsidRPr="00034EDF">
        <w:rPr>
          <w:rFonts w:eastAsia="Calibri"/>
        </w:rPr>
        <w:t>2-68-3-10999-2023-4</w:t>
      </w:r>
    </w:p>
    <w:p w14:paraId="6A8034B0" w14:textId="72E12D0D" w:rsidR="00123EE2" w:rsidRDefault="00A80C8A">
      <w:pPr>
        <w:ind w:left="5103"/>
        <w:rPr>
          <w:color w:val="000000"/>
        </w:rPr>
      </w:pPr>
      <w:r w:rsidRPr="00034EDF">
        <w:t xml:space="preserve">Procesinio sprendimo kategorijos: </w:t>
      </w:r>
      <w:r w:rsidR="002D590E" w:rsidRPr="00034EDF">
        <w:rPr>
          <w:color w:val="000000"/>
        </w:rPr>
        <w:t>3.1.2.2.5; 3.6.1.2</w:t>
      </w:r>
    </w:p>
    <w:p w14:paraId="59C8131D" w14:textId="6CE770A6" w:rsidR="00024440" w:rsidRPr="00034EDF" w:rsidRDefault="00024440">
      <w:pPr>
        <w:ind w:left="5103"/>
      </w:pPr>
      <w:r>
        <w:t>(S)</w:t>
      </w:r>
    </w:p>
    <w:p w14:paraId="53723647" w14:textId="77777777" w:rsidR="00123EE2" w:rsidRPr="00034EDF" w:rsidRDefault="00123EE2">
      <w:pPr>
        <w:jc w:val="right"/>
      </w:pPr>
    </w:p>
    <w:p w14:paraId="5F9922AC" w14:textId="5A25A275" w:rsidR="00123EE2" w:rsidRPr="00034EDF" w:rsidRDefault="001B0729">
      <w:pPr>
        <w:jc w:val="center"/>
      </w:pPr>
      <w:r w:rsidRPr="00034EDF">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034EDF" w:rsidRDefault="00123EE2">
      <w:pPr>
        <w:jc w:val="center"/>
      </w:pPr>
    </w:p>
    <w:p w14:paraId="342ABACB" w14:textId="77777777" w:rsidR="00123EE2" w:rsidRPr="00034EDF" w:rsidRDefault="00A80C8A">
      <w:pPr>
        <w:keepNext/>
        <w:jc w:val="center"/>
        <w:outlineLvl w:val="0"/>
        <w:rPr>
          <w:b/>
          <w:bCs/>
          <w:sz w:val="32"/>
        </w:rPr>
      </w:pPr>
      <w:r w:rsidRPr="00034EDF">
        <w:rPr>
          <w:b/>
          <w:bCs/>
          <w:sz w:val="32"/>
        </w:rPr>
        <w:t>LIETUVOS AUKŠČIAUSIASIS TEISMAS</w:t>
      </w:r>
    </w:p>
    <w:p w14:paraId="664CC8D2" w14:textId="77777777" w:rsidR="00123EE2" w:rsidRPr="00034EDF" w:rsidRDefault="00123EE2">
      <w:pPr>
        <w:keepNext/>
        <w:outlineLvl w:val="0"/>
        <w:rPr>
          <w:b/>
          <w:bCs/>
          <w:sz w:val="32"/>
        </w:rPr>
      </w:pPr>
    </w:p>
    <w:p w14:paraId="2AC120A5" w14:textId="77777777" w:rsidR="00123EE2" w:rsidRPr="00034EDF" w:rsidRDefault="00A80C8A">
      <w:pPr>
        <w:keepNext/>
        <w:jc w:val="center"/>
        <w:outlineLvl w:val="0"/>
        <w:rPr>
          <w:b/>
          <w:bCs/>
          <w:sz w:val="32"/>
        </w:rPr>
      </w:pPr>
      <w:r w:rsidRPr="00034EDF">
        <w:rPr>
          <w:b/>
          <w:bCs/>
          <w:sz w:val="32"/>
        </w:rPr>
        <w:t>N U T A R T I S</w:t>
      </w:r>
    </w:p>
    <w:p w14:paraId="4E0E1330" w14:textId="77777777" w:rsidR="00123EE2" w:rsidRPr="00034EDF" w:rsidRDefault="00A80C8A">
      <w:pPr>
        <w:keepNext/>
        <w:jc w:val="center"/>
        <w:outlineLvl w:val="1"/>
        <w:rPr>
          <w:sz w:val="28"/>
        </w:rPr>
      </w:pPr>
      <w:r w:rsidRPr="00034EDF">
        <w:t>LIETUVOS RESPUBLIKOS VARDU</w:t>
      </w:r>
    </w:p>
    <w:p w14:paraId="0D02E997" w14:textId="77777777" w:rsidR="00123EE2" w:rsidRPr="00034EDF" w:rsidRDefault="00123EE2"/>
    <w:p w14:paraId="43C7EE77" w14:textId="07E68B2F" w:rsidR="00123EE2" w:rsidRPr="00034EDF" w:rsidRDefault="00A80C8A">
      <w:pPr>
        <w:keepNext/>
        <w:jc w:val="center"/>
        <w:outlineLvl w:val="0"/>
        <w:rPr>
          <w:bCs/>
        </w:rPr>
      </w:pPr>
      <w:r w:rsidRPr="00034EDF">
        <w:rPr>
          <w:bCs/>
        </w:rPr>
        <w:t>20</w:t>
      </w:r>
      <w:r w:rsidR="008D2DD4" w:rsidRPr="00034EDF">
        <w:rPr>
          <w:bCs/>
        </w:rPr>
        <w:t>24</w:t>
      </w:r>
      <w:r w:rsidRPr="00034EDF">
        <w:rPr>
          <w:bCs/>
        </w:rPr>
        <w:t xml:space="preserve"> m. </w:t>
      </w:r>
      <w:r w:rsidR="008A01A7" w:rsidRPr="00034EDF">
        <w:rPr>
          <w:bCs/>
        </w:rPr>
        <w:t>spalio</w:t>
      </w:r>
      <w:r w:rsidR="008938CE" w:rsidRPr="00034EDF">
        <w:rPr>
          <w:bCs/>
        </w:rPr>
        <w:t xml:space="preserve"> </w:t>
      </w:r>
      <w:r w:rsidR="008A01A7" w:rsidRPr="00034EDF">
        <w:rPr>
          <w:bCs/>
          <w:lang w:val="en-US"/>
        </w:rPr>
        <w:t>2</w:t>
      </w:r>
      <w:r w:rsidRPr="00034EDF">
        <w:rPr>
          <w:bCs/>
        </w:rPr>
        <w:t xml:space="preserve"> d.</w:t>
      </w:r>
    </w:p>
    <w:p w14:paraId="6814364D" w14:textId="77777777" w:rsidR="00123EE2" w:rsidRPr="00034EDF" w:rsidRDefault="00A80C8A">
      <w:pPr>
        <w:jc w:val="center"/>
      </w:pPr>
      <w:r w:rsidRPr="00034EDF">
        <w:t>Vilnius</w:t>
      </w:r>
    </w:p>
    <w:p w14:paraId="6A741777" w14:textId="77777777" w:rsidR="00123EE2" w:rsidRPr="00034EDF" w:rsidRDefault="00123EE2"/>
    <w:p w14:paraId="02B514DD" w14:textId="407678C0" w:rsidR="00123EE2" w:rsidRPr="00034EDF" w:rsidRDefault="00A80C8A">
      <w:pPr>
        <w:ind w:firstLine="720"/>
        <w:jc w:val="both"/>
      </w:pPr>
      <w:r w:rsidRPr="00034EDF">
        <w:t xml:space="preserve">Lietuvos Aukščiausiojo Teismo Civilinių bylų skyriaus teisėjų kolegija, susidedanti iš teisėjų </w:t>
      </w:r>
      <w:r w:rsidR="008D2DD4" w:rsidRPr="00034EDF">
        <w:t>Danguolės Bublienės</w:t>
      </w:r>
      <w:r w:rsidRPr="00034EDF">
        <w:t xml:space="preserve"> (kolegijos pirminink</w:t>
      </w:r>
      <w:r w:rsidR="008D2DD4" w:rsidRPr="00034EDF">
        <w:t>ė</w:t>
      </w:r>
      <w:r w:rsidRPr="00034EDF">
        <w:t xml:space="preserve">), </w:t>
      </w:r>
      <w:r w:rsidR="008D2DD4" w:rsidRPr="00034EDF">
        <w:t>Algirdo Taminsko</w:t>
      </w:r>
      <w:r w:rsidRPr="00034EDF">
        <w:t xml:space="preserve"> ir </w:t>
      </w:r>
      <w:r w:rsidR="008D2DD4" w:rsidRPr="00034EDF">
        <w:t>Agnės Tikniūtės</w:t>
      </w:r>
      <w:r w:rsidRPr="00034EDF">
        <w:t xml:space="preserve"> (pranešėja),</w:t>
      </w:r>
    </w:p>
    <w:p w14:paraId="77EE1396" w14:textId="786DF1B9" w:rsidR="00123EE2" w:rsidRPr="00034EDF" w:rsidRDefault="00A80C8A">
      <w:pPr>
        <w:ind w:firstLine="720"/>
        <w:jc w:val="both"/>
        <w:rPr>
          <w:iCs/>
        </w:rPr>
      </w:pPr>
      <w:r w:rsidRPr="00034EDF">
        <w:t xml:space="preserve">teismo posėdyje kasacine rašytinio proceso tvarka išnagrinėjo civilinę bylą pagal </w:t>
      </w:r>
      <w:r w:rsidRPr="00034EDF">
        <w:rPr>
          <w:b/>
        </w:rPr>
        <w:t>ieškov</w:t>
      </w:r>
      <w:r w:rsidR="008D2DD4" w:rsidRPr="00034EDF">
        <w:rPr>
          <w:b/>
        </w:rPr>
        <w:t xml:space="preserve">ės uždarosios akcinės bendrovės „Paysera LT“ </w:t>
      </w:r>
      <w:r w:rsidRPr="00034EDF">
        <w:t xml:space="preserve">kasacinį skundą dėl </w:t>
      </w:r>
      <w:r w:rsidR="008D2DD4" w:rsidRPr="00034EDF">
        <w:t>Vilniaus apygardos teismo 2023</w:t>
      </w:r>
      <w:r w:rsidR="000201D7" w:rsidRPr="00034EDF">
        <w:t> </w:t>
      </w:r>
      <w:r w:rsidR="008D2DD4" w:rsidRPr="00034EDF">
        <w:t>m. lapkričio 30 d. nutarties</w:t>
      </w:r>
      <w:r w:rsidRPr="00034EDF">
        <w:t xml:space="preserve"> peržiūrėjimo civilinėje byloje pagal </w:t>
      </w:r>
      <w:r w:rsidR="008D2DD4" w:rsidRPr="00034EDF">
        <w:rPr>
          <w:iCs/>
        </w:rPr>
        <w:t>ieškovės uždarosios akcinės bendrovės „Paysera LT“ ieškinį atsakovei uždarajai akcinei bendrovei „Finansinės paslaugos „Contis“ dėl sutarties vykdymo sustabdymo ir teisės nutraukti sutartį pripažinimo neteisėt</w:t>
      </w:r>
      <w:r w:rsidR="001C0735" w:rsidRPr="00034EDF">
        <w:rPr>
          <w:iCs/>
        </w:rPr>
        <w:t>ais</w:t>
      </w:r>
      <w:r w:rsidR="008D2DD4" w:rsidRPr="00034EDF">
        <w:rPr>
          <w:iCs/>
        </w:rPr>
        <w:t xml:space="preserve"> bei negaliojanči</w:t>
      </w:r>
      <w:r w:rsidR="001C0735" w:rsidRPr="00034EDF">
        <w:rPr>
          <w:iCs/>
        </w:rPr>
        <w:t>ais</w:t>
      </w:r>
      <w:r w:rsidR="001E7D1F" w:rsidRPr="00034EDF">
        <w:rPr>
          <w:iCs/>
        </w:rPr>
        <w:t>.</w:t>
      </w:r>
    </w:p>
    <w:p w14:paraId="03724F45" w14:textId="0D66DBA4" w:rsidR="00123EE2" w:rsidRPr="00034EDF" w:rsidRDefault="00123EE2">
      <w:pPr>
        <w:ind w:firstLine="720"/>
        <w:jc w:val="both"/>
      </w:pPr>
    </w:p>
    <w:p w14:paraId="5357B227" w14:textId="77777777" w:rsidR="00123EE2" w:rsidRPr="00034EDF" w:rsidRDefault="00A80C8A">
      <w:pPr>
        <w:ind w:firstLine="720"/>
        <w:jc w:val="both"/>
        <w:rPr>
          <w:b/>
          <w:bCs/>
        </w:rPr>
      </w:pPr>
      <w:r w:rsidRPr="00034EDF">
        <w:t xml:space="preserve">Teisėjų kolegija </w:t>
      </w:r>
    </w:p>
    <w:p w14:paraId="665A62D3" w14:textId="5C1E770A" w:rsidR="00123EE2" w:rsidRPr="00034EDF" w:rsidRDefault="00123EE2">
      <w:pPr>
        <w:ind w:firstLine="720"/>
        <w:jc w:val="both"/>
        <w:rPr>
          <w:b/>
          <w:bCs/>
        </w:rPr>
      </w:pPr>
    </w:p>
    <w:p w14:paraId="348E1EA1" w14:textId="77777777" w:rsidR="00123EE2" w:rsidRPr="00034EDF" w:rsidRDefault="00A80C8A">
      <w:pPr>
        <w:jc w:val="both"/>
      </w:pPr>
      <w:r w:rsidRPr="00034EDF">
        <w:t>n u s t a t ė :</w:t>
      </w:r>
    </w:p>
    <w:p w14:paraId="4B39E87E" w14:textId="203300AA" w:rsidR="00123EE2" w:rsidRPr="00034EDF" w:rsidRDefault="00123EE2">
      <w:pPr>
        <w:ind w:left="726" w:hanging="6"/>
        <w:jc w:val="both"/>
      </w:pPr>
    </w:p>
    <w:p w14:paraId="07991A18" w14:textId="77777777" w:rsidR="00123EE2" w:rsidRPr="00034EDF" w:rsidRDefault="00A80C8A">
      <w:pPr>
        <w:spacing w:after="120"/>
        <w:jc w:val="center"/>
      </w:pPr>
      <w:r w:rsidRPr="00034EDF">
        <w:t>I. Ginčo esmė</w:t>
      </w:r>
    </w:p>
    <w:p w14:paraId="178AC8E9" w14:textId="14116CED" w:rsidR="00123EE2" w:rsidRPr="00034EDF" w:rsidRDefault="00123EE2">
      <w:pPr>
        <w:spacing w:after="120"/>
        <w:ind w:firstLine="720"/>
      </w:pPr>
    </w:p>
    <w:p w14:paraId="424A6358" w14:textId="5A55B335" w:rsidR="00123EE2" w:rsidRPr="00034EDF" w:rsidRDefault="00A80C8A" w:rsidP="004C019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034EDF">
        <w:rPr>
          <w:rFonts w:ascii="Times New Roman" w:hAnsi="Times New Roman"/>
          <w:sz w:val="24"/>
          <w:szCs w:val="24"/>
        </w:rPr>
        <w:t xml:space="preserve">Kasacinėje byloje sprendžiama dėl </w:t>
      </w:r>
      <w:r w:rsidR="008938CE" w:rsidRPr="00034EDF">
        <w:rPr>
          <w:rFonts w:ascii="Times New Roman" w:hAnsi="Times New Roman"/>
          <w:sz w:val="24"/>
          <w:szCs w:val="24"/>
        </w:rPr>
        <w:t xml:space="preserve">proceso teisės normų, reglamentuojančių </w:t>
      </w:r>
      <w:r w:rsidR="00E822DA" w:rsidRPr="00034EDF">
        <w:rPr>
          <w:rFonts w:ascii="Times New Roman" w:hAnsi="Times New Roman"/>
          <w:sz w:val="24"/>
          <w:szCs w:val="24"/>
        </w:rPr>
        <w:t>ginčo tarptautin</w:t>
      </w:r>
      <w:r w:rsidR="009C5624">
        <w:rPr>
          <w:rFonts w:ascii="Times New Roman" w:hAnsi="Times New Roman"/>
          <w:sz w:val="24"/>
          <w:szCs w:val="24"/>
        </w:rPr>
        <w:t>į</w:t>
      </w:r>
      <w:r w:rsidR="00E822DA" w:rsidRPr="00034EDF">
        <w:rPr>
          <w:rFonts w:ascii="Times New Roman" w:hAnsi="Times New Roman"/>
          <w:sz w:val="24"/>
          <w:szCs w:val="24"/>
        </w:rPr>
        <w:t xml:space="preserve"> teismingumą esant sudarytam susitarimui dėl jurisdikcijos</w:t>
      </w:r>
      <w:r w:rsidR="008938CE" w:rsidRPr="00034EDF">
        <w:rPr>
          <w:rFonts w:ascii="Times New Roman" w:hAnsi="Times New Roman"/>
          <w:sz w:val="24"/>
          <w:szCs w:val="24"/>
        </w:rPr>
        <w:t>,</w:t>
      </w:r>
      <w:r w:rsidRPr="00034EDF">
        <w:rPr>
          <w:rFonts w:ascii="Times New Roman" w:hAnsi="Times New Roman"/>
          <w:sz w:val="24"/>
          <w:szCs w:val="24"/>
        </w:rPr>
        <w:t xml:space="preserve"> aiškinimo ir taikymo.</w:t>
      </w:r>
    </w:p>
    <w:p w14:paraId="00FA15B2" w14:textId="7911F0CD" w:rsidR="008D3A24" w:rsidRPr="00034EDF" w:rsidRDefault="008D3A24" w:rsidP="008D3A24">
      <w:pPr>
        <w:pStyle w:val="Sraopastraipa"/>
        <w:numPr>
          <w:ilvl w:val="0"/>
          <w:numId w:val="3"/>
        </w:numPr>
        <w:spacing w:after="120" w:line="240" w:lineRule="auto"/>
        <w:contextualSpacing w:val="0"/>
        <w:jc w:val="both"/>
        <w:rPr>
          <w:rFonts w:ascii="Times New Roman" w:hAnsi="Times New Roman"/>
          <w:sz w:val="24"/>
          <w:szCs w:val="24"/>
        </w:rPr>
      </w:pPr>
      <w:r w:rsidRPr="00034EDF">
        <w:rPr>
          <w:rFonts w:ascii="Times New Roman" w:hAnsi="Times New Roman"/>
          <w:sz w:val="24"/>
          <w:szCs w:val="24"/>
        </w:rPr>
        <w:t>Ieškovė UAB „Paysera LT“ prašė pripažinti atsakovės UAB „Finansinės paslaugos „Contis“ 2023</w:t>
      </w:r>
      <w:r w:rsidR="008A01A7" w:rsidRPr="00034EDF">
        <w:rPr>
          <w:rFonts w:ascii="Times New Roman" w:hAnsi="Times New Roman"/>
          <w:sz w:val="24"/>
          <w:szCs w:val="24"/>
        </w:rPr>
        <w:t> </w:t>
      </w:r>
      <w:r w:rsidRPr="00034EDF">
        <w:rPr>
          <w:rFonts w:ascii="Times New Roman" w:hAnsi="Times New Roman"/>
          <w:sz w:val="24"/>
          <w:szCs w:val="24"/>
        </w:rPr>
        <w:t xml:space="preserve">m. liepos 11 d. pranešimą dėl 2020 m. spalio 19 d. sutarties (toliau – ir Sutartis) vykdymo sustabdymo ir teisės nutraukti 2020 m. spalio 19 d. sutartį </w:t>
      </w:r>
      <w:r w:rsidR="00F92FCA" w:rsidRPr="00034EDF">
        <w:rPr>
          <w:rFonts w:ascii="Times New Roman" w:hAnsi="Times New Roman"/>
          <w:sz w:val="24"/>
          <w:szCs w:val="24"/>
        </w:rPr>
        <w:t xml:space="preserve">pripažinimo </w:t>
      </w:r>
      <w:r w:rsidRPr="00034EDF">
        <w:rPr>
          <w:rFonts w:ascii="Times New Roman" w:hAnsi="Times New Roman"/>
          <w:sz w:val="24"/>
          <w:szCs w:val="24"/>
        </w:rPr>
        <w:t>neteisėt</w:t>
      </w:r>
      <w:r w:rsidR="008B53A5" w:rsidRPr="00034EDF">
        <w:rPr>
          <w:rFonts w:ascii="Times New Roman" w:hAnsi="Times New Roman"/>
          <w:sz w:val="24"/>
          <w:szCs w:val="24"/>
        </w:rPr>
        <w:t>u</w:t>
      </w:r>
      <w:r w:rsidRPr="00034EDF">
        <w:rPr>
          <w:rFonts w:ascii="Times New Roman" w:hAnsi="Times New Roman"/>
          <w:sz w:val="24"/>
          <w:szCs w:val="24"/>
        </w:rPr>
        <w:t xml:space="preserve"> bei negaliojanči</w:t>
      </w:r>
      <w:r w:rsidR="008B53A5" w:rsidRPr="00034EDF">
        <w:rPr>
          <w:rFonts w:ascii="Times New Roman" w:hAnsi="Times New Roman"/>
          <w:sz w:val="24"/>
          <w:szCs w:val="24"/>
        </w:rPr>
        <w:t>u</w:t>
      </w:r>
      <w:r w:rsidR="001C0735" w:rsidRPr="00034EDF">
        <w:rPr>
          <w:rFonts w:ascii="Times New Roman" w:hAnsi="Times New Roman"/>
          <w:sz w:val="24"/>
          <w:szCs w:val="24"/>
        </w:rPr>
        <w:t>.</w:t>
      </w:r>
    </w:p>
    <w:p w14:paraId="2350CF93" w14:textId="40576B92" w:rsidR="00123EE2" w:rsidRPr="00034EDF" w:rsidRDefault="008D3A24" w:rsidP="00D533C5">
      <w:pPr>
        <w:pStyle w:val="Sraopastraipa"/>
        <w:numPr>
          <w:ilvl w:val="0"/>
          <w:numId w:val="3"/>
        </w:numPr>
        <w:spacing w:after="120" w:line="240" w:lineRule="auto"/>
        <w:contextualSpacing w:val="0"/>
        <w:jc w:val="both"/>
        <w:rPr>
          <w:rFonts w:ascii="Times New Roman" w:hAnsi="Times New Roman"/>
          <w:sz w:val="24"/>
          <w:szCs w:val="24"/>
        </w:rPr>
      </w:pPr>
      <w:r w:rsidRPr="00034EDF">
        <w:rPr>
          <w:rFonts w:ascii="Times New Roman" w:hAnsi="Times New Roman"/>
          <w:sz w:val="24"/>
          <w:szCs w:val="24"/>
        </w:rPr>
        <w:t>Atsakovė pateikė teismui prašymą palikti ieškinį nenagrinėtą. Nurodė, kad, remdamasi Sutartyje įtvirtintu jurisdikciniu susitarimu, prieštarauja Lietuvos Respublikos teismų jurisdikcijai nagrinėti ieškinį ir kitus į Sutarties taikymo sritį patenkančius reikalavimus.</w:t>
      </w:r>
    </w:p>
    <w:p w14:paraId="6E380148" w14:textId="4297E859" w:rsidR="00123EE2" w:rsidRPr="00034EDF" w:rsidRDefault="00123EE2">
      <w:pPr>
        <w:pStyle w:val="Sraopastraipa"/>
        <w:spacing w:after="120" w:line="240" w:lineRule="auto"/>
        <w:ind w:left="0" w:firstLine="720"/>
        <w:contextualSpacing w:val="0"/>
        <w:jc w:val="both"/>
        <w:rPr>
          <w:rFonts w:ascii="Times New Roman" w:hAnsi="Times New Roman"/>
          <w:sz w:val="24"/>
          <w:szCs w:val="24"/>
        </w:rPr>
      </w:pPr>
    </w:p>
    <w:p w14:paraId="759620E9" w14:textId="77777777" w:rsidR="00123EE2" w:rsidRPr="00034EDF" w:rsidRDefault="00A80C8A">
      <w:pPr>
        <w:pStyle w:val="Sraopastraipa"/>
        <w:spacing w:after="120" w:line="240" w:lineRule="auto"/>
        <w:ind w:left="0"/>
        <w:contextualSpacing w:val="0"/>
        <w:jc w:val="center"/>
        <w:rPr>
          <w:rFonts w:ascii="Times New Roman" w:hAnsi="Times New Roman"/>
          <w:sz w:val="24"/>
          <w:szCs w:val="24"/>
        </w:rPr>
      </w:pPr>
      <w:r w:rsidRPr="00034EDF">
        <w:rPr>
          <w:rFonts w:ascii="Times New Roman" w:hAnsi="Times New Roman"/>
          <w:sz w:val="24"/>
          <w:szCs w:val="24"/>
        </w:rPr>
        <w:t>II. Pirmosios ir apeliacinės instancijos teismų procesinių sprendimų esmė</w:t>
      </w:r>
    </w:p>
    <w:p w14:paraId="1B79914B" w14:textId="05438647" w:rsidR="00123EE2" w:rsidRPr="00034EDF" w:rsidRDefault="00123EE2">
      <w:pPr>
        <w:pStyle w:val="Sraopastraipa"/>
        <w:spacing w:after="120" w:line="240" w:lineRule="auto"/>
        <w:ind w:left="0" w:firstLine="720"/>
        <w:contextualSpacing w:val="0"/>
        <w:jc w:val="both"/>
        <w:rPr>
          <w:rFonts w:ascii="Times New Roman" w:hAnsi="Times New Roman"/>
          <w:sz w:val="24"/>
          <w:szCs w:val="24"/>
        </w:rPr>
      </w:pPr>
    </w:p>
    <w:p w14:paraId="7F40BA90" w14:textId="772CAC6A" w:rsidR="008D3A24" w:rsidRPr="00034EDF" w:rsidRDefault="008D3A24" w:rsidP="008D3A24">
      <w:pPr>
        <w:pStyle w:val="Sraopastraipa"/>
        <w:numPr>
          <w:ilvl w:val="0"/>
          <w:numId w:val="3"/>
        </w:numPr>
        <w:spacing w:after="120" w:line="240" w:lineRule="auto"/>
        <w:contextualSpacing w:val="0"/>
        <w:jc w:val="both"/>
        <w:rPr>
          <w:rFonts w:ascii="Times New Roman" w:hAnsi="Times New Roman"/>
          <w:sz w:val="24"/>
          <w:szCs w:val="24"/>
        </w:rPr>
      </w:pPr>
      <w:r w:rsidRPr="00034EDF">
        <w:rPr>
          <w:rFonts w:ascii="Times New Roman" w:hAnsi="Times New Roman"/>
          <w:sz w:val="24"/>
          <w:szCs w:val="24"/>
        </w:rPr>
        <w:t>Vilniaus miesto apylinkės teismas 2023 m. rugsėjo 19 d. nutartimi ieškinį paliko nenagrinėtą, grąžino ieškovei 110 Eur žymin</w:t>
      </w:r>
      <w:r w:rsidR="000201D7" w:rsidRPr="00034EDF">
        <w:rPr>
          <w:rFonts w:ascii="Times New Roman" w:hAnsi="Times New Roman"/>
          <w:sz w:val="24"/>
          <w:szCs w:val="24"/>
        </w:rPr>
        <w:t>į</w:t>
      </w:r>
      <w:r w:rsidRPr="00034EDF">
        <w:rPr>
          <w:rFonts w:ascii="Times New Roman" w:hAnsi="Times New Roman"/>
          <w:sz w:val="24"/>
          <w:szCs w:val="24"/>
        </w:rPr>
        <w:t xml:space="preserve"> mokes</w:t>
      </w:r>
      <w:r w:rsidR="000201D7" w:rsidRPr="00034EDF">
        <w:rPr>
          <w:rFonts w:ascii="Times New Roman" w:hAnsi="Times New Roman"/>
          <w:sz w:val="24"/>
          <w:szCs w:val="24"/>
        </w:rPr>
        <w:t>tį</w:t>
      </w:r>
      <w:r w:rsidRPr="00034EDF">
        <w:rPr>
          <w:rFonts w:ascii="Times New Roman" w:hAnsi="Times New Roman"/>
          <w:sz w:val="24"/>
          <w:szCs w:val="24"/>
        </w:rPr>
        <w:t xml:space="preserve"> </w:t>
      </w:r>
      <w:r w:rsidR="00F92FCA" w:rsidRPr="00034EDF">
        <w:rPr>
          <w:rFonts w:ascii="Times New Roman" w:hAnsi="Times New Roman"/>
          <w:sz w:val="24"/>
          <w:szCs w:val="24"/>
        </w:rPr>
        <w:t>ir</w:t>
      </w:r>
      <w:r w:rsidRPr="00034EDF">
        <w:rPr>
          <w:rFonts w:ascii="Times New Roman" w:hAnsi="Times New Roman"/>
          <w:sz w:val="24"/>
          <w:szCs w:val="24"/>
        </w:rPr>
        <w:t xml:space="preserve"> panaikino Vilniaus miesto apylinkės teismo 2023</w:t>
      </w:r>
      <w:r w:rsidR="000201D7" w:rsidRPr="00034EDF">
        <w:rPr>
          <w:rFonts w:ascii="Times New Roman" w:hAnsi="Times New Roman"/>
          <w:sz w:val="24"/>
          <w:szCs w:val="24"/>
        </w:rPr>
        <w:t> </w:t>
      </w:r>
      <w:r w:rsidRPr="00034EDF">
        <w:rPr>
          <w:rFonts w:ascii="Times New Roman" w:hAnsi="Times New Roman"/>
          <w:sz w:val="24"/>
          <w:szCs w:val="24"/>
        </w:rPr>
        <w:t>m. rugsėjo 12 d. nutartimi pritaikytas laikinąsias apsaugos priemones.</w:t>
      </w:r>
    </w:p>
    <w:p w14:paraId="71422F0E" w14:textId="74C69D52" w:rsidR="008D3A24" w:rsidRPr="00034EDF" w:rsidRDefault="008D3A24" w:rsidP="008D3A24">
      <w:pPr>
        <w:pStyle w:val="Sraopastraipa"/>
        <w:numPr>
          <w:ilvl w:val="0"/>
          <w:numId w:val="3"/>
        </w:numPr>
        <w:spacing w:after="120" w:line="240" w:lineRule="auto"/>
        <w:contextualSpacing w:val="0"/>
        <w:jc w:val="both"/>
        <w:rPr>
          <w:rFonts w:ascii="Times New Roman" w:hAnsi="Times New Roman"/>
          <w:sz w:val="24"/>
          <w:szCs w:val="24"/>
        </w:rPr>
      </w:pPr>
      <w:r w:rsidRPr="00034EDF">
        <w:rPr>
          <w:rFonts w:ascii="Times New Roman" w:hAnsi="Times New Roman"/>
          <w:sz w:val="24"/>
          <w:szCs w:val="24"/>
        </w:rPr>
        <w:lastRenderedPageBreak/>
        <w:t>Teismas nurodė, kad</w:t>
      </w:r>
      <w:r w:rsidR="00F92FCA" w:rsidRPr="00034EDF">
        <w:rPr>
          <w:rFonts w:ascii="Times New Roman" w:hAnsi="Times New Roman"/>
          <w:sz w:val="24"/>
          <w:szCs w:val="24"/>
        </w:rPr>
        <w:t>,</w:t>
      </w:r>
      <w:r w:rsidRPr="00034EDF">
        <w:rPr>
          <w:rFonts w:ascii="Times New Roman" w:hAnsi="Times New Roman"/>
          <w:sz w:val="24"/>
          <w:szCs w:val="24"/>
        </w:rPr>
        <w:t xml:space="preserve"> pagal Lietuvos Respublikos civilinio proceso kodekso (toliau – </w:t>
      </w:r>
      <w:r w:rsidR="00F92FCA" w:rsidRPr="00034EDF">
        <w:rPr>
          <w:rFonts w:ascii="Times New Roman" w:hAnsi="Times New Roman"/>
          <w:sz w:val="24"/>
          <w:szCs w:val="24"/>
        </w:rPr>
        <w:t xml:space="preserve">ir </w:t>
      </w:r>
      <w:r w:rsidRPr="00034EDF">
        <w:rPr>
          <w:rFonts w:ascii="Times New Roman" w:hAnsi="Times New Roman"/>
          <w:sz w:val="24"/>
          <w:szCs w:val="24"/>
        </w:rPr>
        <w:t>CPK) 788</w:t>
      </w:r>
      <w:r w:rsidR="008A01A7" w:rsidRPr="00034EDF">
        <w:rPr>
          <w:rFonts w:ascii="Times New Roman" w:hAnsi="Times New Roman"/>
          <w:sz w:val="24"/>
          <w:szCs w:val="24"/>
        </w:rPr>
        <w:t> </w:t>
      </w:r>
      <w:r w:rsidRPr="00034EDF">
        <w:rPr>
          <w:rFonts w:ascii="Times New Roman" w:hAnsi="Times New Roman"/>
          <w:sz w:val="24"/>
          <w:szCs w:val="24"/>
        </w:rPr>
        <w:t>straipsnio 1 dalį</w:t>
      </w:r>
      <w:r w:rsidR="00F92FCA" w:rsidRPr="00034EDF">
        <w:rPr>
          <w:rFonts w:ascii="Times New Roman" w:hAnsi="Times New Roman"/>
          <w:sz w:val="24"/>
          <w:szCs w:val="24"/>
        </w:rPr>
        <w:t>,</w:t>
      </w:r>
      <w:r w:rsidRPr="00034EDF">
        <w:rPr>
          <w:rFonts w:ascii="Times New Roman" w:hAnsi="Times New Roman"/>
          <w:sz w:val="24"/>
          <w:szCs w:val="24"/>
        </w:rPr>
        <w:t xml:space="preserve"> ūkinės komercinės veiklos subjektai gali raštu susitarti, kad ginčai, kylantys iš sutartinių teisinių santykių, bus nagrinėjami ne Lietuvos teismuose, jeigu šis susitarimas neprieštarauja tos valstybės, kurios teismų kompetencijai numatoma priskirti ginčo nagrinėjimą, teisei. Šis susitarimas negalimas dėl bylų, kurioms nu</w:t>
      </w:r>
      <w:r w:rsidR="002F2DE1" w:rsidRPr="00034EDF">
        <w:rPr>
          <w:rFonts w:ascii="Times New Roman" w:hAnsi="Times New Roman"/>
          <w:sz w:val="24"/>
          <w:szCs w:val="24"/>
        </w:rPr>
        <w:t>st</w:t>
      </w:r>
      <w:r w:rsidRPr="00034EDF">
        <w:rPr>
          <w:rFonts w:ascii="Times New Roman" w:hAnsi="Times New Roman"/>
          <w:sz w:val="24"/>
          <w:szCs w:val="24"/>
        </w:rPr>
        <w:t xml:space="preserve">atoma išimtinė Lietuvos Respublikos teismų kompetencija. Į </w:t>
      </w:r>
      <w:r w:rsidR="000308C1" w:rsidRPr="00034EDF">
        <w:rPr>
          <w:rFonts w:ascii="Times New Roman" w:hAnsi="Times New Roman"/>
          <w:sz w:val="24"/>
          <w:szCs w:val="24"/>
        </w:rPr>
        <w:t>CPK 788</w:t>
      </w:r>
      <w:r w:rsidRPr="00034EDF">
        <w:rPr>
          <w:rFonts w:ascii="Times New Roman" w:hAnsi="Times New Roman"/>
          <w:sz w:val="24"/>
          <w:szCs w:val="24"/>
        </w:rPr>
        <w:t xml:space="preserve"> straipsnio 1 dalyje </w:t>
      </w:r>
      <w:r w:rsidR="000308C1" w:rsidRPr="00034EDF">
        <w:rPr>
          <w:rFonts w:ascii="Times New Roman" w:hAnsi="Times New Roman"/>
          <w:sz w:val="24"/>
          <w:szCs w:val="24"/>
        </w:rPr>
        <w:t>nurodytus</w:t>
      </w:r>
      <w:r w:rsidRPr="00034EDF">
        <w:rPr>
          <w:rFonts w:ascii="Times New Roman" w:hAnsi="Times New Roman"/>
          <w:sz w:val="24"/>
          <w:szCs w:val="24"/>
        </w:rPr>
        <w:t xml:space="preserve"> susitarimus teismas atsižvelgia tik esant suinteresuotos šalies prašymui; prašymas gali būti paduodamas iki bylos nagrinėjimo iš esmės pradžios (CPK 788 straipsnio 2 dalis).</w:t>
      </w:r>
    </w:p>
    <w:p w14:paraId="131418F6" w14:textId="1E91E5D5" w:rsidR="008D3A24" w:rsidRPr="00034EDF" w:rsidRDefault="008D3A24" w:rsidP="008D3A24">
      <w:pPr>
        <w:pStyle w:val="Sraopastraipa"/>
        <w:numPr>
          <w:ilvl w:val="0"/>
          <w:numId w:val="3"/>
        </w:numPr>
        <w:spacing w:after="120" w:line="240" w:lineRule="auto"/>
        <w:contextualSpacing w:val="0"/>
        <w:jc w:val="both"/>
        <w:rPr>
          <w:rFonts w:ascii="Times New Roman" w:hAnsi="Times New Roman"/>
          <w:sz w:val="24"/>
          <w:szCs w:val="24"/>
        </w:rPr>
      </w:pPr>
      <w:r w:rsidRPr="00034EDF">
        <w:rPr>
          <w:rFonts w:ascii="Times New Roman" w:hAnsi="Times New Roman"/>
          <w:sz w:val="24"/>
          <w:szCs w:val="24"/>
        </w:rPr>
        <w:t>Teismas nustatė, kad ginčas yra kilęs iš trišalės sutarties vykdymo. Ieškovė ir atsakovė, kurios abi yra Lietuvoje registruotos įmonės, bei Anglijoje registruota</w:t>
      </w:r>
      <w:r w:rsidR="00F92FCA" w:rsidRPr="00034EDF">
        <w:rPr>
          <w:rFonts w:ascii="Times New Roman" w:hAnsi="Times New Roman"/>
          <w:sz w:val="24"/>
          <w:szCs w:val="24"/>
        </w:rPr>
        <w:t xml:space="preserve"> </w:t>
      </w:r>
      <w:r w:rsidR="002F2DE1" w:rsidRPr="00034EDF">
        <w:rPr>
          <w:rFonts w:ascii="Times New Roman" w:hAnsi="Times New Roman"/>
          <w:sz w:val="24"/>
          <w:szCs w:val="24"/>
        </w:rPr>
        <w:t>bendrovė</w:t>
      </w:r>
      <w:r w:rsidRPr="00034EDF">
        <w:rPr>
          <w:rFonts w:ascii="Times New Roman" w:hAnsi="Times New Roman"/>
          <w:sz w:val="24"/>
          <w:szCs w:val="24"/>
        </w:rPr>
        <w:t xml:space="preserve"> „Contis Financial Services Limited“ 2020 m. spalio 19 d. sudarė sutartį dėl bendradarbiavimo ir mokėjimo kortelių platinimo. Ieškovė prašė pripažinti negaliojančiu </w:t>
      </w:r>
      <w:r w:rsidR="002F2DE1" w:rsidRPr="00034EDF">
        <w:rPr>
          <w:rFonts w:ascii="Times New Roman" w:hAnsi="Times New Roman"/>
          <w:sz w:val="24"/>
          <w:szCs w:val="24"/>
        </w:rPr>
        <w:t>bendrovės</w:t>
      </w:r>
      <w:r w:rsidR="00F92FCA" w:rsidRPr="00034EDF">
        <w:rPr>
          <w:rFonts w:ascii="Times New Roman" w:hAnsi="Times New Roman"/>
          <w:sz w:val="24"/>
          <w:szCs w:val="24"/>
        </w:rPr>
        <w:t xml:space="preserve"> </w:t>
      </w:r>
      <w:r w:rsidRPr="00034EDF">
        <w:rPr>
          <w:rFonts w:ascii="Times New Roman" w:hAnsi="Times New Roman"/>
          <w:sz w:val="24"/>
          <w:szCs w:val="24"/>
        </w:rPr>
        <w:t xml:space="preserve">„Contis Financial Services Limited“ ir UAB „Finansinės paslaugos „Contis“ vardu ieškovei pateiktą 2023 m. liepos 11 d. pranešimą, kuriuo </w:t>
      </w:r>
      <w:r w:rsidR="002F2DE1" w:rsidRPr="00034EDF">
        <w:rPr>
          <w:rFonts w:ascii="Times New Roman" w:hAnsi="Times New Roman"/>
          <w:sz w:val="24"/>
          <w:szCs w:val="24"/>
        </w:rPr>
        <w:t>bendrovė</w:t>
      </w:r>
      <w:r w:rsidR="00F92FCA" w:rsidRPr="00034EDF">
        <w:rPr>
          <w:rFonts w:ascii="Times New Roman" w:hAnsi="Times New Roman"/>
          <w:sz w:val="24"/>
          <w:szCs w:val="24"/>
        </w:rPr>
        <w:t xml:space="preserve"> </w:t>
      </w:r>
      <w:r w:rsidRPr="00034EDF">
        <w:rPr>
          <w:rFonts w:ascii="Times New Roman" w:hAnsi="Times New Roman"/>
          <w:sz w:val="24"/>
          <w:szCs w:val="24"/>
        </w:rPr>
        <w:t xml:space="preserve">„Contis Financial Services Limited“ ir UAB „Finansinės paslaugos „Contis“ informavo ieškovę, kad ieškovės nesutikimą atlikti reikalaujamą auditą laiko esminiu Sutarties pažeidimu, todėl nuo 2023 m. liepos 13 d. sustabdo Sutarties vykdymą </w:t>
      </w:r>
      <w:r w:rsidR="00F92FCA" w:rsidRPr="00034EDF">
        <w:rPr>
          <w:rFonts w:ascii="Times New Roman" w:hAnsi="Times New Roman"/>
          <w:sz w:val="24"/>
          <w:szCs w:val="24"/>
        </w:rPr>
        <w:t>ir</w:t>
      </w:r>
      <w:r w:rsidRPr="00034EDF">
        <w:rPr>
          <w:rFonts w:ascii="Times New Roman" w:hAnsi="Times New Roman"/>
          <w:sz w:val="24"/>
          <w:szCs w:val="24"/>
        </w:rPr>
        <w:t xml:space="preserve"> įspėja, kad Sutartis bus nutraukta, jei ieškovė per 90 dienų nuo pranešimo datos neištaisys Sutarties pažeidimo. </w:t>
      </w:r>
    </w:p>
    <w:p w14:paraId="050E4600" w14:textId="028E5877" w:rsidR="008D3A24" w:rsidRPr="00034EDF" w:rsidRDefault="008D3A24" w:rsidP="008D3A24">
      <w:pPr>
        <w:pStyle w:val="Sraopastraipa"/>
        <w:numPr>
          <w:ilvl w:val="0"/>
          <w:numId w:val="3"/>
        </w:numPr>
        <w:spacing w:after="120" w:line="240" w:lineRule="auto"/>
        <w:contextualSpacing w:val="0"/>
        <w:jc w:val="both"/>
        <w:rPr>
          <w:rFonts w:ascii="Times New Roman" w:hAnsi="Times New Roman"/>
          <w:sz w:val="24"/>
          <w:szCs w:val="24"/>
        </w:rPr>
      </w:pPr>
      <w:r w:rsidRPr="00034EDF">
        <w:rPr>
          <w:rFonts w:ascii="Times New Roman" w:hAnsi="Times New Roman"/>
          <w:sz w:val="24"/>
          <w:szCs w:val="24"/>
        </w:rPr>
        <w:t xml:space="preserve">Sutarties 37 punkte šalys susitarė, </w:t>
      </w:r>
      <w:r w:rsidR="002F2DE1" w:rsidRPr="00034EDF">
        <w:rPr>
          <w:rFonts w:ascii="Times New Roman" w:hAnsi="Times New Roman"/>
          <w:sz w:val="24"/>
          <w:szCs w:val="24"/>
        </w:rPr>
        <w:t>kad</w:t>
      </w:r>
      <w:r w:rsidRPr="00034EDF">
        <w:rPr>
          <w:rFonts w:ascii="Times New Roman" w:hAnsi="Times New Roman"/>
          <w:sz w:val="24"/>
          <w:szCs w:val="24"/>
        </w:rPr>
        <w:t xml:space="preserve"> Sutartį reglamentuoja ir visais atžvilgiais aiškina Anglijos įstatymai</w:t>
      </w:r>
      <w:r w:rsidR="002F2DE1" w:rsidRPr="00034EDF">
        <w:rPr>
          <w:rFonts w:ascii="Times New Roman" w:hAnsi="Times New Roman"/>
          <w:sz w:val="24"/>
          <w:szCs w:val="24"/>
        </w:rPr>
        <w:t>, kad</w:t>
      </w:r>
      <w:r w:rsidRPr="00034EDF">
        <w:rPr>
          <w:rFonts w:ascii="Times New Roman" w:hAnsi="Times New Roman"/>
          <w:sz w:val="24"/>
          <w:szCs w:val="24"/>
        </w:rPr>
        <w:t xml:space="preserve"> bet kokie procesiniai veiksmai priklauso išimtinei Anglijos teismų jurisdikcijai ir (atsižvelgiant į Sutarties 19 punktą) kiekviena iš šalių neatšaukiamai paklūsta jos išimtinei jurisdikcijai bei atsisako bet kokių nesutikimų su bet kokiais procesiniais veiksmais šiuose teismuose dėl vietos arba dėl to, kad procesiniai veiksmai vyko nepatogiame teisme.</w:t>
      </w:r>
    </w:p>
    <w:p w14:paraId="0C877EA0" w14:textId="29E48282" w:rsidR="008D3A24" w:rsidRPr="00034EDF" w:rsidRDefault="008D3A24" w:rsidP="008D3A24">
      <w:pPr>
        <w:pStyle w:val="Sraopastraipa"/>
        <w:numPr>
          <w:ilvl w:val="0"/>
          <w:numId w:val="3"/>
        </w:numPr>
        <w:spacing w:after="120" w:line="240" w:lineRule="auto"/>
        <w:contextualSpacing w:val="0"/>
        <w:jc w:val="both"/>
        <w:rPr>
          <w:rFonts w:ascii="Times New Roman" w:hAnsi="Times New Roman"/>
          <w:sz w:val="24"/>
          <w:szCs w:val="24"/>
        </w:rPr>
      </w:pPr>
      <w:r w:rsidRPr="00034EDF">
        <w:rPr>
          <w:rFonts w:ascii="Times New Roman" w:hAnsi="Times New Roman"/>
          <w:sz w:val="24"/>
          <w:szCs w:val="24"/>
        </w:rPr>
        <w:t>Teismas nurodė, kad sutartys jas sudariusioms šalims turi įstatymo galią (Lietuvos Respublikos civilinio kodekso (toliau – CK) 6.189 straipsnio 1 dalis), iš sutarčių kylančios prievolės turi būti vykdomos sąžiningai, tinkamai bei nustatytais terminais pagal įstatymų ar sutarties nurodymus (CK 6.38 straipsnis). Ieškovė teismui nepateikė jokių duomenų, jog Sutarties nuostata, įtvirtinanti šalių valią dėl sutartinio teismingumo Anglijos teismuose, būtų šalių pakeista, nu</w:t>
      </w:r>
      <w:r w:rsidR="00F92FCA" w:rsidRPr="00034EDF">
        <w:rPr>
          <w:rFonts w:ascii="Times New Roman" w:hAnsi="Times New Roman"/>
          <w:sz w:val="24"/>
          <w:szCs w:val="24"/>
        </w:rPr>
        <w:t>st</w:t>
      </w:r>
      <w:r w:rsidRPr="00034EDF">
        <w:rPr>
          <w:rFonts w:ascii="Times New Roman" w:hAnsi="Times New Roman"/>
          <w:sz w:val="24"/>
          <w:szCs w:val="24"/>
        </w:rPr>
        <w:t>atant kitokį teismingumą. Be to, šalys Sutartyje susitarė, kad negalės kelti pretenzijų</w:t>
      </w:r>
      <w:r w:rsidR="000308C1" w:rsidRPr="00034EDF">
        <w:rPr>
          <w:rFonts w:ascii="Times New Roman" w:hAnsi="Times New Roman"/>
          <w:sz w:val="24"/>
          <w:szCs w:val="24"/>
        </w:rPr>
        <w:t xml:space="preserve"> dėl to</w:t>
      </w:r>
      <w:r w:rsidRPr="00034EDF">
        <w:rPr>
          <w:rFonts w:ascii="Times New Roman" w:hAnsi="Times New Roman"/>
          <w:sz w:val="24"/>
          <w:szCs w:val="24"/>
        </w:rPr>
        <w:t xml:space="preserve">, jog pasirinktas teismas joms yra nepatogus (lot. </w:t>
      </w:r>
      <w:r w:rsidRPr="00034EDF">
        <w:rPr>
          <w:rFonts w:ascii="Times New Roman" w:hAnsi="Times New Roman"/>
          <w:i/>
          <w:iCs/>
          <w:sz w:val="24"/>
          <w:szCs w:val="24"/>
        </w:rPr>
        <w:t>forum non conveniens</w:t>
      </w:r>
      <w:r w:rsidRPr="00034EDF">
        <w:rPr>
          <w:rFonts w:ascii="Times New Roman" w:hAnsi="Times New Roman"/>
          <w:sz w:val="24"/>
          <w:szCs w:val="24"/>
        </w:rPr>
        <w:t>).</w:t>
      </w:r>
    </w:p>
    <w:p w14:paraId="4511801D" w14:textId="3785AF75" w:rsidR="008D3A24" w:rsidRPr="00034EDF" w:rsidRDefault="008D3A24" w:rsidP="008D3A24">
      <w:pPr>
        <w:pStyle w:val="Sraopastraipa"/>
        <w:numPr>
          <w:ilvl w:val="0"/>
          <w:numId w:val="3"/>
        </w:numPr>
        <w:spacing w:after="120" w:line="240" w:lineRule="auto"/>
        <w:contextualSpacing w:val="0"/>
        <w:jc w:val="both"/>
        <w:rPr>
          <w:rFonts w:ascii="Times New Roman" w:hAnsi="Times New Roman"/>
          <w:sz w:val="24"/>
          <w:szCs w:val="24"/>
        </w:rPr>
      </w:pPr>
      <w:r w:rsidRPr="00034EDF">
        <w:rPr>
          <w:rFonts w:ascii="Times New Roman" w:hAnsi="Times New Roman"/>
          <w:sz w:val="24"/>
          <w:szCs w:val="24"/>
        </w:rPr>
        <w:t xml:space="preserve">Teismas pažymėjo, kad tarp šalių kilęs ginčas nepriskirtinas išimtinei Lietuvos teismų kompetencijai. Be to, nors ieškovė į byloje dalyvaujančius asmenis neįtraukė </w:t>
      </w:r>
      <w:r w:rsidR="00F92FCA" w:rsidRPr="00034EDF">
        <w:rPr>
          <w:rFonts w:ascii="Times New Roman" w:hAnsi="Times New Roman"/>
          <w:sz w:val="24"/>
          <w:szCs w:val="24"/>
        </w:rPr>
        <w:t xml:space="preserve">bendrovės </w:t>
      </w:r>
      <w:r w:rsidRPr="00034EDF">
        <w:rPr>
          <w:rFonts w:ascii="Times New Roman" w:hAnsi="Times New Roman"/>
          <w:sz w:val="24"/>
          <w:szCs w:val="24"/>
        </w:rPr>
        <w:t>„Contis Financial Services Limited“,</w:t>
      </w:r>
      <w:r w:rsidR="000308C1" w:rsidRPr="00034EDF">
        <w:rPr>
          <w:rFonts w:ascii="Times New Roman" w:hAnsi="Times New Roman"/>
          <w:sz w:val="24"/>
          <w:szCs w:val="24"/>
        </w:rPr>
        <w:t xml:space="preserve"> tačiau</w:t>
      </w:r>
      <w:r w:rsidRPr="00034EDF">
        <w:rPr>
          <w:rFonts w:ascii="Times New Roman" w:hAnsi="Times New Roman"/>
          <w:sz w:val="24"/>
          <w:szCs w:val="24"/>
        </w:rPr>
        <w:t xml:space="preserve"> ši Anglijoje registruota bendrovė yra ginčo </w:t>
      </w:r>
      <w:r w:rsidR="008B53A5" w:rsidRPr="00034EDF">
        <w:rPr>
          <w:rFonts w:ascii="Times New Roman" w:hAnsi="Times New Roman"/>
          <w:sz w:val="24"/>
          <w:szCs w:val="24"/>
        </w:rPr>
        <w:t>s</w:t>
      </w:r>
      <w:r w:rsidRPr="00034EDF">
        <w:rPr>
          <w:rFonts w:ascii="Times New Roman" w:hAnsi="Times New Roman"/>
          <w:sz w:val="24"/>
          <w:szCs w:val="24"/>
        </w:rPr>
        <w:t xml:space="preserve">utarties šalis, taigi byla susijusi ir su jos teisėmis ir pareigomis, todėl nėra pagrindo teigti, kad byla turi ryšį tik su Lietuva. Nuo 2021 m. sausio 1 d. Jungtinė Karalystė prisijungė prie </w:t>
      </w:r>
      <w:bookmarkStart w:id="0" w:name="_Hlk167868838"/>
      <w:r w:rsidRPr="00034EDF">
        <w:rPr>
          <w:rFonts w:ascii="Times New Roman" w:hAnsi="Times New Roman"/>
          <w:sz w:val="24"/>
          <w:szCs w:val="24"/>
        </w:rPr>
        <w:t xml:space="preserve">2005 m. Hagos konvencijos dėl susitarimų dėl teismingumo </w:t>
      </w:r>
      <w:bookmarkEnd w:id="0"/>
      <w:r w:rsidRPr="00034EDF">
        <w:rPr>
          <w:rFonts w:ascii="Times New Roman" w:hAnsi="Times New Roman"/>
          <w:sz w:val="24"/>
          <w:szCs w:val="24"/>
        </w:rPr>
        <w:t xml:space="preserve">(toliau – </w:t>
      </w:r>
      <w:r w:rsidR="00425AD4" w:rsidRPr="00034EDF">
        <w:rPr>
          <w:rFonts w:ascii="Times New Roman" w:hAnsi="Times New Roman"/>
          <w:sz w:val="24"/>
          <w:szCs w:val="24"/>
        </w:rPr>
        <w:t xml:space="preserve">ir Hagos konvencija, </w:t>
      </w:r>
      <w:r w:rsidRPr="00034EDF">
        <w:rPr>
          <w:rFonts w:ascii="Times New Roman" w:hAnsi="Times New Roman"/>
          <w:sz w:val="24"/>
          <w:szCs w:val="24"/>
        </w:rPr>
        <w:t>Konvencija), kurios dalyv</w:t>
      </w:r>
      <w:r w:rsidR="00F92FCA" w:rsidRPr="00034EDF">
        <w:rPr>
          <w:rFonts w:ascii="Times New Roman" w:hAnsi="Times New Roman"/>
          <w:sz w:val="24"/>
          <w:szCs w:val="24"/>
        </w:rPr>
        <w:t>ė</w:t>
      </w:r>
      <w:r w:rsidRPr="00034EDF">
        <w:rPr>
          <w:rFonts w:ascii="Times New Roman" w:hAnsi="Times New Roman"/>
          <w:sz w:val="24"/>
          <w:szCs w:val="24"/>
        </w:rPr>
        <w:t xml:space="preserve"> nuo 2015 m. spalio 1 d. yra Europos Sąjunga. Pagal Konvencijos 5 straipsnio 1 dalį</w:t>
      </w:r>
      <w:r w:rsidR="00F92FCA" w:rsidRPr="00034EDF">
        <w:rPr>
          <w:rFonts w:ascii="Times New Roman" w:hAnsi="Times New Roman"/>
          <w:sz w:val="24"/>
          <w:szCs w:val="24"/>
        </w:rPr>
        <w:t>,</w:t>
      </w:r>
      <w:r w:rsidRPr="00034EDF">
        <w:rPr>
          <w:rFonts w:ascii="Times New Roman" w:hAnsi="Times New Roman"/>
          <w:sz w:val="24"/>
          <w:szCs w:val="24"/>
        </w:rPr>
        <w:t xml:space="preserve"> susitariančiosios valstybės teismas arba teismai, nurodyti susitarime dėl išimtinio teismingumo, turi jurisdikciją spręsti ginčą, kuriam taikomas susitarimas, išskyrus atvejus, kai susitarimas yra niekinis pagal tos valstybės teisę. Konvencijos 5 straipsnio 2 dalyje nustatyta, </w:t>
      </w:r>
      <w:r w:rsidR="002F2DE1" w:rsidRPr="00034EDF">
        <w:rPr>
          <w:rFonts w:ascii="Times New Roman" w:hAnsi="Times New Roman"/>
          <w:sz w:val="24"/>
          <w:szCs w:val="24"/>
        </w:rPr>
        <w:t>jog</w:t>
      </w:r>
      <w:r w:rsidRPr="00034EDF">
        <w:rPr>
          <w:rFonts w:ascii="Times New Roman" w:hAnsi="Times New Roman"/>
          <w:sz w:val="24"/>
          <w:szCs w:val="24"/>
        </w:rPr>
        <w:t xml:space="preserve"> pagal 1 dalį jurisdikciją turintis teismas negali atsisakyti įgyvendinti jurisdikcijos remdamasis tuo, kad ginčą turėtų spręsti kitos valstybės teismas. Teismas nusprendė, kad nėra pagrindo teigti, jog pagal Sutarties šalių susitarimą dėl teismingumo byla negalėtų būti nagrinėjama Anglijos teismuose. </w:t>
      </w:r>
    </w:p>
    <w:p w14:paraId="4B6CB705" w14:textId="7E941628" w:rsidR="008D3A24" w:rsidRPr="00034EDF" w:rsidRDefault="008D3A24" w:rsidP="008D3A24">
      <w:pPr>
        <w:pStyle w:val="Sraopastraipa"/>
        <w:numPr>
          <w:ilvl w:val="0"/>
          <w:numId w:val="3"/>
        </w:numPr>
        <w:spacing w:after="120" w:line="240" w:lineRule="auto"/>
        <w:contextualSpacing w:val="0"/>
        <w:jc w:val="both"/>
        <w:rPr>
          <w:rFonts w:ascii="Times New Roman" w:hAnsi="Times New Roman"/>
          <w:sz w:val="24"/>
          <w:szCs w:val="24"/>
        </w:rPr>
      </w:pPr>
      <w:r w:rsidRPr="00034EDF">
        <w:rPr>
          <w:rFonts w:ascii="Times New Roman" w:hAnsi="Times New Roman"/>
          <w:sz w:val="24"/>
          <w:szCs w:val="24"/>
        </w:rPr>
        <w:t xml:space="preserve">Įvertinęs šalių susitarimą dėl teismingumo, esant atsakovės prašymui taikyti Sutartyje įtvirtintą susitarimą dėl jurisdikcijos, teismas </w:t>
      </w:r>
      <w:r w:rsidR="00F92FCA" w:rsidRPr="00034EDF">
        <w:rPr>
          <w:rFonts w:ascii="Times New Roman" w:hAnsi="Times New Roman"/>
          <w:sz w:val="24"/>
          <w:szCs w:val="24"/>
        </w:rPr>
        <w:t>nu</w:t>
      </w:r>
      <w:r w:rsidRPr="00034EDF">
        <w:rPr>
          <w:rFonts w:ascii="Times New Roman" w:hAnsi="Times New Roman"/>
          <w:sz w:val="24"/>
          <w:szCs w:val="24"/>
        </w:rPr>
        <w:t>sprendė, kad yra pagrindas, vadovaujantis CPK 782 ir 788</w:t>
      </w:r>
      <w:r w:rsidR="008A01A7" w:rsidRPr="00034EDF">
        <w:rPr>
          <w:rFonts w:ascii="Times New Roman" w:hAnsi="Times New Roman"/>
          <w:sz w:val="24"/>
          <w:szCs w:val="24"/>
        </w:rPr>
        <w:t> </w:t>
      </w:r>
      <w:r w:rsidRPr="00034EDF">
        <w:rPr>
          <w:rFonts w:ascii="Times New Roman" w:hAnsi="Times New Roman"/>
          <w:sz w:val="24"/>
          <w:szCs w:val="24"/>
        </w:rPr>
        <w:t xml:space="preserve">straipsniais, ieškovės ieškinį palikti nenagrinėtą kaip neteismingą Lietuvos Respublikos teismams. </w:t>
      </w:r>
      <w:r w:rsidR="00E47866" w:rsidRPr="00034EDF">
        <w:rPr>
          <w:rFonts w:ascii="Times New Roman" w:hAnsi="Times New Roman"/>
          <w:sz w:val="24"/>
          <w:szCs w:val="24"/>
        </w:rPr>
        <w:t>Teismas i</w:t>
      </w:r>
      <w:r w:rsidRPr="00034EDF">
        <w:rPr>
          <w:rFonts w:ascii="Times New Roman" w:hAnsi="Times New Roman"/>
          <w:sz w:val="24"/>
          <w:szCs w:val="24"/>
        </w:rPr>
        <w:t>eškovei išaiškino, kad ji turi teisę su ieškiniu kreiptis į kompetentingą Anglijos teismą.</w:t>
      </w:r>
    </w:p>
    <w:p w14:paraId="7ACAD52A" w14:textId="377F7EAC" w:rsidR="00123EE2" w:rsidRPr="00034EDF" w:rsidRDefault="00A80C8A">
      <w:pPr>
        <w:pStyle w:val="Sraopastraipa"/>
        <w:numPr>
          <w:ilvl w:val="0"/>
          <w:numId w:val="3"/>
        </w:numPr>
        <w:spacing w:after="120" w:line="240" w:lineRule="auto"/>
        <w:contextualSpacing w:val="0"/>
        <w:jc w:val="both"/>
        <w:rPr>
          <w:rFonts w:ascii="Times New Roman" w:hAnsi="Times New Roman"/>
          <w:sz w:val="24"/>
          <w:szCs w:val="24"/>
        </w:rPr>
      </w:pPr>
      <w:r w:rsidRPr="00034EDF">
        <w:rPr>
          <w:rFonts w:ascii="Times New Roman" w:hAnsi="Times New Roman"/>
          <w:sz w:val="24"/>
          <w:szCs w:val="24"/>
        </w:rPr>
        <w:t>Vilniaus</w:t>
      </w:r>
      <w:r w:rsidR="00D662BB" w:rsidRPr="00034EDF">
        <w:rPr>
          <w:rFonts w:ascii="Times New Roman" w:hAnsi="Times New Roman"/>
          <w:sz w:val="24"/>
          <w:szCs w:val="24"/>
        </w:rPr>
        <w:t xml:space="preserve"> </w:t>
      </w:r>
      <w:r w:rsidRPr="00034EDF">
        <w:rPr>
          <w:rFonts w:ascii="Times New Roman" w:hAnsi="Times New Roman"/>
          <w:sz w:val="24"/>
          <w:szCs w:val="24"/>
        </w:rPr>
        <w:t>apygardos</w:t>
      </w:r>
      <w:r w:rsidR="00D662BB" w:rsidRPr="00034EDF">
        <w:rPr>
          <w:rFonts w:ascii="Times New Roman" w:hAnsi="Times New Roman"/>
          <w:sz w:val="24"/>
          <w:szCs w:val="24"/>
        </w:rPr>
        <w:t xml:space="preserve"> </w:t>
      </w:r>
      <w:r w:rsidR="008D3A24" w:rsidRPr="00034EDF">
        <w:rPr>
          <w:rFonts w:ascii="Times New Roman" w:hAnsi="Times New Roman"/>
          <w:sz w:val="24"/>
          <w:szCs w:val="24"/>
        </w:rPr>
        <w:t>teismas,</w:t>
      </w:r>
      <w:r w:rsidRPr="00034EDF">
        <w:rPr>
          <w:rFonts w:ascii="Times New Roman" w:hAnsi="Times New Roman"/>
          <w:sz w:val="24"/>
          <w:szCs w:val="24"/>
        </w:rPr>
        <w:t xml:space="preserve"> išnagrinėj</w:t>
      </w:r>
      <w:r w:rsidR="008D3A24" w:rsidRPr="00034EDF">
        <w:rPr>
          <w:rFonts w:ascii="Times New Roman" w:hAnsi="Times New Roman"/>
          <w:sz w:val="24"/>
          <w:szCs w:val="24"/>
        </w:rPr>
        <w:t>ę</w:t>
      </w:r>
      <w:r w:rsidRPr="00034EDF">
        <w:rPr>
          <w:rFonts w:ascii="Times New Roman" w:hAnsi="Times New Roman"/>
          <w:sz w:val="24"/>
          <w:szCs w:val="24"/>
        </w:rPr>
        <w:t>s bylą pagal ieškov</w:t>
      </w:r>
      <w:r w:rsidR="008D3A24" w:rsidRPr="00034EDF">
        <w:rPr>
          <w:rFonts w:ascii="Times New Roman" w:hAnsi="Times New Roman"/>
          <w:sz w:val="24"/>
          <w:szCs w:val="24"/>
        </w:rPr>
        <w:t>ės UAB „Paysera“</w:t>
      </w:r>
      <w:r w:rsidRPr="00034EDF">
        <w:rPr>
          <w:rFonts w:ascii="Times New Roman" w:hAnsi="Times New Roman"/>
          <w:sz w:val="24"/>
          <w:szCs w:val="24"/>
        </w:rPr>
        <w:t xml:space="preserve"> atskirąjį skundą, 20</w:t>
      </w:r>
      <w:r w:rsidR="008D3A24" w:rsidRPr="00034EDF">
        <w:rPr>
          <w:rFonts w:ascii="Times New Roman" w:hAnsi="Times New Roman"/>
          <w:sz w:val="24"/>
          <w:szCs w:val="24"/>
        </w:rPr>
        <w:t>23</w:t>
      </w:r>
      <w:r w:rsidRPr="00034EDF">
        <w:rPr>
          <w:rFonts w:ascii="Times New Roman" w:hAnsi="Times New Roman"/>
          <w:sz w:val="24"/>
          <w:szCs w:val="24"/>
        </w:rPr>
        <w:t xml:space="preserve"> m. </w:t>
      </w:r>
      <w:r w:rsidR="008D3A24" w:rsidRPr="00034EDF">
        <w:rPr>
          <w:rFonts w:ascii="Times New Roman" w:hAnsi="Times New Roman"/>
          <w:sz w:val="24"/>
          <w:szCs w:val="24"/>
        </w:rPr>
        <w:t>lapkričio 30</w:t>
      </w:r>
      <w:r w:rsidRPr="00034EDF">
        <w:rPr>
          <w:rFonts w:ascii="Times New Roman" w:hAnsi="Times New Roman"/>
          <w:sz w:val="24"/>
          <w:szCs w:val="24"/>
        </w:rPr>
        <w:t xml:space="preserve"> d. nutartimi </w:t>
      </w:r>
      <w:r w:rsidR="008D3A24" w:rsidRPr="00034EDF">
        <w:rPr>
          <w:rFonts w:ascii="Times New Roman" w:hAnsi="Times New Roman"/>
          <w:sz w:val="24"/>
          <w:szCs w:val="24"/>
        </w:rPr>
        <w:t>Vilniaus miesto apylinkės teismo 2023 m. rugsėjo 19 d. nutartį paliko nepakeistą</w:t>
      </w:r>
      <w:r w:rsidRPr="00034EDF">
        <w:rPr>
          <w:rFonts w:ascii="Times New Roman" w:hAnsi="Times New Roman"/>
          <w:sz w:val="24"/>
          <w:szCs w:val="24"/>
        </w:rPr>
        <w:t xml:space="preserve">. </w:t>
      </w:r>
    </w:p>
    <w:p w14:paraId="0C27BE11" w14:textId="3E6F6E53" w:rsidR="004F08D3" w:rsidRPr="00034EDF" w:rsidRDefault="00774FD3" w:rsidP="00800F52">
      <w:pPr>
        <w:pStyle w:val="Sraopastraipa"/>
        <w:numPr>
          <w:ilvl w:val="0"/>
          <w:numId w:val="3"/>
        </w:numPr>
        <w:spacing w:after="120" w:line="240" w:lineRule="auto"/>
        <w:contextualSpacing w:val="0"/>
        <w:jc w:val="both"/>
        <w:rPr>
          <w:rFonts w:ascii="Times New Roman" w:hAnsi="Times New Roman"/>
          <w:sz w:val="24"/>
          <w:szCs w:val="24"/>
        </w:rPr>
      </w:pPr>
      <w:r w:rsidRPr="00034EDF">
        <w:rPr>
          <w:rFonts w:ascii="Times New Roman" w:hAnsi="Times New Roman"/>
          <w:sz w:val="24"/>
          <w:szCs w:val="24"/>
        </w:rPr>
        <w:lastRenderedPageBreak/>
        <w:t>Apeliacinės instancijos teismas</w:t>
      </w:r>
      <w:r w:rsidR="00A80C8A" w:rsidRPr="00034EDF">
        <w:rPr>
          <w:rFonts w:ascii="Times New Roman" w:hAnsi="Times New Roman"/>
          <w:sz w:val="24"/>
          <w:szCs w:val="24"/>
        </w:rPr>
        <w:t xml:space="preserve"> nurodė</w:t>
      </w:r>
      <w:r w:rsidR="004F08D3" w:rsidRPr="00034EDF">
        <w:rPr>
          <w:rFonts w:ascii="Times New Roman" w:hAnsi="Times New Roman"/>
          <w:sz w:val="24"/>
          <w:szCs w:val="24"/>
        </w:rPr>
        <w:t xml:space="preserve"> pritariantis pirmosios instancijos teismo išvadai, kad šalių ginčas nepriskirtinas išimtinei Lietuvos teismų kompetencijai. Teismas taip pat nurodė, kad nėra pagrindo konstatuoti, jog pagal Sutarties šalių susitarimą dėl teismingumo byla negalėtų būti nagrinėjama Anglijos teismuose.</w:t>
      </w:r>
    </w:p>
    <w:p w14:paraId="28EB4BD2" w14:textId="50792FAF" w:rsidR="002B2A44" w:rsidRPr="00034EDF" w:rsidRDefault="002B2A44" w:rsidP="00800F52">
      <w:pPr>
        <w:pStyle w:val="Sraopastraipa"/>
        <w:numPr>
          <w:ilvl w:val="0"/>
          <w:numId w:val="3"/>
        </w:numPr>
        <w:spacing w:after="120" w:line="240" w:lineRule="auto"/>
        <w:contextualSpacing w:val="0"/>
        <w:jc w:val="both"/>
        <w:rPr>
          <w:rFonts w:ascii="Times New Roman" w:hAnsi="Times New Roman"/>
          <w:sz w:val="24"/>
          <w:szCs w:val="24"/>
        </w:rPr>
      </w:pPr>
      <w:r w:rsidRPr="00034EDF">
        <w:rPr>
          <w:rFonts w:ascii="Times New Roman" w:hAnsi="Times New Roman"/>
          <w:sz w:val="24"/>
          <w:szCs w:val="24"/>
        </w:rPr>
        <w:t>Teismas sutiko su atsakovės argumentu, jog CPK 788 straipsnio 2 dalis įpareigoja atsakovę tik pareikšti jurisdikcinį prieštaravimą ir nustato tokio prieštaravimo pateikimo ribojimą laik</w:t>
      </w:r>
      <w:r w:rsidR="00F92FCA" w:rsidRPr="00034EDF">
        <w:rPr>
          <w:rFonts w:ascii="Times New Roman" w:hAnsi="Times New Roman"/>
          <w:sz w:val="24"/>
          <w:szCs w:val="24"/>
        </w:rPr>
        <w:t>o atžvilgiu</w:t>
      </w:r>
      <w:r w:rsidRPr="00034EDF">
        <w:rPr>
          <w:rFonts w:ascii="Times New Roman" w:hAnsi="Times New Roman"/>
          <w:sz w:val="24"/>
          <w:szCs w:val="24"/>
        </w:rPr>
        <w:t xml:space="preserve"> (iki bylos nagrinėjimo iš esmės pradžios), tačiau nenu</w:t>
      </w:r>
      <w:r w:rsidR="00F92FCA" w:rsidRPr="00034EDF">
        <w:rPr>
          <w:rFonts w:ascii="Times New Roman" w:hAnsi="Times New Roman"/>
          <w:sz w:val="24"/>
          <w:szCs w:val="24"/>
        </w:rPr>
        <w:t>st</w:t>
      </w:r>
      <w:r w:rsidRPr="00034EDF">
        <w:rPr>
          <w:rFonts w:ascii="Times New Roman" w:hAnsi="Times New Roman"/>
          <w:sz w:val="24"/>
          <w:szCs w:val="24"/>
        </w:rPr>
        <w:t>ato pareigos atsakov</w:t>
      </w:r>
      <w:r w:rsidR="00F92FCA" w:rsidRPr="00034EDF">
        <w:rPr>
          <w:rFonts w:ascii="Times New Roman" w:hAnsi="Times New Roman"/>
          <w:sz w:val="24"/>
          <w:szCs w:val="24"/>
        </w:rPr>
        <w:t>ei</w:t>
      </w:r>
      <w:r w:rsidRPr="00034EDF">
        <w:rPr>
          <w:rFonts w:ascii="Times New Roman" w:hAnsi="Times New Roman"/>
          <w:sz w:val="24"/>
          <w:szCs w:val="24"/>
        </w:rPr>
        <w:t xml:space="preserve"> įrodinėti</w:t>
      </w:r>
      <w:r w:rsidR="00F92FCA" w:rsidRPr="00034EDF">
        <w:rPr>
          <w:rFonts w:ascii="Times New Roman" w:hAnsi="Times New Roman"/>
          <w:sz w:val="24"/>
          <w:szCs w:val="24"/>
        </w:rPr>
        <w:t>,</w:t>
      </w:r>
      <w:r w:rsidRPr="00034EDF">
        <w:rPr>
          <w:rFonts w:ascii="Times New Roman" w:hAnsi="Times New Roman"/>
          <w:sz w:val="24"/>
          <w:szCs w:val="24"/>
        </w:rPr>
        <w:t xml:space="preserve"> su kuria iš valstybių ginčas yra labiau susijęs, kuo iš esmės remiasi ieškovė atskirajame skunde.</w:t>
      </w:r>
    </w:p>
    <w:p w14:paraId="5520ABAA" w14:textId="00C2369A" w:rsidR="002B2A44" w:rsidRPr="00034EDF" w:rsidRDefault="002B2A44" w:rsidP="00800F52">
      <w:pPr>
        <w:pStyle w:val="Sraopastraipa"/>
        <w:numPr>
          <w:ilvl w:val="0"/>
          <w:numId w:val="3"/>
        </w:numPr>
        <w:spacing w:after="120" w:line="240" w:lineRule="auto"/>
        <w:contextualSpacing w:val="0"/>
        <w:jc w:val="both"/>
        <w:rPr>
          <w:rFonts w:ascii="Times New Roman" w:hAnsi="Times New Roman"/>
          <w:sz w:val="24"/>
          <w:szCs w:val="24"/>
        </w:rPr>
      </w:pPr>
      <w:r w:rsidRPr="00034EDF">
        <w:rPr>
          <w:rFonts w:ascii="Times New Roman" w:hAnsi="Times New Roman"/>
          <w:sz w:val="24"/>
          <w:szCs w:val="24"/>
        </w:rPr>
        <w:t xml:space="preserve">Esant nurodytoms aplinkybėms, apeliacinės instancijos teismas pažymėjo, kad pirmosios instancijos teismas pagrįstai nurodė, jog ginčas nagrinėtinas kompetentingame Anglijos teisme, dėl </w:t>
      </w:r>
      <w:r w:rsidR="00F92FCA" w:rsidRPr="00034EDF">
        <w:rPr>
          <w:rFonts w:ascii="Times New Roman" w:hAnsi="Times New Roman"/>
          <w:sz w:val="24"/>
          <w:szCs w:val="24"/>
        </w:rPr>
        <w:t>t</w:t>
      </w:r>
      <w:r w:rsidRPr="00034EDF">
        <w:rPr>
          <w:rFonts w:ascii="Times New Roman" w:hAnsi="Times New Roman"/>
          <w:sz w:val="24"/>
          <w:szCs w:val="24"/>
        </w:rPr>
        <w:t>o pagrįstai ieškovės ieškinį palik</w:t>
      </w:r>
      <w:r w:rsidR="000308C1" w:rsidRPr="00034EDF">
        <w:rPr>
          <w:rFonts w:ascii="Times New Roman" w:hAnsi="Times New Roman"/>
          <w:sz w:val="24"/>
          <w:szCs w:val="24"/>
        </w:rPr>
        <w:t>o</w:t>
      </w:r>
      <w:r w:rsidRPr="00034EDF">
        <w:rPr>
          <w:rFonts w:ascii="Times New Roman" w:hAnsi="Times New Roman"/>
          <w:sz w:val="24"/>
          <w:szCs w:val="24"/>
        </w:rPr>
        <w:t xml:space="preserve"> nenagrinėt</w:t>
      </w:r>
      <w:r w:rsidR="000308C1" w:rsidRPr="00034EDF">
        <w:rPr>
          <w:rFonts w:ascii="Times New Roman" w:hAnsi="Times New Roman"/>
          <w:sz w:val="24"/>
          <w:szCs w:val="24"/>
        </w:rPr>
        <w:t>ą</w:t>
      </w:r>
      <w:r w:rsidRPr="00034EDF">
        <w:rPr>
          <w:rFonts w:ascii="Times New Roman" w:hAnsi="Times New Roman"/>
          <w:sz w:val="24"/>
          <w:szCs w:val="24"/>
        </w:rPr>
        <w:t xml:space="preserve"> kaip neteisming</w:t>
      </w:r>
      <w:r w:rsidR="000308C1" w:rsidRPr="00034EDF">
        <w:rPr>
          <w:rFonts w:ascii="Times New Roman" w:hAnsi="Times New Roman"/>
          <w:sz w:val="24"/>
          <w:szCs w:val="24"/>
        </w:rPr>
        <w:t>ą</w:t>
      </w:r>
      <w:r w:rsidRPr="00034EDF">
        <w:rPr>
          <w:rFonts w:ascii="Times New Roman" w:hAnsi="Times New Roman"/>
          <w:sz w:val="24"/>
          <w:szCs w:val="24"/>
        </w:rPr>
        <w:t xml:space="preserve"> Lietuvos Respublikos teismams.</w:t>
      </w:r>
    </w:p>
    <w:p w14:paraId="60522D5F" w14:textId="1B18A239" w:rsidR="00123EE2" w:rsidRPr="00034EDF" w:rsidRDefault="00123EE2">
      <w:pPr>
        <w:pStyle w:val="Sraopastraipa"/>
        <w:spacing w:after="120" w:line="240" w:lineRule="auto"/>
        <w:ind w:left="0" w:firstLine="720"/>
        <w:contextualSpacing w:val="0"/>
        <w:jc w:val="both"/>
        <w:rPr>
          <w:rFonts w:ascii="Times New Roman" w:hAnsi="Times New Roman"/>
          <w:sz w:val="24"/>
          <w:szCs w:val="24"/>
        </w:rPr>
      </w:pPr>
    </w:p>
    <w:p w14:paraId="4BA3775E" w14:textId="77777777" w:rsidR="00123EE2" w:rsidRPr="00034EDF"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sidRPr="00034EDF">
        <w:rPr>
          <w:rFonts w:ascii="Times New Roman" w:hAnsi="Times New Roman"/>
          <w:sz w:val="24"/>
          <w:szCs w:val="24"/>
        </w:rPr>
        <w:t>III. Kasacinio skundo ir atsiliepimo į jį teisiniai argumentai</w:t>
      </w:r>
    </w:p>
    <w:p w14:paraId="59273387" w14:textId="36D6ED99" w:rsidR="00123EE2" w:rsidRPr="00034EDF" w:rsidRDefault="00123EE2">
      <w:pPr>
        <w:pStyle w:val="Sraopastraipa"/>
        <w:spacing w:after="120" w:line="240" w:lineRule="auto"/>
        <w:ind w:left="0" w:firstLine="720"/>
        <w:contextualSpacing w:val="0"/>
        <w:jc w:val="both"/>
        <w:rPr>
          <w:rFonts w:ascii="Times New Roman" w:hAnsi="Times New Roman"/>
          <w:sz w:val="24"/>
          <w:szCs w:val="24"/>
        </w:rPr>
      </w:pPr>
    </w:p>
    <w:p w14:paraId="4FF0AED7" w14:textId="352626BF" w:rsidR="00123EE2" w:rsidRPr="00034EDF" w:rsidRDefault="00A80C8A" w:rsidP="00F1698B">
      <w:pPr>
        <w:pStyle w:val="Sraopastraipa"/>
        <w:numPr>
          <w:ilvl w:val="0"/>
          <w:numId w:val="3"/>
        </w:numPr>
        <w:spacing w:after="120" w:line="240" w:lineRule="auto"/>
        <w:contextualSpacing w:val="0"/>
        <w:jc w:val="both"/>
        <w:rPr>
          <w:rFonts w:ascii="Times New Roman" w:hAnsi="Times New Roman"/>
          <w:sz w:val="24"/>
          <w:szCs w:val="24"/>
        </w:rPr>
      </w:pPr>
      <w:r w:rsidRPr="00034EDF">
        <w:rPr>
          <w:rFonts w:ascii="Times New Roman" w:hAnsi="Times New Roman"/>
          <w:sz w:val="24"/>
          <w:szCs w:val="24"/>
        </w:rPr>
        <w:t>Kasaciniu skundu ieškov</w:t>
      </w:r>
      <w:r w:rsidR="00D26ECC" w:rsidRPr="00034EDF">
        <w:rPr>
          <w:rFonts w:ascii="Times New Roman" w:hAnsi="Times New Roman"/>
          <w:sz w:val="24"/>
          <w:szCs w:val="24"/>
        </w:rPr>
        <w:t xml:space="preserve">ė UAB „Paysera“ </w:t>
      </w:r>
      <w:r w:rsidRPr="00034EDF">
        <w:rPr>
          <w:rFonts w:ascii="Times New Roman" w:hAnsi="Times New Roman"/>
          <w:sz w:val="24"/>
          <w:szCs w:val="24"/>
        </w:rPr>
        <w:t xml:space="preserve">prašo </w:t>
      </w:r>
      <w:r w:rsidR="00D26ECC" w:rsidRPr="00034EDF">
        <w:rPr>
          <w:rFonts w:ascii="Times New Roman" w:hAnsi="Times New Roman"/>
          <w:sz w:val="24"/>
          <w:szCs w:val="24"/>
        </w:rPr>
        <w:t xml:space="preserve">panaikinti Vilniaus apygardos teismo 2023 m. lapkričio 30 d. nutartį ir grąžinti ieškinio priėmimo klausimą spręsti iš naujo pirmosios instancijos teismui. </w:t>
      </w:r>
      <w:r w:rsidRPr="00034EDF">
        <w:rPr>
          <w:rFonts w:ascii="Times New Roman" w:hAnsi="Times New Roman"/>
          <w:sz w:val="24"/>
          <w:szCs w:val="24"/>
        </w:rPr>
        <w:t>Kasacinis skundas grindžiamas šiais argumentais:</w:t>
      </w:r>
    </w:p>
    <w:p w14:paraId="700971A8" w14:textId="53E8405D" w:rsidR="00123EE2" w:rsidRPr="00034EDF" w:rsidRDefault="00B30192" w:rsidP="00071317">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034EDF">
        <w:rPr>
          <w:rFonts w:ascii="Times New Roman" w:hAnsi="Times New Roman"/>
          <w:sz w:val="24"/>
          <w:szCs w:val="24"/>
        </w:rPr>
        <w:t>Apeliacinės instancijos t</w:t>
      </w:r>
      <w:r w:rsidR="006F161B" w:rsidRPr="00034EDF">
        <w:rPr>
          <w:rFonts w:ascii="Times New Roman" w:hAnsi="Times New Roman"/>
          <w:sz w:val="24"/>
          <w:szCs w:val="24"/>
        </w:rPr>
        <w:t>eismas pažeidė CPK 788 straipsnio 2 dalį</w:t>
      </w:r>
      <w:r w:rsidR="00F92FCA" w:rsidRPr="00034EDF">
        <w:rPr>
          <w:rFonts w:ascii="Times New Roman" w:hAnsi="Times New Roman"/>
          <w:sz w:val="24"/>
          <w:szCs w:val="24"/>
        </w:rPr>
        <w:t>,</w:t>
      </w:r>
      <w:r w:rsidR="006F161B" w:rsidRPr="00034EDF">
        <w:rPr>
          <w:rFonts w:ascii="Times New Roman" w:hAnsi="Times New Roman"/>
          <w:sz w:val="24"/>
          <w:szCs w:val="24"/>
        </w:rPr>
        <w:t xml:space="preserve"> nurodydamas, kad šalis neturi pareigos motyvuoti prašymo dėl teismingumo laikymosi ir įrodinėti, su kuria iš valstybių ginčas yra labiau susijęs.</w:t>
      </w:r>
      <w:r w:rsidR="00BA44C8" w:rsidRPr="00034EDF">
        <w:rPr>
          <w:rFonts w:ascii="Times New Roman" w:hAnsi="Times New Roman"/>
          <w:sz w:val="24"/>
          <w:szCs w:val="24"/>
        </w:rPr>
        <w:t xml:space="preserve"> Remiantis CPK 788 straipsnio 2 dalimi</w:t>
      </w:r>
      <w:r w:rsidR="00F92FCA" w:rsidRPr="00034EDF">
        <w:rPr>
          <w:rFonts w:ascii="Times New Roman" w:hAnsi="Times New Roman"/>
          <w:sz w:val="24"/>
          <w:szCs w:val="24"/>
        </w:rPr>
        <w:t>,</w:t>
      </w:r>
      <w:r w:rsidR="00BA44C8" w:rsidRPr="00034EDF">
        <w:rPr>
          <w:rFonts w:ascii="Times New Roman" w:hAnsi="Times New Roman"/>
          <w:sz w:val="24"/>
          <w:szCs w:val="24"/>
        </w:rPr>
        <w:t xml:space="preserve"> prašyme taikyti susitarimą dėl jurisdikcijos turi būti įrodinėjama</w:t>
      </w:r>
      <w:r w:rsidR="00F92FCA" w:rsidRPr="00034EDF">
        <w:rPr>
          <w:rFonts w:ascii="Times New Roman" w:hAnsi="Times New Roman"/>
          <w:sz w:val="24"/>
          <w:szCs w:val="24"/>
        </w:rPr>
        <w:t>,</w:t>
      </w:r>
      <w:r w:rsidR="00BA44C8" w:rsidRPr="00034EDF">
        <w:rPr>
          <w:rFonts w:ascii="Times New Roman" w:hAnsi="Times New Roman"/>
          <w:sz w:val="24"/>
          <w:szCs w:val="24"/>
        </w:rPr>
        <w:t xml:space="preserve"> su kuria valstybe ginčas yra labiau susijęs. Ginčo šalys pagal įsisteigimo vietą, jų veiklą reglamentuojančius teisės aktus yra susijusios su Lietuvos Respublika. Ginčo šalių sutartinių santykių pobūdis yra susijęs su Lietuvos Respublika, be to</w:t>
      </w:r>
      <w:r w:rsidR="00776370" w:rsidRPr="00034EDF">
        <w:rPr>
          <w:rFonts w:ascii="Times New Roman" w:hAnsi="Times New Roman"/>
          <w:sz w:val="24"/>
          <w:szCs w:val="24"/>
        </w:rPr>
        <w:t>,</w:t>
      </w:r>
      <w:r w:rsidR="00BA44C8" w:rsidRPr="00034EDF">
        <w:rPr>
          <w:rFonts w:ascii="Times New Roman" w:hAnsi="Times New Roman"/>
          <w:sz w:val="24"/>
          <w:szCs w:val="24"/>
        </w:rPr>
        <w:t xml:space="preserve"> tik nagrinėjant ginčą Lietuvos teismuose būtų užtikrintas viešasis interesas. Galiausiai, šalys susitarimu dėl jurisdikcijos gali pasirinkti tik tokios valstybės teismus, su kuria ta byla turi tam tik</w:t>
      </w:r>
      <w:r w:rsidR="00776370" w:rsidRPr="00034EDF">
        <w:rPr>
          <w:rFonts w:ascii="Times New Roman" w:hAnsi="Times New Roman"/>
          <w:sz w:val="24"/>
          <w:szCs w:val="24"/>
        </w:rPr>
        <w:t>rą</w:t>
      </w:r>
      <w:r w:rsidR="00BA44C8" w:rsidRPr="00034EDF">
        <w:rPr>
          <w:rFonts w:ascii="Times New Roman" w:hAnsi="Times New Roman"/>
          <w:sz w:val="24"/>
          <w:szCs w:val="24"/>
        </w:rPr>
        <w:t xml:space="preserve"> ryšį. Anglijos teismai su nagrinėjama byla ryšio neturi.</w:t>
      </w:r>
    </w:p>
    <w:p w14:paraId="355A1A51" w14:textId="35B55D41" w:rsidR="00123EE2" w:rsidRPr="00034EDF" w:rsidRDefault="00B30192">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034EDF">
        <w:rPr>
          <w:rFonts w:ascii="Times New Roman" w:hAnsi="Times New Roman"/>
          <w:sz w:val="24"/>
          <w:szCs w:val="24"/>
        </w:rPr>
        <w:t xml:space="preserve">Apeliacinės instancijos teismas </w:t>
      </w:r>
      <w:r w:rsidR="00BA44C8" w:rsidRPr="00034EDF">
        <w:rPr>
          <w:rFonts w:ascii="Times New Roman" w:hAnsi="Times New Roman"/>
          <w:sz w:val="24"/>
          <w:szCs w:val="24"/>
        </w:rPr>
        <w:t>pažeidė CPK 331 straipsnio 4 dalį, įtvirtinančią pareigą motyvuoti sprendimą</w:t>
      </w:r>
      <w:r w:rsidR="00776370" w:rsidRPr="00034EDF">
        <w:rPr>
          <w:rFonts w:ascii="Times New Roman" w:hAnsi="Times New Roman"/>
          <w:sz w:val="24"/>
          <w:szCs w:val="24"/>
        </w:rPr>
        <w:t>,</w:t>
      </w:r>
      <w:r w:rsidR="00BA44C8" w:rsidRPr="00034EDF">
        <w:rPr>
          <w:rFonts w:ascii="Times New Roman" w:hAnsi="Times New Roman"/>
          <w:sz w:val="24"/>
          <w:szCs w:val="24"/>
        </w:rPr>
        <w:t xml:space="preserve"> ir nukrypo nuo kasacinio teismo praktikos. </w:t>
      </w:r>
      <w:r w:rsidR="00B85131" w:rsidRPr="00034EDF">
        <w:rPr>
          <w:rFonts w:ascii="Times New Roman" w:hAnsi="Times New Roman"/>
          <w:sz w:val="24"/>
          <w:szCs w:val="24"/>
        </w:rPr>
        <w:t>Teismas skundžiamoje nutartyje nevertino ir nepateikė jokių motyvų dėl ieškovės argumentų, kad: (i) pirmosios instancijos teismas nepagrįstai nesuteikė ieškovei termino atsiliepti į atsakovės 2023 m. rugsėjo 15 d. prašymą palikti ieškinį nenagrinėtą ir taip apribojo ieškovės teisę būti išklausytai; (ii) pirmosios instancijos teismas nustatė aplinkybes, kurių atsakovė prašyme nebuvo nurodžiusi; (iii) pirmosios instancijos teismas pažeidė dispozityvumo principą dėl ieškovės teisės pasirinkti subjektą, kuriam reikšti ieškinį; (iv) pirmosios instancijos teismas nepasisakė ir nepagrįstai nevertino, kad ginčo šalys ir šalių sutartinių santykių pobūdis yra išimtinai susiję su Lietuvos Respublika, o ne Anglija.</w:t>
      </w:r>
      <w:r w:rsidR="006A6889" w:rsidRPr="00034EDF">
        <w:rPr>
          <w:rFonts w:ascii="Times New Roman" w:hAnsi="Times New Roman"/>
          <w:sz w:val="24"/>
          <w:szCs w:val="24"/>
        </w:rPr>
        <w:t xml:space="preserve"> Neatsakius į šiuos ieškovės argumentus, turi būti laikoma, kad nutartis yra be motyvų. </w:t>
      </w:r>
    </w:p>
    <w:p w14:paraId="08112E96" w14:textId="50F7A6BE" w:rsidR="006A6889" w:rsidRPr="00034EDF" w:rsidRDefault="00B30192" w:rsidP="003B5A7C">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034EDF">
        <w:rPr>
          <w:rFonts w:ascii="Times New Roman" w:hAnsi="Times New Roman"/>
          <w:sz w:val="24"/>
          <w:szCs w:val="24"/>
        </w:rPr>
        <w:t xml:space="preserve">Apeliacinės instancijos teismas </w:t>
      </w:r>
      <w:r w:rsidR="006A6889" w:rsidRPr="00034EDF">
        <w:rPr>
          <w:rFonts w:ascii="Times New Roman" w:hAnsi="Times New Roman"/>
          <w:sz w:val="24"/>
          <w:szCs w:val="24"/>
        </w:rPr>
        <w:t>pažeidė CPK 5 straipsnio 2 dalį.</w:t>
      </w:r>
      <w:r w:rsidR="006A6889" w:rsidRPr="00034EDF">
        <w:t xml:space="preserve"> </w:t>
      </w:r>
      <w:r w:rsidR="006A6889" w:rsidRPr="00034EDF">
        <w:rPr>
          <w:rFonts w:ascii="Times New Roman" w:hAnsi="Times New Roman"/>
          <w:sz w:val="24"/>
          <w:szCs w:val="24"/>
        </w:rPr>
        <w:t>Teismas skundžiama nutartimi, patvirtindamas Sutarties nuostatą dėl to, kad šalis negalės kelti pretenzijų dėl pasirinkto teismo nepatogumo, pažeidė CPK 5 straipsnio 2 dalį, kuri imperatyviai nurodo, jog atsisakymas teisės kreiptis į teismą negalioja.</w:t>
      </w:r>
    </w:p>
    <w:p w14:paraId="5CB058A3" w14:textId="0FFA244D" w:rsidR="00123EE2" w:rsidRPr="00034EDF" w:rsidRDefault="00B30192">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034EDF">
        <w:rPr>
          <w:rFonts w:ascii="Times New Roman" w:hAnsi="Times New Roman"/>
          <w:sz w:val="24"/>
          <w:szCs w:val="24"/>
        </w:rPr>
        <w:t xml:space="preserve">Apeliacinės instancijos teismas </w:t>
      </w:r>
      <w:r w:rsidR="00E2695E" w:rsidRPr="00034EDF">
        <w:rPr>
          <w:rFonts w:ascii="Times New Roman" w:hAnsi="Times New Roman"/>
          <w:sz w:val="24"/>
          <w:szCs w:val="24"/>
        </w:rPr>
        <w:t>pažeidė CPK 782 straipsnį</w:t>
      </w:r>
      <w:r w:rsidR="002E25CA" w:rsidRPr="00034EDF">
        <w:rPr>
          <w:rFonts w:ascii="Times New Roman" w:hAnsi="Times New Roman"/>
          <w:sz w:val="24"/>
          <w:szCs w:val="24"/>
        </w:rPr>
        <w:t xml:space="preserve">. Minimas straipsnis nurodo, kad bylą nagrinėjantis teismas privalo savo iniciatyva patikrinti, ar byla teisminga Lietuvos Respublikos teismams. Teismas skundžiama nutartimi peržengė savo kompetenciją ir įvertino kitų užsienio valstybių jurisdikciją nagrinėti šį ginčą, t. y. konkrečiai nurodė Anglijos teismus kaip teismingus </w:t>
      </w:r>
      <w:r w:rsidR="00C52553" w:rsidRPr="00034EDF">
        <w:rPr>
          <w:rFonts w:ascii="Times New Roman" w:hAnsi="Times New Roman"/>
          <w:sz w:val="24"/>
          <w:szCs w:val="24"/>
        </w:rPr>
        <w:t xml:space="preserve">nagrinėti </w:t>
      </w:r>
      <w:r w:rsidR="002E25CA" w:rsidRPr="00034EDF">
        <w:rPr>
          <w:rFonts w:ascii="Times New Roman" w:hAnsi="Times New Roman"/>
          <w:sz w:val="24"/>
          <w:szCs w:val="24"/>
        </w:rPr>
        <w:t>š</w:t>
      </w:r>
      <w:r w:rsidR="00C52553" w:rsidRPr="00034EDF">
        <w:rPr>
          <w:rFonts w:ascii="Times New Roman" w:hAnsi="Times New Roman"/>
          <w:sz w:val="24"/>
          <w:szCs w:val="24"/>
        </w:rPr>
        <w:t>į</w:t>
      </w:r>
      <w:r w:rsidR="002E25CA" w:rsidRPr="00034EDF">
        <w:rPr>
          <w:rFonts w:ascii="Times New Roman" w:hAnsi="Times New Roman"/>
          <w:sz w:val="24"/>
          <w:szCs w:val="24"/>
        </w:rPr>
        <w:t xml:space="preserve"> ginč</w:t>
      </w:r>
      <w:r w:rsidR="00C52553" w:rsidRPr="00034EDF">
        <w:rPr>
          <w:rFonts w:ascii="Times New Roman" w:hAnsi="Times New Roman"/>
          <w:sz w:val="24"/>
          <w:szCs w:val="24"/>
        </w:rPr>
        <w:t>ą</w:t>
      </w:r>
      <w:r w:rsidR="002E25CA" w:rsidRPr="00034EDF">
        <w:rPr>
          <w:rFonts w:ascii="Times New Roman" w:hAnsi="Times New Roman"/>
          <w:sz w:val="24"/>
          <w:szCs w:val="24"/>
        </w:rPr>
        <w:t>.</w:t>
      </w:r>
    </w:p>
    <w:p w14:paraId="74453C6E" w14:textId="72A80F72" w:rsidR="00123EE2" w:rsidRPr="00034EDF" w:rsidRDefault="002E25CA">
      <w:pPr>
        <w:pStyle w:val="Sraopastraipa"/>
        <w:numPr>
          <w:ilvl w:val="0"/>
          <w:numId w:val="3"/>
        </w:numPr>
        <w:spacing w:after="120" w:line="240" w:lineRule="auto"/>
        <w:contextualSpacing w:val="0"/>
        <w:jc w:val="both"/>
        <w:rPr>
          <w:rFonts w:ascii="Times New Roman" w:hAnsi="Times New Roman"/>
          <w:iCs/>
          <w:sz w:val="24"/>
          <w:szCs w:val="24"/>
        </w:rPr>
      </w:pPr>
      <w:r w:rsidRPr="00034EDF">
        <w:rPr>
          <w:rFonts w:ascii="Times New Roman" w:hAnsi="Times New Roman"/>
          <w:sz w:val="24"/>
          <w:szCs w:val="24"/>
        </w:rPr>
        <w:lastRenderedPageBreak/>
        <w:t>Atsakovė UAB „Finansinės paslaugos „Contis“</w:t>
      </w:r>
      <w:r w:rsidR="00A80C8A" w:rsidRPr="00034EDF">
        <w:rPr>
          <w:rFonts w:ascii="Times New Roman" w:hAnsi="Times New Roman"/>
          <w:sz w:val="24"/>
          <w:szCs w:val="24"/>
        </w:rPr>
        <w:t xml:space="preserve"> </w:t>
      </w:r>
      <w:r w:rsidR="00A80C8A" w:rsidRPr="00034EDF">
        <w:rPr>
          <w:rFonts w:ascii="Times New Roman" w:hAnsi="Times New Roman"/>
          <w:iCs/>
          <w:sz w:val="24"/>
          <w:szCs w:val="24"/>
        </w:rPr>
        <w:t>atsiliepimu į kasacinį skundą prašo</w:t>
      </w:r>
      <w:r w:rsidR="00A80C8A" w:rsidRPr="00034EDF">
        <w:rPr>
          <w:rFonts w:ascii="Times New Roman" w:hAnsi="Times New Roman"/>
          <w:b/>
          <w:iCs/>
          <w:sz w:val="24"/>
          <w:szCs w:val="24"/>
        </w:rPr>
        <w:t xml:space="preserve"> </w:t>
      </w:r>
      <w:r w:rsidRPr="00034EDF">
        <w:rPr>
          <w:rFonts w:ascii="Times New Roman" w:hAnsi="Times New Roman"/>
          <w:bCs/>
          <w:iCs/>
          <w:sz w:val="24"/>
          <w:szCs w:val="24"/>
        </w:rPr>
        <w:t>kasacinį skundą atmesti</w:t>
      </w:r>
      <w:r w:rsidR="00A80C8A" w:rsidRPr="00034EDF">
        <w:rPr>
          <w:rFonts w:ascii="Times New Roman" w:hAnsi="Times New Roman"/>
          <w:sz w:val="24"/>
          <w:szCs w:val="24"/>
        </w:rPr>
        <w:t>. Atsiliepime nurodomi šie argumentai:</w:t>
      </w:r>
    </w:p>
    <w:p w14:paraId="1F2C3249" w14:textId="0A4F62C3" w:rsidR="00123EE2" w:rsidRPr="00034EDF" w:rsidRDefault="002E25CA" w:rsidP="0035784D">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034EDF">
        <w:rPr>
          <w:rFonts w:ascii="Times New Roman" w:hAnsi="Times New Roman"/>
          <w:iCs/>
          <w:sz w:val="24"/>
          <w:szCs w:val="24"/>
        </w:rPr>
        <w:t xml:space="preserve">Jurisdikcinių susitarimų įrodinėjimą ir jų vertinimą reglamentuojančios teisės normos šioje </w:t>
      </w:r>
      <w:r w:rsidRPr="00034EDF">
        <w:rPr>
          <w:rFonts w:ascii="Times New Roman" w:hAnsi="Times New Roman"/>
          <w:sz w:val="24"/>
          <w:szCs w:val="24"/>
        </w:rPr>
        <w:t>byloje pritaikytos teisingai. Jurisdikcinis susitarimas yra viena iš sutarties laisvės principo išraiškos formų. Vienas iš pagrindinių sutartinės jurisdikcijos aspektų yra tas, kad jurisdikcija susitarimo pagrindu yra galima tais atvejais, kai pasirinktas teismas, nesant jurisdikcinio susitarimo, jurisdikcijos apskritai neturėtų (t. y. nesant jokio ryšio tarp bylos ir teismo). Vien ši sutartinės jurisdikcijos ypatybė yra pakankama ieškovės skunde keliamų argumentų nepagrįstum</w:t>
      </w:r>
      <w:r w:rsidR="00776370" w:rsidRPr="00034EDF">
        <w:rPr>
          <w:rFonts w:ascii="Times New Roman" w:hAnsi="Times New Roman"/>
          <w:sz w:val="24"/>
          <w:szCs w:val="24"/>
        </w:rPr>
        <w:t>ui įrodyti</w:t>
      </w:r>
      <w:r w:rsidRPr="00034EDF">
        <w:rPr>
          <w:rFonts w:ascii="Times New Roman" w:hAnsi="Times New Roman"/>
          <w:sz w:val="24"/>
          <w:szCs w:val="24"/>
        </w:rPr>
        <w:t>.</w:t>
      </w:r>
      <w:r w:rsidR="00C6138F" w:rsidRPr="00034EDF">
        <w:rPr>
          <w:rFonts w:ascii="Times New Roman" w:hAnsi="Times New Roman"/>
          <w:sz w:val="24"/>
          <w:szCs w:val="24"/>
        </w:rPr>
        <w:t xml:space="preserve"> Aiškinant CPK 788 straipsnį ieškovės siūlomu būdu, nebūtų pasiekti jurisdikciniais susitarimais siekiami tikslai, nes tokį susitarimą taikyti reikalaujančiai šaliai tektų įrodinėti papildomas aplinkybes.</w:t>
      </w:r>
    </w:p>
    <w:p w14:paraId="7D91EAC4" w14:textId="228C7C94" w:rsidR="00123EE2" w:rsidRPr="00034EDF" w:rsidRDefault="00C6138F" w:rsidP="00A52D8D">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034EDF">
        <w:rPr>
          <w:rFonts w:ascii="Times New Roman" w:hAnsi="Times New Roman"/>
          <w:sz w:val="24"/>
          <w:szCs w:val="24"/>
        </w:rPr>
        <w:t>Ieškovės pozicija dėl tariamo sąsajų poreikio neatitinka ir naujausios E</w:t>
      </w:r>
      <w:r w:rsidR="00C52553" w:rsidRPr="00034EDF">
        <w:rPr>
          <w:rFonts w:ascii="Times New Roman" w:hAnsi="Times New Roman"/>
          <w:sz w:val="24"/>
          <w:szCs w:val="24"/>
        </w:rPr>
        <w:t xml:space="preserve">uropos </w:t>
      </w:r>
      <w:r w:rsidRPr="00034EDF">
        <w:rPr>
          <w:rFonts w:ascii="Times New Roman" w:hAnsi="Times New Roman"/>
          <w:sz w:val="24"/>
          <w:szCs w:val="24"/>
        </w:rPr>
        <w:t>S</w:t>
      </w:r>
      <w:r w:rsidR="00C52553" w:rsidRPr="00034EDF">
        <w:rPr>
          <w:rFonts w:ascii="Times New Roman" w:hAnsi="Times New Roman"/>
          <w:sz w:val="24"/>
          <w:szCs w:val="24"/>
        </w:rPr>
        <w:t xml:space="preserve">ąjungos </w:t>
      </w:r>
      <w:r w:rsidRPr="00034EDF">
        <w:rPr>
          <w:rFonts w:ascii="Times New Roman" w:hAnsi="Times New Roman"/>
          <w:sz w:val="24"/>
          <w:szCs w:val="24"/>
        </w:rPr>
        <w:t>T</w:t>
      </w:r>
      <w:r w:rsidR="00C52553" w:rsidRPr="00034EDF">
        <w:rPr>
          <w:rFonts w:ascii="Times New Roman" w:hAnsi="Times New Roman"/>
          <w:sz w:val="24"/>
          <w:szCs w:val="24"/>
        </w:rPr>
        <w:t xml:space="preserve">eisingumo </w:t>
      </w:r>
      <w:r w:rsidRPr="00034EDF">
        <w:rPr>
          <w:rFonts w:ascii="Times New Roman" w:hAnsi="Times New Roman"/>
          <w:sz w:val="24"/>
          <w:szCs w:val="24"/>
        </w:rPr>
        <w:t>T</w:t>
      </w:r>
      <w:r w:rsidR="00C52553" w:rsidRPr="00034EDF">
        <w:rPr>
          <w:rFonts w:ascii="Times New Roman" w:hAnsi="Times New Roman"/>
          <w:sz w:val="24"/>
          <w:szCs w:val="24"/>
        </w:rPr>
        <w:t>eismo (toliau – ESTT)</w:t>
      </w:r>
      <w:r w:rsidRPr="00034EDF">
        <w:rPr>
          <w:rFonts w:ascii="Times New Roman" w:hAnsi="Times New Roman"/>
          <w:sz w:val="24"/>
          <w:szCs w:val="24"/>
        </w:rPr>
        <w:t xml:space="preserve"> praktikos, rodančios tarptautines tendencijas šioje srityje. Sprendime</w:t>
      </w:r>
      <w:r w:rsidR="00776370" w:rsidRPr="00034EDF">
        <w:rPr>
          <w:rFonts w:ascii="Times New Roman" w:hAnsi="Times New Roman"/>
          <w:sz w:val="24"/>
          <w:szCs w:val="24"/>
        </w:rPr>
        <w:t xml:space="preserve"> byloje</w:t>
      </w:r>
      <w:r w:rsidRPr="00034EDF">
        <w:rPr>
          <w:rFonts w:ascii="Times New Roman" w:hAnsi="Times New Roman"/>
          <w:sz w:val="24"/>
          <w:szCs w:val="24"/>
        </w:rPr>
        <w:t xml:space="preserve"> </w:t>
      </w:r>
      <w:r w:rsidRPr="00034EDF">
        <w:rPr>
          <w:rFonts w:ascii="Times New Roman" w:hAnsi="Times New Roman"/>
          <w:i/>
          <w:iCs/>
          <w:sz w:val="24"/>
          <w:szCs w:val="24"/>
        </w:rPr>
        <w:t>Inkreal</w:t>
      </w:r>
      <w:r w:rsidRPr="00034EDF">
        <w:rPr>
          <w:rFonts w:ascii="Times New Roman" w:hAnsi="Times New Roman"/>
          <w:sz w:val="24"/>
          <w:szCs w:val="24"/>
        </w:rPr>
        <w:t xml:space="preserve"> ESTT išaiškino, kad </w:t>
      </w:r>
      <w:r w:rsidR="001C0735" w:rsidRPr="00034EDF">
        <w:rPr>
          <w:rFonts w:ascii="Times New Roman" w:hAnsi="Times New Roman"/>
          <w:sz w:val="24"/>
          <w:szCs w:val="24"/>
        </w:rPr>
        <w:t xml:space="preserve">2012 m. gruodžio 12 d. Europos Parlamento ir Tarybos reglamentui (ES) Nr. 1215/2012 dėl jurisdikcijos ir teismo sprendimų civilinėse ir komercinėse bylose pripažinimo ir vykdymo </w:t>
      </w:r>
      <w:r w:rsidRPr="00034EDF">
        <w:rPr>
          <w:rFonts w:ascii="Times New Roman" w:hAnsi="Times New Roman"/>
          <w:sz w:val="24"/>
          <w:szCs w:val="24"/>
        </w:rPr>
        <w:t>taiky</w:t>
      </w:r>
      <w:r w:rsidR="00776370" w:rsidRPr="00034EDF">
        <w:rPr>
          <w:rFonts w:ascii="Times New Roman" w:hAnsi="Times New Roman"/>
          <w:sz w:val="24"/>
          <w:szCs w:val="24"/>
        </w:rPr>
        <w:t>t</w:t>
      </w:r>
      <w:r w:rsidRPr="00034EDF">
        <w:rPr>
          <w:rFonts w:ascii="Times New Roman" w:hAnsi="Times New Roman"/>
          <w:sz w:val="24"/>
          <w:szCs w:val="24"/>
        </w:rPr>
        <w:t>i reikalingas „užsienio elemento“ kriterijus tenkinamas, kai sutarties šalys, gyvenančios</w:t>
      </w:r>
      <w:r w:rsidR="00776370" w:rsidRPr="00034EDF">
        <w:rPr>
          <w:rFonts w:ascii="Times New Roman" w:hAnsi="Times New Roman"/>
          <w:sz w:val="24"/>
          <w:szCs w:val="24"/>
        </w:rPr>
        <w:t xml:space="preserve"> ar </w:t>
      </w:r>
      <w:r w:rsidRPr="00034EDF">
        <w:rPr>
          <w:rFonts w:ascii="Times New Roman" w:hAnsi="Times New Roman"/>
          <w:sz w:val="24"/>
          <w:szCs w:val="24"/>
        </w:rPr>
        <w:t>turinčios buveinę toje pačioje ES valstybėje narėje, susitaria spręsti tarpusavio ginčus kitos valstybės narės teismuose, net jei jų sutartis neturi jokio ryšio su ta valstybe nare („vidaus situacija“). Taigi ESTT nurodė, jog jurisdikciniam susitarimui nereikalingos jokios sąsajos su atitinkama valstybe nare, o ieškovės siūlomas CPK 788 straipsnio aiškinimas tiesiogiai prieštarauja naujausioms tarptautinės privatinės teisės tendencijoms.</w:t>
      </w:r>
    </w:p>
    <w:p w14:paraId="1C6AC131" w14:textId="60F29A30" w:rsidR="004E0AF6" w:rsidRPr="00034EDF" w:rsidRDefault="00776370" w:rsidP="004E0AF6">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034EDF">
        <w:rPr>
          <w:rFonts w:ascii="Times New Roman" w:hAnsi="Times New Roman"/>
          <w:sz w:val="24"/>
          <w:szCs w:val="24"/>
        </w:rPr>
        <w:t>Vadovaujantis</w:t>
      </w:r>
      <w:r w:rsidR="004E0AF6" w:rsidRPr="00034EDF">
        <w:rPr>
          <w:rFonts w:ascii="Times New Roman" w:hAnsi="Times New Roman"/>
          <w:sz w:val="24"/>
          <w:szCs w:val="24"/>
        </w:rPr>
        <w:t xml:space="preserve"> CPK 788 straipsnio 2 dalimi</w:t>
      </w:r>
      <w:r w:rsidRPr="00034EDF">
        <w:rPr>
          <w:rFonts w:ascii="Times New Roman" w:hAnsi="Times New Roman"/>
          <w:sz w:val="24"/>
          <w:szCs w:val="24"/>
        </w:rPr>
        <w:t>,</w:t>
      </w:r>
      <w:r w:rsidR="004E0AF6" w:rsidRPr="00034EDF">
        <w:rPr>
          <w:rFonts w:ascii="Times New Roman" w:hAnsi="Times New Roman"/>
          <w:sz w:val="24"/>
          <w:szCs w:val="24"/>
        </w:rPr>
        <w:t xml:space="preserve"> šalis, kuri remiasi jurisdikciniu susitarimu, turi pagrįsti tik jurisdikcinio susitarimo vertinimui aktualias aplinkybes: jo egzistavimą, galiojimą bei ribas, o kilus ginčui dėl išimtinės jurisdikcijos – teikti argumentus dėl jos.</w:t>
      </w:r>
    </w:p>
    <w:p w14:paraId="25F8407A" w14:textId="23583CB9" w:rsidR="004E0AF6" w:rsidRPr="00034EDF" w:rsidRDefault="004E0AF6" w:rsidP="003B3442">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034EDF">
        <w:rPr>
          <w:rFonts w:ascii="Times New Roman" w:hAnsi="Times New Roman"/>
          <w:sz w:val="24"/>
          <w:szCs w:val="24"/>
        </w:rPr>
        <w:t xml:space="preserve">Ginčas susijęs ir su Anglija. Sutartis yra trišalė, o viena iš sutarties šalių – Anglijoje registruota </w:t>
      </w:r>
      <w:r w:rsidR="00776370" w:rsidRPr="00034EDF">
        <w:rPr>
          <w:rFonts w:ascii="Times New Roman" w:hAnsi="Times New Roman"/>
          <w:sz w:val="24"/>
          <w:szCs w:val="24"/>
        </w:rPr>
        <w:t xml:space="preserve">bendrovė </w:t>
      </w:r>
      <w:r w:rsidRPr="00034EDF">
        <w:rPr>
          <w:rFonts w:ascii="Times New Roman" w:hAnsi="Times New Roman"/>
          <w:sz w:val="24"/>
          <w:szCs w:val="24"/>
        </w:rPr>
        <w:t xml:space="preserve">„Contis Financial Services Limited“. </w:t>
      </w:r>
      <w:r w:rsidR="004F7B4D" w:rsidRPr="00034EDF">
        <w:rPr>
          <w:rFonts w:ascii="Times New Roman" w:hAnsi="Times New Roman"/>
          <w:sz w:val="24"/>
          <w:szCs w:val="24"/>
        </w:rPr>
        <w:t>Dalis Lietuvos ir Anglijos įmonių pareigų Sutartyje paskirstytos geografiniu principu. Teisinių santyki</w:t>
      </w:r>
      <w:r w:rsidR="00DD22D6" w:rsidRPr="00034EDF">
        <w:rPr>
          <w:rFonts w:ascii="Times New Roman" w:hAnsi="Times New Roman"/>
          <w:sz w:val="24"/>
          <w:szCs w:val="24"/>
        </w:rPr>
        <w:t>ų</w:t>
      </w:r>
      <w:r w:rsidR="004F7B4D" w:rsidRPr="00034EDF">
        <w:rPr>
          <w:rFonts w:ascii="Times New Roman" w:hAnsi="Times New Roman"/>
          <w:sz w:val="24"/>
          <w:szCs w:val="24"/>
        </w:rPr>
        <w:t xml:space="preserve"> ir dokumentų kalba yra anglų kalba, sutarčiai taikoma Anglijos teisė. Taigi ginčas yra susijęs su Anglija. Be to, byloje neegzistuoja joks viešasis interesas. Ginčas šioje byloje kilo dėl šalių tarpusavio įsipareigojimų sutartinių komercinių teisinių santykių srityje, taigi pati sritis, iš kurios kilęs ginčas, niekaip nėra susijusi su viešuoju interesu. Kasaciniame skunde nėra pateikta nė vieno argumento dėl to, kuri konkrečiai nagrinėjamos bylos ypatybė lemia viešojo intereso buvimą.</w:t>
      </w:r>
    </w:p>
    <w:p w14:paraId="61E84FA5" w14:textId="28D5A47A" w:rsidR="00123EE2" w:rsidRPr="00034EDF" w:rsidRDefault="00E16B20" w:rsidP="0032522C">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034EDF">
        <w:rPr>
          <w:rFonts w:ascii="Times New Roman" w:hAnsi="Times New Roman"/>
          <w:sz w:val="24"/>
          <w:szCs w:val="24"/>
        </w:rPr>
        <w:t xml:space="preserve">Ieškovės teisė į teisingą teismą nebuvo pažeista. </w:t>
      </w:r>
      <w:r w:rsidR="00614B3E" w:rsidRPr="00034EDF">
        <w:rPr>
          <w:rFonts w:ascii="Times New Roman" w:hAnsi="Times New Roman"/>
          <w:sz w:val="24"/>
          <w:szCs w:val="24"/>
        </w:rPr>
        <w:t>Ieškovė neatsidūrė blogesnėje procesinėje padėtyje nei atsakovė. Ieškovė</w:t>
      </w:r>
      <w:r w:rsidR="00DD22D6" w:rsidRPr="00034EDF">
        <w:rPr>
          <w:rFonts w:ascii="Times New Roman" w:hAnsi="Times New Roman"/>
          <w:sz w:val="24"/>
          <w:szCs w:val="24"/>
        </w:rPr>
        <w:t>,</w:t>
      </w:r>
      <w:r w:rsidR="00614B3E" w:rsidRPr="00034EDF">
        <w:rPr>
          <w:rFonts w:ascii="Times New Roman" w:hAnsi="Times New Roman"/>
          <w:sz w:val="24"/>
          <w:szCs w:val="24"/>
        </w:rPr>
        <w:t xml:space="preserve"> kaip teismo procesą inicijuojantis asmuo, turėjo visas galimybes pasirengti kreipimuisi į teismą ir ieškinyje pateikti visus pageidaujamus argumentus.</w:t>
      </w:r>
      <w:r w:rsidR="00FB0D6A" w:rsidRPr="00034EDF">
        <w:rPr>
          <w:rFonts w:ascii="Times New Roman" w:hAnsi="Times New Roman"/>
          <w:sz w:val="24"/>
          <w:szCs w:val="24"/>
        </w:rPr>
        <w:t xml:space="preserve"> Net jeigu ieškovės teisių ribojimas ir būtų egzistavęs, nesuteikiant jai termino atsiliepimui</w:t>
      </w:r>
      <w:r w:rsidR="00776370" w:rsidRPr="00034EDF">
        <w:rPr>
          <w:rFonts w:ascii="Times New Roman" w:hAnsi="Times New Roman"/>
          <w:sz w:val="24"/>
          <w:szCs w:val="24"/>
        </w:rPr>
        <w:t xml:space="preserve"> pateikti</w:t>
      </w:r>
      <w:r w:rsidR="00FB0D6A" w:rsidRPr="00034EDF">
        <w:rPr>
          <w:rFonts w:ascii="Times New Roman" w:hAnsi="Times New Roman"/>
          <w:sz w:val="24"/>
          <w:szCs w:val="24"/>
        </w:rPr>
        <w:t>, tai toks smulku</w:t>
      </w:r>
      <w:r w:rsidR="00776370" w:rsidRPr="00034EDF">
        <w:rPr>
          <w:rFonts w:ascii="Times New Roman" w:hAnsi="Times New Roman"/>
          <w:sz w:val="24"/>
          <w:szCs w:val="24"/>
        </w:rPr>
        <w:t>s</w:t>
      </w:r>
      <w:r w:rsidR="00FB0D6A" w:rsidRPr="00034EDF">
        <w:rPr>
          <w:rFonts w:ascii="Times New Roman" w:hAnsi="Times New Roman"/>
          <w:sz w:val="24"/>
          <w:szCs w:val="24"/>
        </w:rPr>
        <w:t xml:space="preserve"> </w:t>
      </w:r>
      <w:r w:rsidR="00776370" w:rsidRPr="00034EDF">
        <w:rPr>
          <w:rFonts w:ascii="Times New Roman" w:hAnsi="Times New Roman"/>
          <w:sz w:val="24"/>
          <w:szCs w:val="24"/>
        </w:rPr>
        <w:t>trūkumas</w:t>
      </w:r>
      <w:r w:rsidR="00FB0D6A" w:rsidRPr="00034EDF">
        <w:rPr>
          <w:rFonts w:ascii="Times New Roman" w:hAnsi="Times New Roman"/>
          <w:sz w:val="24"/>
          <w:szCs w:val="24"/>
        </w:rPr>
        <w:t xml:space="preserve"> buvo ištaisytas skundžiant teismo sprendimą instan</w:t>
      </w:r>
      <w:r w:rsidR="00DD22D6" w:rsidRPr="00034EDF">
        <w:rPr>
          <w:rFonts w:ascii="Times New Roman" w:hAnsi="Times New Roman"/>
          <w:sz w:val="24"/>
          <w:szCs w:val="24"/>
        </w:rPr>
        <w:t>c</w:t>
      </w:r>
      <w:r w:rsidR="00FB0D6A" w:rsidRPr="00034EDF">
        <w:rPr>
          <w:rFonts w:ascii="Times New Roman" w:hAnsi="Times New Roman"/>
          <w:sz w:val="24"/>
          <w:szCs w:val="24"/>
        </w:rPr>
        <w:t>ine tvarka.</w:t>
      </w:r>
    </w:p>
    <w:p w14:paraId="3ED2A9FD" w14:textId="4FEF8DDB" w:rsidR="008B1C04" w:rsidRPr="00034EDF" w:rsidRDefault="008B1C04" w:rsidP="00F80064">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034EDF">
        <w:rPr>
          <w:rFonts w:ascii="Times New Roman" w:hAnsi="Times New Roman"/>
          <w:sz w:val="24"/>
          <w:szCs w:val="24"/>
        </w:rPr>
        <w:t>Teismo sprendimo motyvai yra pakankami. Nei CPK, nei Lietuvos Aukščiausiojo Teismo praktikoje nereikalaujama atsakyti į visus asmens argumentus. Teismai pateikė esminį argumentą</w:t>
      </w:r>
      <w:r w:rsidR="00776370" w:rsidRPr="00034EDF">
        <w:rPr>
          <w:rFonts w:ascii="Times New Roman" w:hAnsi="Times New Roman"/>
          <w:sz w:val="24"/>
          <w:szCs w:val="24"/>
        </w:rPr>
        <w:t>,</w:t>
      </w:r>
      <w:r w:rsidRPr="00034EDF">
        <w:rPr>
          <w:rFonts w:ascii="Times New Roman" w:hAnsi="Times New Roman"/>
          <w:sz w:val="24"/>
          <w:szCs w:val="24"/>
        </w:rPr>
        <w:t xml:space="preserve"> dėl ko ginčas nenagrinėtas Lietuvos teismuose – šalys yra sudariusios jurisdikcinį susitarimą, nukreipiantį į Anglijos teismus.</w:t>
      </w:r>
    </w:p>
    <w:p w14:paraId="2DE98700" w14:textId="0293F3EA" w:rsidR="00DD22D6" w:rsidRPr="00034EDF" w:rsidRDefault="00CD2485" w:rsidP="00F60A3B">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034EDF">
        <w:rPr>
          <w:rFonts w:ascii="Times New Roman" w:hAnsi="Times New Roman"/>
          <w:sz w:val="24"/>
          <w:szCs w:val="24"/>
        </w:rPr>
        <w:t xml:space="preserve">Teisės kreiptis į vienos valstybės teismą apribojimas dėl kreipimosi į kitos valstybės teismą </w:t>
      </w:r>
      <w:r w:rsidR="00DD22D6" w:rsidRPr="00034EDF">
        <w:rPr>
          <w:rFonts w:ascii="Times New Roman" w:hAnsi="Times New Roman"/>
          <w:sz w:val="24"/>
          <w:szCs w:val="24"/>
        </w:rPr>
        <w:t>ne</w:t>
      </w:r>
      <w:r w:rsidRPr="00034EDF">
        <w:rPr>
          <w:rFonts w:ascii="Times New Roman" w:hAnsi="Times New Roman"/>
          <w:sz w:val="24"/>
          <w:szCs w:val="24"/>
        </w:rPr>
        <w:t>reiškia teisės kreiptis į teismą atsisakym</w:t>
      </w:r>
      <w:r w:rsidR="00DD22D6" w:rsidRPr="00034EDF">
        <w:rPr>
          <w:rFonts w:ascii="Times New Roman" w:hAnsi="Times New Roman"/>
          <w:sz w:val="24"/>
          <w:szCs w:val="24"/>
        </w:rPr>
        <w:t>o</w:t>
      </w:r>
      <w:r w:rsidRPr="00034EDF">
        <w:rPr>
          <w:rFonts w:ascii="Times New Roman" w:hAnsi="Times New Roman"/>
          <w:sz w:val="24"/>
          <w:szCs w:val="24"/>
        </w:rPr>
        <w:t xml:space="preserve">. Toks teisės aiškinimas būtų </w:t>
      </w:r>
      <w:r w:rsidR="001C0735" w:rsidRPr="00034EDF">
        <w:rPr>
          <w:rFonts w:ascii="Times New Roman" w:hAnsi="Times New Roman"/>
          <w:i/>
          <w:iCs/>
          <w:sz w:val="24"/>
          <w:szCs w:val="24"/>
        </w:rPr>
        <w:t>absurdiškas</w:t>
      </w:r>
      <w:r w:rsidRPr="00034EDF">
        <w:rPr>
          <w:rFonts w:ascii="Times New Roman" w:hAnsi="Times New Roman"/>
          <w:sz w:val="24"/>
          <w:szCs w:val="24"/>
        </w:rPr>
        <w:t xml:space="preserve"> ir reikštų jurisdikcinių ir arbitražinių susitarimų draudimą.</w:t>
      </w:r>
    </w:p>
    <w:p w14:paraId="58418CFD" w14:textId="396B5E23" w:rsidR="00CD2485" w:rsidRPr="00034EDF" w:rsidRDefault="00CD2485" w:rsidP="00F60A3B">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034EDF">
        <w:rPr>
          <w:rFonts w:ascii="Times New Roman" w:hAnsi="Times New Roman"/>
          <w:i/>
          <w:iCs/>
          <w:sz w:val="24"/>
          <w:szCs w:val="24"/>
        </w:rPr>
        <w:t>Forum non conveniens</w:t>
      </w:r>
      <w:r w:rsidRPr="00034EDF">
        <w:rPr>
          <w:rFonts w:ascii="Times New Roman" w:hAnsi="Times New Roman"/>
          <w:sz w:val="24"/>
          <w:szCs w:val="24"/>
        </w:rPr>
        <w:t xml:space="preserve"> doktrina taikoma kompetentingame (t. y. turinčiame tarptautinę jurisdikciją) teisme. Šiuo atveju tai yra tik Anglijos teismas, nes jam šalių susitarimo pagrindu suteikta išimtinė jurisdikcija. Pageidaudama </w:t>
      </w:r>
      <w:r w:rsidRPr="00034EDF">
        <w:rPr>
          <w:rFonts w:ascii="Times New Roman" w:hAnsi="Times New Roman"/>
          <w:i/>
          <w:iCs/>
          <w:sz w:val="24"/>
          <w:szCs w:val="24"/>
        </w:rPr>
        <w:t>forum non conveniens</w:t>
      </w:r>
      <w:r w:rsidRPr="00034EDF">
        <w:rPr>
          <w:rFonts w:ascii="Times New Roman" w:hAnsi="Times New Roman"/>
          <w:sz w:val="24"/>
          <w:szCs w:val="24"/>
        </w:rPr>
        <w:t xml:space="preserve"> pagrindu bylą </w:t>
      </w:r>
      <w:r w:rsidRPr="00034EDF">
        <w:rPr>
          <w:rFonts w:ascii="Times New Roman" w:hAnsi="Times New Roman"/>
          <w:sz w:val="24"/>
          <w:szCs w:val="24"/>
        </w:rPr>
        <w:lastRenderedPageBreak/>
        <w:t xml:space="preserve">nagrinėti Lietuvos teismuose, ieškovė atitinkamus argumentus turėtų išdėstyti Anglijos teismui ir prašyti </w:t>
      </w:r>
      <w:r w:rsidR="00DC0458" w:rsidRPr="00034EDF">
        <w:rPr>
          <w:rFonts w:ascii="Times New Roman" w:hAnsi="Times New Roman"/>
          <w:sz w:val="24"/>
          <w:szCs w:val="24"/>
        </w:rPr>
        <w:t xml:space="preserve">taikyti </w:t>
      </w:r>
      <w:r w:rsidRPr="00034EDF">
        <w:rPr>
          <w:rFonts w:ascii="Times New Roman" w:hAnsi="Times New Roman"/>
          <w:sz w:val="24"/>
          <w:szCs w:val="24"/>
        </w:rPr>
        <w:t>šią doktriną.</w:t>
      </w:r>
    </w:p>
    <w:p w14:paraId="4170843A" w14:textId="2183E960" w:rsidR="00E01980" w:rsidRPr="00034EDF" w:rsidRDefault="00E01980" w:rsidP="00E01980">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034EDF">
        <w:rPr>
          <w:rFonts w:ascii="Times New Roman" w:hAnsi="Times New Roman"/>
          <w:sz w:val="24"/>
          <w:szCs w:val="24"/>
        </w:rPr>
        <w:t>Lietuvos Aukščiausiasis Teismas 2024 m. liepos 17 d. nutartimi atnaujino bylos nagrinėjimą ir pranešė byloje dalyvaujantiems asmenims apie ketinimą peržengti kasacinio skundo ribas, pasiūlė dalyvaujantiems byloje asmenims pateikti rašytinius paaiškinimus dėl kasaciniame skunde nekeliamo teisės klausimo, susijusio su Hagos konvencijos taikymu ir aiškinimu.</w:t>
      </w:r>
    </w:p>
    <w:p w14:paraId="6297314C" w14:textId="167C53E7" w:rsidR="00E01980" w:rsidRPr="00034EDF" w:rsidRDefault="00E01980" w:rsidP="000315AD">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034EDF">
        <w:rPr>
          <w:rFonts w:ascii="Times New Roman" w:hAnsi="Times New Roman"/>
          <w:sz w:val="24"/>
          <w:szCs w:val="24"/>
        </w:rPr>
        <w:t>Ieškovė pateiktuose rašytiniuose paaiškinimuose nurodė, kad Hagos konvencij</w:t>
      </w:r>
      <w:r w:rsidR="000315AD" w:rsidRPr="00034EDF">
        <w:rPr>
          <w:rFonts w:ascii="Times New Roman" w:hAnsi="Times New Roman"/>
          <w:sz w:val="24"/>
          <w:szCs w:val="24"/>
        </w:rPr>
        <w:t xml:space="preserve">a </w:t>
      </w:r>
      <w:r w:rsidRPr="00034EDF">
        <w:rPr>
          <w:rFonts w:ascii="Times New Roman" w:hAnsi="Times New Roman"/>
          <w:sz w:val="24"/>
          <w:szCs w:val="24"/>
        </w:rPr>
        <w:t>netaikytina nagrinėjamam ginčui. Šią poziciją ieškovė grindžia šiais argumentais:</w:t>
      </w:r>
    </w:p>
    <w:p w14:paraId="6AA7E022" w14:textId="334EDF4B" w:rsidR="000E7C73" w:rsidRPr="00034EDF" w:rsidRDefault="00E01980" w:rsidP="000315AD">
      <w:pPr>
        <w:pStyle w:val="Sraopastraipa"/>
        <w:numPr>
          <w:ilvl w:val="1"/>
          <w:numId w:val="3"/>
        </w:numPr>
        <w:shd w:val="clear" w:color="auto" w:fill="FFFFFF"/>
        <w:spacing w:after="120" w:line="240" w:lineRule="auto"/>
        <w:ind w:left="788" w:hanging="431"/>
        <w:contextualSpacing w:val="0"/>
        <w:jc w:val="both"/>
        <w:rPr>
          <w:rFonts w:asciiTheme="majorBidi" w:hAnsiTheme="majorBidi" w:cstheme="majorBidi"/>
          <w:sz w:val="24"/>
          <w:szCs w:val="24"/>
        </w:rPr>
      </w:pPr>
      <w:r w:rsidRPr="00034EDF">
        <w:rPr>
          <w:rFonts w:asciiTheme="majorBidi" w:hAnsiTheme="majorBidi" w:cstheme="majorBidi"/>
          <w:sz w:val="24"/>
          <w:szCs w:val="24"/>
        </w:rPr>
        <w:t>Tarp šalių kilęs ginčas neatitinka Hagos konvencijos 1 straipsnyje įtvirtintos sąvokos „tarptautinė byla“ apibrėžimo. Sprendžiant, ar byla yra laikoma tarptautine, turi būti įvertinama, ar tenkinamos toliau nurodytos sąlygos: i) šalys turi negyventi toje pačioje valstybėje, ir ii) šalių santykiai ir visi kiti su ginču susiję elementai, nepaisant pasirinkto teismo vietos, turi būti susiję su kuria nors kita valstybe. Šalių ginčas neatitinka nė vienos iš pirmiau nurodytų sąlygų, kadangi ginčo šalys ir šalių sutartinių santykių pobūdis yra susiję išimtinai tik su viena valstybe – Lietuvos Respublika: i) ginčo šalys yra Lietuvos Respublikoje įsteigtos bendrovės; ii) šalių veikla, susijusi su elektroninių pinigų leidimu ir mokėjimo paslaugų teikimu, yra griežtai reglamentuojama Lietuvos Respublikos teisės akt</w:t>
      </w:r>
      <w:r w:rsidR="00425AD4" w:rsidRPr="00034EDF">
        <w:rPr>
          <w:rFonts w:asciiTheme="majorBidi" w:hAnsiTheme="majorBidi" w:cstheme="majorBidi"/>
          <w:sz w:val="24"/>
          <w:szCs w:val="24"/>
        </w:rPr>
        <w:t>ų</w:t>
      </w:r>
      <w:r w:rsidRPr="00034EDF">
        <w:rPr>
          <w:rFonts w:asciiTheme="majorBidi" w:hAnsiTheme="majorBidi" w:cstheme="majorBidi"/>
          <w:sz w:val="24"/>
          <w:szCs w:val="24"/>
        </w:rPr>
        <w:t xml:space="preserve">; iii) atsakovė Lietuvos banko išduotos licencijos pagrindu turi teisę teikti mokėjimo paslaugas – „Paysera Visa“ sąskaitas ir „Visa“ mokėjimo korteles, o ieškovė – veikti </w:t>
      </w:r>
      <w:r w:rsidR="00425AD4" w:rsidRPr="00034EDF">
        <w:rPr>
          <w:rFonts w:asciiTheme="majorBidi" w:hAnsiTheme="majorBidi" w:cstheme="majorBidi"/>
          <w:sz w:val="24"/>
          <w:szCs w:val="24"/>
        </w:rPr>
        <w:t>„</w:t>
      </w:r>
      <w:r w:rsidRPr="00034EDF">
        <w:rPr>
          <w:rFonts w:asciiTheme="majorBidi" w:hAnsiTheme="majorBidi" w:cstheme="majorBidi"/>
          <w:sz w:val="24"/>
          <w:szCs w:val="24"/>
        </w:rPr>
        <w:t>Contis</w:t>
      </w:r>
      <w:r w:rsidR="00425AD4" w:rsidRPr="00034EDF">
        <w:rPr>
          <w:rFonts w:asciiTheme="majorBidi" w:hAnsiTheme="majorBidi" w:cstheme="majorBidi"/>
          <w:sz w:val="24"/>
          <w:szCs w:val="24"/>
        </w:rPr>
        <w:t>“</w:t>
      </w:r>
      <w:r w:rsidRPr="00034EDF">
        <w:rPr>
          <w:rFonts w:asciiTheme="majorBidi" w:hAnsiTheme="majorBidi" w:cstheme="majorBidi"/>
          <w:sz w:val="24"/>
          <w:szCs w:val="24"/>
        </w:rPr>
        <w:t xml:space="preserve"> vardu ir platinti savo klientams atsakovės išleistas mokėjimo priemones („Visa“ mokėjimo korteles), susietas su </w:t>
      </w:r>
      <w:r w:rsidR="00425AD4" w:rsidRPr="00034EDF">
        <w:rPr>
          <w:rFonts w:asciiTheme="majorBidi" w:hAnsiTheme="majorBidi" w:cstheme="majorBidi"/>
          <w:sz w:val="24"/>
          <w:szCs w:val="24"/>
        </w:rPr>
        <w:t>„</w:t>
      </w:r>
      <w:r w:rsidRPr="00034EDF">
        <w:rPr>
          <w:rFonts w:asciiTheme="majorBidi" w:hAnsiTheme="majorBidi" w:cstheme="majorBidi"/>
          <w:sz w:val="24"/>
          <w:szCs w:val="24"/>
        </w:rPr>
        <w:t>Paysera</w:t>
      </w:r>
      <w:r w:rsidR="00425AD4" w:rsidRPr="00034EDF">
        <w:rPr>
          <w:rFonts w:asciiTheme="majorBidi" w:hAnsiTheme="majorBidi" w:cstheme="majorBidi"/>
          <w:sz w:val="24"/>
          <w:szCs w:val="24"/>
        </w:rPr>
        <w:t>“</w:t>
      </w:r>
      <w:r w:rsidRPr="00034EDF">
        <w:rPr>
          <w:rFonts w:asciiTheme="majorBidi" w:hAnsiTheme="majorBidi" w:cstheme="majorBidi"/>
          <w:sz w:val="24"/>
          <w:szCs w:val="24"/>
        </w:rPr>
        <w:t xml:space="preserve"> sistema; iv) ginčo sutartis savo esme išlaikė 2014 m. spalio 14 d. sutarties, sudarytos tarp Anglijoje registruotų bendrovių </w:t>
      </w:r>
      <w:r w:rsidR="00425AD4" w:rsidRPr="00034EDF">
        <w:rPr>
          <w:rFonts w:asciiTheme="majorBidi" w:hAnsiTheme="majorBidi" w:cstheme="majorBidi"/>
          <w:sz w:val="24"/>
          <w:szCs w:val="24"/>
        </w:rPr>
        <w:t>„</w:t>
      </w:r>
      <w:r w:rsidRPr="00034EDF">
        <w:rPr>
          <w:rFonts w:asciiTheme="majorBidi" w:hAnsiTheme="majorBidi" w:cstheme="majorBidi"/>
          <w:sz w:val="24"/>
          <w:szCs w:val="24"/>
        </w:rPr>
        <w:t>Contis Financial Services Limited</w:t>
      </w:r>
      <w:r w:rsidR="00425AD4" w:rsidRPr="00034EDF">
        <w:rPr>
          <w:rFonts w:asciiTheme="majorBidi" w:hAnsiTheme="majorBidi" w:cstheme="majorBidi"/>
          <w:sz w:val="24"/>
          <w:szCs w:val="24"/>
        </w:rPr>
        <w:t>“</w:t>
      </w:r>
      <w:r w:rsidRPr="00034EDF">
        <w:rPr>
          <w:rFonts w:asciiTheme="majorBidi" w:hAnsiTheme="majorBidi" w:cstheme="majorBidi"/>
          <w:sz w:val="24"/>
          <w:szCs w:val="24"/>
        </w:rPr>
        <w:t xml:space="preserve"> ir </w:t>
      </w:r>
      <w:r w:rsidR="00425AD4" w:rsidRPr="00034EDF">
        <w:rPr>
          <w:rFonts w:asciiTheme="majorBidi" w:hAnsiTheme="majorBidi" w:cstheme="majorBidi"/>
          <w:sz w:val="24"/>
          <w:szCs w:val="24"/>
        </w:rPr>
        <w:t>„</w:t>
      </w:r>
      <w:r w:rsidRPr="00034EDF">
        <w:rPr>
          <w:rFonts w:asciiTheme="majorBidi" w:hAnsiTheme="majorBidi" w:cstheme="majorBidi"/>
          <w:sz w:val="24"/>
          <w:szCs w:val="24"/>
        </w:rPr>
        <w:t>Paysera Limited</w:t>
      </w:r>
      <w:r w:rsidR="00425AD4" w:rsidRPr="00034EDF">
        <w:rPr>
          <w:rFonts w:asciiTheme="majorBidi" w:hAnsiTheme="majorBidi" w:cstheme="majorBidi"/>
          <w:sz w:val="24"/>
          <w:szCs w:val="24"/>
        </w:rPr>
        <w:t>“</w:t>
      </w:r>
      <w:r w:rsidRPr="00034EDF">
        <w:rPr>
          <w:rFonts w:asciiTheme="majorBidi" w:hAnsiTheme="majorBidi" w:cstheme="majorBidi"/>
          <w:sz w:val="24"/>
          <w:szCs w:val="24"/>
        </w:rPr>
        <w:t>, tęstinumą, dėl to ginčo sutartyje išliko sąlyga dėl Anglijos teismų jurisdikcijos. Ginčo sutartis yra išimtinai susijusi su Lietuvos valstybe, kadangi sutartis sudarę užsienio subjektai buvo pakeisti į Lietuvoje įsisteigusias ir joje veiklą vykdančias bendrov</w:t>
      </w:r>
      <w:r w:rsidR="001A2E42" w:rsidRPr="00034EDF">
        <w:rPr>
          <w:rFonts w:asciiTheme="majorBidi" w:hAnsiTheme="majorBidi" w:cstheme="majorBidi"/>
          <w:sz w:val="24"/>
          <w:szCs w:val="24"/>
        </w:rPr>
        <w:t>e</w:t>
      </w:r>
      <w:r w:rsidRPr="00034EDF">
        <w:rPr>
          <w:rFonts w:asciiTheme="majorBidi" w:hAnsiTheme="majorBidi" w:cstheme="majorBidi"/>
          <w:sz w:val="24"/>
          <w:szCs w:val="24"/>
        </w:rPr>
        <w:t xml:space="preserve">s. Be to, Jungtinei Karalystei </w:t>
      </w:r>
      <w:r w:rsidR="00425AD4" w:rsidRPr="00034EDF">
        <w:rPr>
          <w:rFonts w:asciiTheme="majorBidi" w:hAnsiTheme="majorBidi" w:cstheme="majorBidi"/>
          <w:sz w:val="24"/>
          <w:szCs w:val="24"/>
        </w:rPr>
        <w:t xml:space="preserve">išstojus </w:t>
      </w:r>
      <w:r w:rsidRPr="00034EDF">
        <w:rPr>
          <w:rFonts w:asciiTheme="majorBidi" w:hAnsiTheme="majorBidi" w:cstheme="majorBidi"/>
          <w:sz w:val="24"/>
          <w:szCs w:val="24"/>
        </w:rPr>
        <w:t xml:space="preserve">iš Europos Sąjungos, </w:t>
      </w:r>
      <w:r w:rsidR="001A2E42" w:rsidRPr="00034EDF">
        <w:rPr>
          <w:rFonts w:asciiTheme="majorBidi" w:hAnsiTheme="majorBidi" w:cstheme="majorBidi"/>
          <w:sz w:val="24"/>
          <w:szCs w:val="24"/>
        </w:rPr>
        <w:t xml:space="preserve">bendrovė </w:t>
      </w:r>
      <w:r w:rsidR="00425AD4" w:rsidRPr="00034EDF">
        <w:rPr>
          <w:rFonts w:asciiTheme="majorBidi" w:hAnsiTheme="majorBidi" w:cstheme="majorBidi"/>
          <w:sz w:val="24"/>
          <w:szCs w:val="24"/>
        </w:rPr>
        <w:t>„</w:t>
      </w:r>
      <w:r w:rsidRPr="00034EDF">
        <w:rPr>
          <w:rFonts w:asciiTheme="majorBidi" w:hAnsiTheme="majorBidi" w:cstheme="majorBidi"/>
          <w:sz w:val="24"/>
          <w:szCs w:val="24"/>
        </w:rPr>
        <w:t>Contis Financial Services Limited</w:t>
      </w:r>
      <w:r w:rsidR="00425AD4" w:rsidRPr="00034EDF">
        <w:rPr>
          <w:rFonts w:asciiTheme="majorBidi" w:hAnsiTheme="majorBidi" w:cstheme="majorBidi"/>
          <w:sz w:val="24"/>
          <w:szCs w:val="24"/>
        </w:rPr>
        <w:t>“</w:t>
      </w:r>
      <w:r w:rsidRPr="00034EDF">
        <w:rPr>
          <w:rFonts w:asciiTheme="majorBidi" w:hAnsiTheme="majorBidi" w:cstheme="majorBidi"/>
          <w:sz w:val="24"/>
          <w:szCs w:val="24"/>
        </w:rPr>
        <w:t xml:space="preserve"> perdavė savo teises ir pareigas pagal sutartį Lietuvoje licenciją turinčiai bendrovei, t. y. atsakovei. Atitinkamai išnyko bet kokia buvusi sutarties šalių sąsaja su Anglijos teismų jurisdikcija;</w:t>
      </w:r>
      <w:r w:rsidR="000E7C73" w:rsidRPr="00034EDF">
        <w:rPr>
          <w:rFonts w:asciiTheme="majorBidi" w:hAnsiTheme="majorBidi" w:cstheme="majorBidi"/>
          <w:sz w:val="24"/>
          <w:szCs w:val="24"/>
        </w:rPr>
        <w:t xml:space="preserve"> v) </w:t>
      </w:r>
      <w:r w:rsidR="001A2E42" w:rsidRPr="00034EDF">
        <w:rPr>
          <w:rFonts w:asciiTheme="majorBidi" w:hAnsiTheme="majorBidi" w:cstheme="majorBidi"/>
          <w:sz w:val="24"/>
          <w:szCs w:val="24"/>
        </w:rPr>
        <w:t xml:space="preserve">bendrovė </w:t>
      </w:r>
      <w:r w:rsidR="00425AD4" w:rsidRPr="00034EDF">
        <w:rPr>
          <w:rFonts w:asciiTheme="majorBidi" w:hAnsiTheme="majorBidi" w:cstheme="majorBidi"/>
          <w:sz w:val="24"/>
          <w:szCs w:val="24"/>
        </w:rPr>
        <w:t>„</w:t>
      </w:r>
      <w:r w:rsidR="000E7C73" w:rsidRPr="00034EDF">
        <w:rPr>
          <w:rFonts w:asciiTheme="majorBidi" w:hAnsiTheme="majorBidi" w:cstheme="majorBidi"/>
          <w:sz w:val="24"/>
          <w:szCs w:val="24"/>
        </w:rPr>
        <w:t>Contis Financial Services Limited</w:t>
      </w:r>
      <w:r w:rsidR="00425AD4" w:rsidRPr="00034EDF">
        <w:rPr>
          <w:rFonts w:asciiTheme="majorBidi" w:hAnsiTheme="majorBidi" w:cstheme="majorBidi"/>
          <w:sz w:val="24"/>
          <w:szCs w:val="24"/>
        </w:rPr>
        <w:t>“</w:t>
      </w:r>
      <w:r w:rsidR="000E7C73" w:rsidRPr="00034EDF">
        <w:rPr>
          <w:rFonts w:asciiTheme="majorBidi" w:hAnsiTheme="majorBidi" w:cstheme="majorBidi"/>
          <w:sz w:val="24"/>
          <w:szCs w:val="24"/>
        </w:rPr>
        <w:t xml:space="preserve"> neteikia ieškovei jokių paslaugų pagal sutartį. Ieškovei nuo 2020 m. lapkričio 30 d. sąskaitas</w:t>
      </w:r>
      <w:r w:rsidR="00425AD4" w:rsidRPr="00034EDF">
        <w:rPr>
          <w:rFonts w:asciiTheme="majorBidi" w:hAnsiTheme="majorBidi" w:cstheme="majorBidi"/>
          <w:sz w:val="24"/>
          <w:szCs w:val="24"/>
        </w:rPr>
        <w:t xml:space="preserve"> </w:t>
      </w:r>
      <w:r w:rsidR="000E7C73" w:rsidRPr="00034EDF">
        <w:rPr>
          <w:rFonts w:asciiTheme="majorBidi" w:hAnsiTheme="majorBidi" w:cstheme="majorBidi"/>
          <w:sz w:val="24"/>
          <w:szCs w:val="24"/>
        </w:rPr>
        <w:t>faktūras už teikiamas paslaugas išrašo atsakovė; vi) su byla susiję įrodymai ir liudytojai yra Lietuvoje.</w:t>
      </w:r>
    </w:p>
    <w:p w14:paraId="4A8AD864" w14:textId="55FE5C55" w:rsidR="000E7C73" w:rsidRPr="00034EDF" w:rsidRDefault="000E7C73" w:rsidP="000315AD">
      <w:pPr>
        <w:pStyle w:val="Sraopastraipa"/>
        <w:numPr>
          <w:ilvl w:val="1"/>
          <w:numId w:val="3"/>
        </w:numPr>
        <w:shd w:val="clear" w:color="auto" w:fill="FFFFFF"/>
        <w:spacing w:after="120" w:line="240" w:lineRule="auto"/>
        <w:ind w:left="788" w:hanging="431"/>
        <w:contextualSpacing w:val="0"/>
        <w:jc w:val="both"/>
        <w:rPr>
          <w:rFonts w:asciiTheme="majorBidi" w:hAnsiTheme="majorBidi" w:cstheme="majorBidi"/>
          <w:sz w:val="24"/>
          <w:szCs w:val="24"/>
        </w:rPr>
      </w:pPr>
      <w:r w:rsidRPr="00034EDF">
        <w:rPr>
          <w:rFonts w:asciiTheme="majorBidi" w:hAnsiTheme="majorBidi" w:cstheme="majorBidi"/>
          <w:sz w:val="24"/>
          <w:szCs w:val="24"/>
        </w:rPr>
        <w:t xml:space="preserve">Net jeigu teismas spręstų, kad Hagos konvencija yra taikoma nagrinėjamam ginčui, byla patenka į Hagos konvencijos 6 straipsnio c punkte įtvirtintą išimtinės jurisdikcijos išimtį ir turi būti nagrinėjama Lietuvos teismuose. Hagos konvencijos 6 straipsnio c punkte yra įtvirtinta, kad </w:t>
      </w:r>
      <w:r w:rsidR="00425AD4" w:rsidRPr="00034EDF">
        <w:rPr>
          <w:rFonts w:asciiTheme="majorBidi" w:hAnsiTheme="majorBidi" w:cstheme="majorBidi"/>
          <w:sz w:val="24"/>
          <w:szCs w:val="24"/>
        </w:rPr>
        <w:t>s</w:t>
      </w:r>
      <w:r w:rsidRPr="00034EDF">
        <w:rPr>
          <w:rFonts w:asciiTheme="majorBidi" w:hAnsiTheme="majorBidi" w:cstheme="majorBidi"/>
          <w:sz w:val="24"/>
          <w:szCs w:val="24"/>
        </w:rPr>
        <w:t xml:space="preserve">usitariančiosios </w:t>
      </w:r>
      <w:r w:rsidR="00425AD4" w:rsidRPr="00034EDF">
        <w:rPr>
          <w:rFonts w:asciiTheme="majorBidi" w:hAnsiTheme="majorBidi" w:cstheme="majorBidi"/>
          <w:sz w:val="24"/>
          <w:szCs w:val="24"/>
        </w:rPr>
        <w:t>v</w:t>
      </w:r>
      <w:r w:rsidRPr="00034EDF">
        <w:rPr>
          <w:rFonts w:asciiTheme="majorBidi" w:hAnsiTheme="majorBidi" w:cstheme="majorBidi"/>
          <w:sz w:val="24"/>
          <w:szCs w:val="24"/>
        </w:rPr>
        <w:t>alstybės teismas, kuris nėra pasirinktas teismas, sustabdo arba nutraukia bylą, kurioje taikomas susitarimas dėl išimtinio teismingumo, išskyrus atvejus, kai susitarimo įgyvendinimas akivaizdžiai prieštarautų teisingumui arba akivaizdžiai prieštarautų teismo, į kurį kreiptasi, valstybės viešajai tvarkai. Bylos nagrinėjimas Anglijos teismuose akivaizdžiai prieštarautų teisingumui ir Lietuvos viešajai tvarkai. Tiek ieškovė, tiek ir atsakovė yra licencijuotos elektroninių pinigų įstaigos, kurių veiklos priežiūrą atlieka Lietuvos bankas. Atitinkamai šių subjektų veikla – elektroninių pinigų leidimas ir mokėjimo paslaugų teikimas – yra griežtai reglamentuojama Lietuvos Respublikos viešosios teisės akt</w:t>
      </w:r>
      <w:r w:rsidR="00967A9C" w:rsidRPr="00034EDF">
        <w:rPr>
          <w:rFonts w:asciiTheme="majorBidi" w:hAnsiTheme="majorBidi" w:cstheme="majorBidi"/>
          <w:sz w:val="24"/>
          <w:szCs w:val="24"/>
        </w:rPr>
        <w:t>ų</w:t>
      </w:r>
      <w:r w:rsidRPr="00034EDF">
        <w:rPr>
          <w:rFonts w:asciiTheme="majorBidi" w:hAnsiTheme="majorBidi" w:cstheme="majorBidi"/>
          <w:sz w:val="24"/>
          <w:szCs w:val="24"/>
        </w:rPr>
        <w:t>.</w:t>
      </w:r>
    </w:p>
    <w:p w14:paraId="102057DD" w14:textId="0F7528DF" w:rsidR="000E7C73" w:rsidRPr="00034EDF" w:rsidRDefault="000E7C73" w:rsidP="000315AD">
      <w:pPr>
        <w:pStyle w:val="Sraopastraipa"/>
        <w:numPr>
          <w:ilvl w:val="1"/>
          <w:numId w:val="3"/>
        </w:numPr>
        <w:shd w:val="clear" w:color="auto" w:fill="FFFFFF"/>
        <w:spacing w:after="120" w:line="240" w:lineRule="auto"/>
        <w:ind w:left="788" w:hanging="431"/>
        <w:contextualSpacing w:val="0"/>
        <w:jc w:val="both"/>
        <w:rPr>
          <w:rFonts w:asciiTheme="majorBidi" w:hAnsiTheme="majorBidi" w:cstheme="majorBidi"/>
          <w:sz w:val="24"/>
          <w:szCs w:val="24"/>
        </w:rPr>
      </w:pPr>
      <w:r w:rsidRPr="00034EDF">
        <w:rPr>
          <w:rFonts w:asciiTheme="majorBidi" w:hAnsiTheme="majorBidi" w:cstheme="majorBidi"/>
          <w:sz w:val="24"/>
          <w:szCs w:val="24"/>
        </w:rPr>
        <w:t>Atsakovė 2023 m. liepos 11 d. pranešimu informavo ieškovę, jog nuo 2023 m. liepos 13 d. sustabdo sutarties vykdymą, kartu nurod</w:t>
      </w:r>
      <w:r w:rsidR="00BA023D" w:rsidRPr="00034EDF">
        <w:rPr>
          <w:rFonts w:asciiTheme="majorBidi" w:hAnsiTheme="majorBidi" w:cstheme="majorBidi"/>
          <w:sz w:val="24"/>
          <w:szCs w:val="24"/>
        </w:rPr>
        <w:t>ė</w:t>
      </w:r>
      <w:r w:rsidRPr="00034EDF">
        <w:rPr>
          <w:rFonts w:asciiTheme="majorBidi" w:hAnsiTheme="majorBidi" w:cstheme="majorBidi"/>
          <w:sz w:val="24"/>
          <w:szCs w:val="24"/>
        </w:rPr>
        <w:t>, kad nuo sutarties sustabdymo datos nebus išduodamos naujos kortelės ar kortelių sąskaitos pagal Sutartį, taip pat esamiems kortelių savininkams nebus galima pereiti prie kitų sutarčių pagal programą. Tai patvirtina, kad ir pats ginčas tarp šalių kilo, be kita ko, ir dėl finansinių paslaugų vartotojams teikimo.</w:t>
      </w:r>
    </w:p>
    <w:p w14:paraId="790D8F5D" w14:textId="55FCB300" w:rsidR="000E7C73" w:rsidRPr="00034EDF" w:rsidRDefault="000E7C73" w:rsidP="000315AD">
      <w:pPr>
        <w:pStyle w:val="Sraopastraipa"/>
        <w:numPr>
          <w:ilvl w:val="1"/>
          <w:numId w:val="3"/>
        </w:numPr>
        <w:shd w:val="clear" w:color="auto" w:fill="FFFFFF"/>
        <w:spacing w:after="120" w:line="240" w:lineRule="auto"/>
        <w:ind w:left="788" w:hanging="431"/>
        <w:contextualSpacing w:val="0"/>
        <w:jc w:val="both"/>
        <w:rPr>
          <w:rFonts w:asciiTheme="majorBidi" w:hAnsiTheme="majorBidi" w:cstheme="majorBidi"/>
          <w:sz w:val="24"/>
          <w:szCs w:val="24"/>
        </w:rPr>
      </w:pPr>
      <w:r w:rsidRPr="00034EDF">
        <w:rPr>
          <w:rFonts w:asciiTheme="majorBidi" w:hAnsiTheme="majorBidi" w:cstheme="majorBidi"/>
          <w:sz w:val="24"/>
          <w:szCs w:val="24"/>
        </w:rPr>
        <w:t xml:space="preserve">Nagrinėjant ginčą Lietuvos teismuose būtų užtikrintas viešasis interesas. Lietuvos finansų rinkoje savaime dominuoja viešasis interesas, kadangi finansų rinkos dalyviams yra taikomas imperatyvus teisinis reguliavimas, pagrįstas privalomų nurodymų davimu, </w:t>
      </w:r>
      <w:r w:rsidR="001A2E42" w:rsidRPr="00034EDF">
        <w:rPr>
          <w:rFonts w:asciiTheme="majorBidi" w:hAnsiTheme="majorBidi" w:cstheme="majorBidi"/>
          <w:sz w:val="24"/>
          <w:szCs w:val="24"/>
        </w:rPr>
        <w:t>t</w:t>
      </w:r>
      <w:r w:rsidRPr="00034EDF">
        <w:rPr>
          <w:rFonts w:asciiTheme="majorBidi" w:hAnsiTheme="majorBidi" w:cstheme="majorBidi"/>
          <w:sz w:val="24"/>
          <w:szCs w:val="24"/>
        </w:rPr>
        <w:t xml:space="preserve">ą lemia </w:t>
      </w:r>
      <w:r w:rsidRPr="00034EDF">
        <w:rPr>
          <w:rFonts w:asciiTheme="majorBidi" w:hAnsiTheme="majorBidi" w:cstheme="majorBidi"/>
          <w:sz w:val="24"/>
          <w:szCs w:val="24"/>
        </w:rPr>
        <w:lastRenderedPageBreak/>
        <w:t>privalomojo subjekto (valstybės) būtinas dalyvavimas atitinkamuose santykiuose. Kadangi Lietuvos finansų rinkoje vyrauja viešasis interesas, kuriam atstovauja pati valstybė, todėl privalo būti užtikrinama viešojo intereso apsauga. Atitinkamai viešasis interesas bus apsaugotas tik tuo atveju, jeigu ginčas bus nagrinėjamas Lietuvoje.</w:t>
      </w:r>
    </w:p>
    <w:p w14:paraId="5B7D77E4" w14:textId="6EEF3628" w:rsidR="000E7C73" w:rsidRPr="00034EDF" w:rsidRDefault="000E7C73" w:rsidP="000315AD">
      <w:pPr>
        <w:pStyle w:val="Sraopastraipa"/>
        <w:numPr>
          <w:ilvl w:val="1"/>
          <w:numId w:val="3"/>
        </w:numPr>
        <w:shd w:val="clear" w:color="auto" w:fill="FFFFFF"/>
        <w:spacing w:after="120" w:line="240" w:lineRule="auto"/>
        <w:ind w:left="788" w:hanging="431"/>
        <w:contextualSpacing w:val="0"/>
        <w:jc w:val="both"/>
        <w:rPr>
          <w:rFonts w:asciiTheme="majorBidi" w:hAnsiTheme="majorBidi" w:cstheme="majorBidi"/>
          <w:sz w:val="24"/>
          <w:szCs w:val="24"/>
        </w:rPr>
      </w:pPr>
      <w:r w:rsidRPr="00034EDF">
        <w:rPr>
          <w:rFonts w:asciiTheme="majorBidi" w:hAnsiTheme="majorBidi" w:cstheme="majorBidi"/>
          <w:sz w:val="24"/>
          <w:szCs w:val="24"/>
        </w:rPr>
        <w:t xml:space="preserve">Visi </w:t>
      </w:r>
      <w:r w:rsidR="00BA023D" w:rsidRPr="00034EDF">
        <w:rPr>
          <w:rFonts w:asciiTheme="majorBidi" w:hAnsiTheme="majorBidi" w:cstheme="majorBidi"/>
          <w:sz w:val="24"/>
          <w:szCs w:val="24"/>
        </w:rPr>
        <w:t>b</w:t>
      </w:r>
      <w:r w:rsidRPr="00034EDF">
        <w:rPr>
          <w:rFonts w:asciiTheme="majorBidi" w:hAnsiTheme="majorBidi" w:cstheme="majorBidi"/>
          <w:sz w:val="24"/>
          <w:szCs w:val="24"/>
        </w:rPr>
        <w:t>ylos liudytojai, pavyzdžiui, ieškovės vadovai, kiti darbuotojai, bei įrodymai yra Lietuvoje, žala taip pat atsirado Lietuvoje (pavyzdžiui, ieškovė</w:t>
      </w:r>
      <w:r w:rsidR="00972AC3" w:rsidRPr="00034EDF">
        <w:rPr>
          <w:rFonts w:asciiTheme="majorBidi" w:hAnsiTheme="majorBidi" w:cstheme="majorBidi"/>
          <w:sz w:val="24"/>
          <w:szCs w:val="24"/>
        </w:rPr>
        <w:t xml:space="preserve"> čia prarado</w:t>
      </w:r>
      <w:r w:rsidRPr="00034EDF">
        <w:rPr>
          <w:rFonts w:asciiTheme="majorBidi" w:hAnsiTheme="majorBidi" w:cstheme="majorBidi"/>
          <w:sz w:val="24"/>
          <w:szCs w:val="24"/>
        </w:rPr>
        <w:t xml:space="preserve"> klient</w:t>
      </w:r>
      <w:r w:rsidR="00972AC3" w:rsidRPr="00034EDF">
        <w:rPr>
          <w:rFonts w:asciiTheme="majorBidi" w:hAnsiTheme="majorBidi" w:cstheme="majorBidi"/>
          <w:sz w:val="24"/>
          <w:szCs w:val="24"/>
        </w:rPr>
        <w:t>us)</w:t>
      </w:r>
      <w:r w:rsidRPr="00034EDF">
        <w:rPr>
          <w:rFonts w:asciiTheme="majorBidi" w:hAnsiTheme="majorBidi" w:cstheme="majorBidi"/>
          <w:sz w:val="24"/>
          <w:szCs w:val="24"/>
        </w:rPr>
        <w:t>, bylos nagrinėjimo procesas Lietuvoje būtų efektyvesnis ir ekonomiškesnis. Bylos nagrinėjimas Anglijos teismuose apribotų ieškovės teises efektyviai ginti savo pažeistas teises ir teisėtus interesus. Ginčo nagrinėjimas Anglijos teismuose sukeltų nepagrįstų nepatogumų ne tik dėl kalbos barjero (visi dokumentai ir liudytojų parodymai turėtų būti verčiami į anglų kalbą), teisinių sistemų skirtumų (Anglijos teismai gali neturėti specifin</w:t>
      </w:r>
      <w:r w:rsidR="00BA023D" w:rsidRPr="00034EDF">
        <w:rPr>
          <w:rFonts w:asciiTheme="majorBidi" w:hAnsiTheme="majorBidi" w:cstheme="majorBidi"/>
          <w:sz w:val="24"/>
          <w:szCs w:val="24"/>
        </w:rPr>
        <w:t>ių</w:t>
      </w:r>
      <w:r w:rsidRPr="00034EDF">
        <w:rPr>
          <w:rFonts w:asciiTheme="majorBidi" w:hAnsiTheme="majorBidi" w:cstheme="majorBidi"/>
          <w:sz w:val="24"/>
          <w:szCs w:val="24"/>
        </w:rPr>
        <w:t xml:space="preserve"> Lietuvos finansų rinkos teisės norm</w:t>
      </w:r>
      <w:r w:rsidR="00BA023D" w:rsidRPr="00034EDF">
        <w:rPr>
          <w:rFonts w:asciiTheme="majorBidi" w:hAnsiTheme="majorBidi" w:cstheme="majorBidi"/>
          <w:sz w:val="24"/>
          <w:szCs w:val="24"/>
        </w:rPr>
        <w:t>ų taikymo patirties</w:t>
      </w:r>
      <w:r w:rsidRPr="00034EDF">
        <w:rPr>
          <w:rFonts w:asciiTheme="majorBidi" w:hAnsiTheme="majorBidi" w:cstheme="majorBidi"/>
          <w:sz w:val="24"/>
          <w:szCs w:val="24"/>
        </w:rPr>
        <w:t>), bet ir dėl įrodymų rinkimo sudėtingumo.</w:t>
      </w:r>
    </w:p>
    <w:p w14:paraId="5CAC1DB0" w14:textId="35B18EAC" w:rsidR="00E01980" w:rsidRPr="00034EDF" w:rsidRDefault="000315AD" w:rsidP="000315AD">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034EDF">
        <w:rPr>
          <w:rFonts w:ascii="Times New Roman" w:hAnsi="Times New Roman"/>
          <w:sz w:val="24"/>
          <w:szCs w:val="24"/>
        </w:rPr>
        <w:t>Atsakovė pateiktuose rašytiniuose paaiškinimuose nurodė, kad ginčas patenka į Hagos konvencijos taikymo sritį. Atsakovės rašytiniai paaiškinimai grindžiami šiais argumentais:</w:t>
      </w:r>
    </w:p>
    <w:p w14:paraId="2A7DCE6B" w14:textId="02BD73F6" w:rsidR="000315AD" w:rsidRPr="00034EDF" w:rsidRDefault="000315AD" w:rsidP="000315AD">
      <w:pPr>
        <w:pStyle w:val="Sraopastraipa"/>
        <w:numPr>
          <w:ilvl w:val="1"/>
          <w:numId w:val="3"/>
        </w:numPr>
        <w:shd w:val="clear" w:color="auto" w:fill="FFFFFF"/>
        <w:spacing w:after="120" w:line="240" w:lineRule="auto"/>
        <w:ind w:left="788" w:hanging="431"/>
        <w:contextualSpacing w:val="0"/>
        <w:jc w:val="both"/>
        <w:rPr>
          <w:rFonts w:asciiTheme="majorBidi" w:hAnsiTheme="majorBidi" w:cstheme="majorBidi"/>
          <w:sz w:val="24"/>
          <w:szCs w:val="24"/>
        </w:rPr>
      </w:pPr>
      <w:r w:rsidRPr="00034EDF">
        <w:rPr>
          <w:rFonts w:asciiTheme="majorBidi" w:hAnsiTheme="majorBidi" w:cstheme="majorBidi"/>
          <w:sz w:val="24"/>
          <w:szCs w:val="24"/>
        </w:rPr>
        <w:t>Nagrinėjamoje byloje pareikšti reikalavimai patenka į Konvencijos materialiąją taikymo sritį, nes: i) yra tenkinamas „tarptautiškumo“ reikalavimas; ii) yra tenkinama „susitarimo“ sąlyga ir formos reikalavimai (susitarimas sudarytas raštu); iii) yra tenkinamas jurisdikcinio susitarimo išimtinumo kriterijus; iv) sutartis ir joje įtvirtintas jurisdikcinis susitarimas yra sudaryti civilinių arba komercinių santykių srityje.</w:t>
      </w:r>
    </w:p>
    <w:p w14:paraId="59FDCD72" w14:textId="2ED49AE0" w:rsidR="000315AD" w:rsidRPr="00034EDF" w:rsidRDefault="000315AD" w:rsidP="000315AD">
      <w:pPr>
        <w:pStyle w:val="Sraopastraipa"/>
        <w:numPr>
          <w:ilvl w:val="1"/>
          <w:numId w:val="3"/>
        </w:numPr>
        <w:shd w:val="clear" w:color="auto" w:fill="FFFFFF"/>
        <w:spacing w:after="120" w:line="240" w:lineRule="auto"/>
        <w:ind w:left="788" w:hanging="431"/>
        <w:contextualSpacing w:val="0"/>
        <w:jc w:val="both"/>
        <w:rPr>
          <w:rFonts w:asciiTheme="majorBidi" w:hAnsiTheme="majorBidi" w:cstheme="majorBidi"/>
          <w:sz w:val="24"/>
          <w:szCs w:val="24"/>
        </w:rPr>
      </w:pPr>
      <w:r w:rsidRPr="00034EDF">
        <w:rPr>
          <w:rFonts w:asciiTheme="majorBidi" w:hAnsiTheme="majorBidi" w:cstheme="majorBidi"/>
          <w:sz w:val="24"/>
          <w:szCs w:val="24"/>
        </w:rPr>
        <w:t xml:space="preserve">Ginčo sutartis yra daugiašalė (trišalė), ją sudarė Anglijoje registruota </w:t>
      </w:r>
      <w:r w:rsidR="00972AC3" w:rsidRPr="00034EDF">
        <w:rPr>
          <w:rFonts w:asciiTheme="majorBidi" w:hAnsiTheme="majorBidi" w:cstheme="majorBidi"/>
          <w:sz w:val="24"/>
          <w:szCs w:val="24"/>
        </w:rPr>
        <w:t>bendrovė</w:t>
      </w:r>
      <w:r w:rsidRPr="00034EDF">
        <w:rPr>
          <w:rFonts w:asciiTheme="majorBidi" w:hAnsiTheme="majorBidi" w:cstheme="majorBidi"/>
          <w:sz w:val="24"/>
          <w:szCs w:val="24"/>
        </w:rPr>
        <w:t xml:space="preserve"> </w:t>
      </w:r>
      <w:r w:rsidR="009167A2" w:rsidRPr="00034EDF">
        <w:rPr>
          <w:rFonts w:asciiTheme="majorBidi" w:hAnsiTheme="majorBidi" w:cstheme="majorBidi"/>
          <w:sz w:val="24"/>
          <w:szCs w:val="24"/>
        </w:rPr>
        <w:t>„</w:t>
      </w:r>
      <w:r w:rsidRPr="00034EDF">
        <w:rPr>
          <w:rFonts w:asciiTheme="majorBidi" w:hAnsiTheme="majorBidi" w:cstheme="majorBidi"/>
          <w:sz w:val="24"/>
          <w:szCs w:val="24"/>
        </w:rPr>
        <w:t>Contis Financial Services Limited</w:t>
      </w:r>
      <w:r w:rsidR="009167A2" w:rsidRPr="00034EDF">
        <w:rPr>
          <w:rFonts w:asciiTheme="majorBidi" w:hAnsiTheme="majorBidi" w:cstheme="majorBidi"/>
          <w:sz w:val="24"/>
          <w:szCs w:val="24"/>
        </w:rPr>
        <w:t>“</w:t>
      </w:r>
      <w:r w:rsidRPr="00034EDF">
        <w:rPr>
          <w:rFonts w:asciiTheme="majorBidi" w:hAnsiTheme="majorBidi" w:cstheme="majorBidi"/>
          <w:sz w:val="24"/>
          <w:szCs w:val="24"/>
        </w:rPr>
        <w:t xml:space="preserve">, Lietuvoje registruota UAB „Finansinės paslaugos „Contis“ ir Lietuvoje registruota </w:t>
      </w:r>
      <w:r w:rsidR="00BA023D" w:rsidRPr="00034EDF">
        <w:rPr>
          <w:rFonts w:asciiTheme="majorBidi" w:hAnsiTheme="majorBidi" w:cstheme="majorBidi"/>
          <w:sz w:val="24"/>
          <w:szCs w:val="24"/>
        </w:rPr>
        <w:t>UAB</w:t>
      </w:r>
      <w:r w:rsidRPr="00034EDF">
        <w:rPr>
          <w:rFonts w:asciiTheme="majorBidi" w:hAnsiTheme="majorBidi" w:cstheme="majorBidi"/>
          <w:sz w:val="24"/>
          <w:szCs w:val="24"/>
        </w:rPr>
        <w:t xml:space="preserve"> „Paysera LT“. Funkcijos tarp </w:t>
      </w:r>
      <w:r w:rsidR="009167A2" w:rsidRPr="00034EDF">
        <w:rPr>
          <w:rFonts w:asciiTheme="majorBidi" w:hAnsiTheme="majorBidi" w:cstheme="majorBidi"/>
          <w:sz w:val="24"/>
          <w:szCs w:val="24"/>
        </w:rPr>
        <w:t>„</w:t>
      </w:r>
      <w:r w:rsidRPr="00034EDF">
        <w:rPr>
          <w:rFonts w:asciiTheme="majorBidi" w:hAnsiTheme="majorBidi" w:cstheme="majorBidi"/>
          <w:sz w:val="24"/>
          <w:szCs w:val="24"/>
        </w:rPr>
        <w:t>Contis</w:t>
      </w:r>
      <w:r w:rsidR="009167A2" w:rsidRPr="00034EDF">
        <w:rPr>
          <w:rFonts w:asciiTheme="majorBidi" w:hAnsiTheme="majorBidi" w:cstheme="majorBidi"/>
          <w:sz w:val="24"/>
          <w:szCs w:val="24"/>
        </w:rPr>
        <w:t>“</w:t>
      </w:r>
      <w:r w:rsidRPr="00034EDF">
        <w:rPr>
          <w:rFonts w:asciiTheme="majorBidi" w:hAnsiTheme="majorBidi" w:cstheme="majorBidi"/>
          <w:sz w:val="24"/>
          <w:szCs w:val="24"/>
        </w:rPr>
        <w:t xml:space="preserve"> grupės įmonių paskirstytos geografiniu principu – pagal kliento sąskaitos buvimo vietą. Vykdant Sutartį aktyviai dalyvavo visi ją pasirašę asmenys</w:t>
      </w:r>
      <w:r w:rsidR="00BA023D" w:rsidRPr="00034EDF">
        <w:rPr>
          <w:rFonts w:asciiTheme="majorBidi" w:hAnsiTheme="majorBidi" w:cstheme="majorBidi"/>
          <w:sz w:val="24"/>
          <w:szCs w:val="24"/>
        </w:rPr>
        <w:t>.</w:t>
      </w:r>
    </w:p>
    <w:p w14:paraId="28B62DB5" w14:textId="652FD7C9" w:rsidR="000315AD" w:rsidRPr="00034EDF" w:rsidRDefault="000315AD" w:rsidP="000315AD">
      <w:pPr>
        <w:pStyle w:val="Sraopastraipa"/>
        <w:numPr>
          <w:ilvl w:val="1"/>
          <w:numId w:val="3"/>
        </w:numPr>
        <w:shd w:val="clear" w:color="auto" w:fill="FFFFFF"/>
        <w:spacing w:after="120" w:line="240" w:lineRule="auto"/>
        <w:ind w:left="788" w:hanging="431"/>
        <w:contextualSpacing w:val="0"/>
        <w:jc w:val="both"/>
        <w:rPr>
          <w:rFonts w:asciiTheme="majorBidi" w:hAnsiTheme="majorBidi" w:cstheme="majorBidi"/>
          <w:sz w:val="24"/>
          <w:szCs w:val="24"/>
        </w:rPr>
      </w:pPr>
      <w:r w:rsidRPr="00034EDF">
        <w:rPr>
          <w:rFonts w:asciiTheme="majorBidi" w:hAnsiTheme="majorBidi" w:cstheme="majorBidi"/>
          <w:color w:val="000000"/>
          <w:sz w:val="24"/>
          <w:szCs w:val="24"/>
        </w:rPr>
        <w:t xml:space="preserve">Ieškovė sąmoningai, taktiniais tikslais pasirinko reikšti ieškinį tik vienai iš </w:t>
      </w:r>
      <w:r w:rsidR="009167A2" w:rsidRPr="00034EDF">
        <w:rPr>
          <w:rFonts w:asciiTheme="majorBidi" w:hAnsiTheme="majorBidi" w:cstheme="majorBidi"/>
          <w:color w:val="000000"/>
          <w:sz w:val="24"/>
          <w:szCs w:val="24"/>
        </w:rPr>
        <w:t>„</w:t>
      </w:r>
      <w:r w:rsidRPr="00034EDF">
        <w:rPr>
          <w:rFonts w:asciiTheme="majorBidi" w:hAnsiTheme="majorBidi" w:cstheme="majorBidi"/>
          <w:color w:val="000000"/>
          <w:sz w:val="24"/>
          <w:szCs w:val="24"/>
        </w:rPr>
        <w:t>Contis</w:t>
      </w:r>
      <w:r w:rsidR="009167A2" w:rsidRPr="00034EDF">
        <w:rPr>
          <w:rFonts w:asciiTheme="majorBidi" w:hAnsiTheme="majorBidi" w:cstheme="majorBidi"/>
          <w:color w:val="000000"/>
          <w:sz w:val="24"/>
          <w:szCs w:val="24"/>
        </w:rPr>
        <w:t>“</w:t>
      </w:r>
      <w:r w:rsidRPr="00034EDF">
        <w:rPr>
          <w:rFonts w:asciiTheme="majorBidi" w:hAnsiTheme="majorBidi" w:cstheme="majorBidi"/>
          <w:color w:val="000000"/>
          <w:sz w:val="24"/>
          <w:szCs w:val="24"/>
        </w:rPr>
        <w:t xml:space="preserve"> grupės įmonių, taip bandydama </w:t>
      </w:r>
      <w:r w:rsidR="00BA023D" w:rsidRPr="00034EDF">
        <w:rPr>
          <w:rFonts w:asciiTheme="majorBidi" w:hAnsiTheme="majorBidi" w:cstheme="majorBidi"/>
          <w:color w:val="000000"/>
          <w:sz w:val="24"/>
          <w:szCs w:val="24"/>
        </w:rPr>
        <w:t>pasiekti, kad</w:t>
      </w:r>
      <w:r w:rsidRPr="00034EDF">
        <w:rPr>
          <w:rFonts w:asciiTheme="majorBidi" w:hAnsiTheme="majorBidi" w:cstheme="majorBidi"/>
          <w:color w:val="000000"/>
          <w:sz w:val="24"/>
          <w:szCs w:val="24"/>
        </w:rPr>
        <w:t xml:space="preserve"> ginč</w:t>
      </w:r>
      <w:r w:rsidR="00BA023D" w:rsidRPr="00034EDF">
        <w:rPr>
          <w:rFonts w:asciiTheme="majorBidi" w:hAnsiTheme="majorBidi" w:cstheme="majorBidi"/>
          <w:color w:val="000000"/>
          <w:sz w:val="24"/>
          <w:szCs w:val="24"/>
        </w:rPr>
        <w:t>as būtų nagrinėjamas</w:t>
      </w:r>
      <w:r w:rsidRPr="00034EDF">
        <w:rPr>
          <w:rFonts w:asciiTheme="majorBidi" w:hAnsiTheme="majorBidi" w:cstheme="majorBidi"/>
          <w:color w:val="000000"/>
          <w:sz w:val="24"/>
          <w:szCs w:val="24"/>
        </w:rPr>
        <w:t xml:space="preserve"> Lietuvos Respublikos teismu</w:t>
      </w:r>
      <w:r w:rsidR="00BA023D" w:rsidRPr="00034EDF">
        <w:rPr>
          <w:rFonts w:asciiTheme="majorBidi" w:hAnsiTheme="majorBidi" w:cstheme="majorBidi"/>
          <w:color w:val="000000"/>
          <w:sz w:val="24"/>
          <w:szCs w:val="24"/>
        </w:rPr>
        <w:t>ose</w:t>
      </w:r>
      <w:r w:rsidR="00972AC3" w:rsidRPr="00034EDF">
        <w:rPr>
          <w:rFonts w:asciiTheme="majorBidi" w:hAnsiTheme="majorBidi" w:cstheme="majorBidi"/>
          <w:color w:val="000000"/>
          <w:sz w:val="24"/>
          <w:szCs w:val="24"/>
        </w:rPr>
        <w:t>,</w:t>
      </w:r>
      <w:r w:rsidRPr="00034EDF">
        <w:rPr>
          <w:rFonts w:asciiTheme="majorBidi" w:hAnsiTheme="majorBidi" w:cstheme="majorBidi"/>
          <w:color w:val="000000"/>
          <w:sz w:val="24"/>
          <w:szCs w:val="24"/>
        </w:rPr>
        <w:t xml:space="preserve"> – </w:t>
      </w:r>
      <w:r w:rsidR="007E4FC1" w:rsidRPr="00034EDF">
        <w:rPr>
          <w:rFonts w:asciiTheme="majorBidi" w:hAnsiTheme="majorBidi" w:cstheme="majorBidi"/>
          <w:color w:val="000000"/>
          <w:sz w:val="24"/>
          <w:szCs w:val="24"/>
        </w:rPr>
        <w:t>i</w:t>
      </w:r>
      <w:r w:rsidRPr="00034EDF">
        <w:rPr>
          <w:rFonts w:asciiTheme="majorBidi" w:hAnsiTheme="majorBidi" w:cstheme="majorBidi"/>
          <w:color w:val="000000"/>
          <w:sz w:val="24"/>
          <w:szCs w:val="24"/>
        </w:rPr>
        <w:t xml:space="preserve">eškovė šioje byloje klaidingai įrodinėjo, kad ginčas neturi (nebeturi) sąsajų su Anglija. Toks dirbtinis ginčo ir proceso konstravimas neleidžia išvengti jurisdikcinio susitarimo taikymo. </w:t>
      </w:r>
    </w:p>
    <w:p w14:paraId="7B095505" w14:textId="0BA1AC8E" w:rsidR="000315AD" w:rsidRPr="00034EDF" w:rsidRDefault="000315AD" w:rsidP="008D6D6E">
      <w:pPr>
        <w:pStyle w:val="Sraopastraipa"/>
        <w:numPr>
          <w:ilvl w:val="1"/>
          <w:numId w:val="3"/>
        </w:numPr>
        <w:shd w:val="clear" w:color="auto" w:fill="FFFFFF"/>
        <w:spacing w:after="120" w:line="240" w:lineRule="auto"/>
        <w:ind w:left="788" w:hanging="431"/>
        <w:contextualSpacing w:val="0"/>
        <w:jc w:val="both"/>
        <w:rPr>
          <w:rFonts w:asciiTheme="majorBidi" w:hAnsiTheme="majorBidi" w:cstheme="majorBidi"/>
          <w:sz w:val="24"/>
          <w:szCs w:val="24"/>
        </w:rPr>
      </w:pPr>
      <w:r w:rsidRPr="00034EDF">
        <w:rPr>
          <w:rFonts w:asciiTheme="majorBidi" w:hAnsiTheme="majorBidi" w:cstheme="majorBidi"/>
          <w:sz w:val="24"/>
          <w:szCs w:val="24"/>
        </w:rPr>
        <w:t>Europos Sąjungos Tarybos 2009 m. vasario 26 d. sprendimu Nr. 2009/397/EB dėl Konvencijos dėl susitarimų dėl teismingumo pasirašymo Europos bendrijos vardu buvo patvirtintas šios tarptautinės bendrijos prisijungimas prie Konvencijos. Tarybai išreiškus valią dėl minėtos regioninės ekonominės integracijos organizacijos (Konvencijos 29</w:t>
      </w:r>
      <w:r w:rsidR="008D6D6E" w:rsidRPr="00034EDF">
        <w:rPr>
          <w:rFonts w:asciiTheme="majorBidi" w:hAnsiTheme="majorBidi" w:cstheme="majorBidi"/>
          <w:sz w:val="24"/>
          <w:szCs w:val="24"/>
        </w:rPr>
        <w:t> </w:t>
      </w:r>
      <w:r w:rsidRPr="00034EDF">
        <w:rPr>
          <w:rFonts w:asciiTheme="majorBidi" w:hAnsiTheme="majorBidi" w:cstheme="majorBidi"/>
          <w:sz w:val="24"/>
          <w:szCs w:val="24"/>
        </w:rPr>
        <w:t>straipsnis) prisijungimo prie Konvencijos, Lietuvai, kaip ir kitoms Europos Sąjungos valstybėms narėms, Konvencija įsigaliojo nuo 2015 m. spalio 1 d. Jungtinė Karalystė tuo metu buvo Europos Sąjungos valstybė narė, todėl Konvencijos 30 straipsnyje nustatyta tvarka Konvencija jai taip pat įsigaliojo tą pačią dieną.</w:t>
      </w:r>
    </w:p>
    <w:p w14:paraId="64EC16F1" w14:textId="2750AD48" w:rsidR="000315AD" w:rsidRPr="00034EDF" w:rsidRDefault="000315AD" w:rsidP="008D6D6E">
      <w:pPr>
        <w:pStyle w:val="Sraopastraipa"/>
        <w:numPr>
          <w:ilvl w:val="1"/>
          <w:numId w:val="3"/>
        </w:numPr>
        <w:shd w:val="clear" w:color="auto" w:fill="FFFFFF"/>
        <w:spacing w:after="120" w:line="240" w:lineRule="auto"/>
        <w:ind w:left="788" w:hanging="431"/>
        <w:contextualSpacing w:val="0"/>
        <w:jc w:val="both"/>
        <w:rPr>
          <w:rFonts w:asciiTheme="majorBidi" w:hAnsiTheme="majorBidi" w:cstheme="majorBidi"/>
          <w:sz w:val="24"/>
          <w:szCs w:val="24"/>
        </w:rPr>
      </w:pPr>
      <w:r w:rsidRPr="00034EDF">
        <w:rPr>
          <w:rFonts w:asciiTheme="majorBidi" w:hAnsiTheme="majorBidi" w:cstheme="majorBidi"/>
          <w:sz w:val="24"/>
          <w:szCs w:val="24"/>
        </w:rPr>
        <w:t>Jungtinė Karalystė iš Europos Sąjungos išstojo. Jungtinės Didžiosios Britanijos ir Šiaurės Airijos Karalystės išstojimo iš Europos Sąjungos ir Europos atominės energijos bendrijos susitarimas (</w:t>
      </w:r>
      <w:r w:rsidR="008D6D6E" w:rsidRPr="00034EDF">
        <w:rPr>
          <w:rFonts w:asciiTheme="majorBidi" w:hAnsiTheme="majorBidi" w:cstheme="majorBidi"/>
          <w:sz w:val="24"/>
          <w:szCs w:val="24"/>
        </w:rPr>
        <w:t xml:space="preserve">toliau – </w:t>
      </w:r>
      <w:r w:rsidRPr="00034EDF">
        <w:rPr>
          <w:rFonts w:asciiTheme="majorBidi" w:hAnsiTheme="majorBidi" w:cstheme="majorBidi"/>
          <w:sz w:val="24"/>
          <w:szCs w:val="24"/>
        </w:rPr>
        <w:t>Susitarimas) buvo pasirašytas 2019 m. spalio 17 d. ir įsigaliojo 2020 m. vasario 1 d.</w:t>
      </w:r>
      <w:r w:rsidR="008D6D6E" w:rsidRPr="00034EDF">
        <w:rPr>
          <w:rFonts w:asciiTheme="majorBidi" w:hAnsiTheme="majorBidi" w:cstheme="majorBidi"/>
          <w:sz w:val="24"/>
          <w:szCs w:val="24"/>
        </w:rPr>
        <w:t xml:space="preserve"> </w:t>
      </w:r>
      <w:r w:rsidRPr="00034EDF">
        <w:rPr>
          <w:rFonts w:asciiTheme="majorBidi" w:hAnsiTheme="majorBidi" w:cstheme="majorBidi"/>
          <w:sz w:val="24"/>
          <w:szCs w:val="24"/>
        </w:rPr>
        <w:t>Susitarimo 126 straipsnyje įtvirtinta pereinamojo laikotarpio nuostata. Pereinamasis laikotarpis</w:t>
      </w:r>
      <w:r w:rsidR="008D6D6E" w:rsidRPr="00034EDF">
        <w:rPr>
          <w:rFonts w:asciiTheme="majorBidi" w:hAnsiTheme="majorBidi" w:cstheme="majorBidi"/>
          <w:sz w:val="24"/>
          <w:szCs w:val="24"/>
        </w:rPr>
        <w:t xml:space="preserve"> </w:t>
      </w:r>
      <w:r w:rsidRPr="00034EDF">
        <w:rPr>
          <w:rFonts w:asciiTheme="majorBidi" w:hAnsiTheme="majorBidi" w:cstheme="majorBidi"/>
          <w:sz w:val="24"/>
          <w:szCs w:val="24"/>
        </w:rPr>
        <w:t>prasidėjo Susitarimo įsigaliojimo dieną ir baigėsi 2020</w:t>
      </w:r>
      <w:r w:rsidR="008D6D6E" w:rsidRPr="00034EDF">
        <w:rPr>
          <w:rFonts w:asciiTheme="majorBidi" w:hAnsiTheme="majorBidi" w:cstheme="majorBidi"/>
          <w:sz w:val="24"/>
          <w:szCs w:val="24"/>
        </w:rPr>
        <w:t xml:space="preserve"> m. gruodžio </w:t>
      </w:r>
      <w:r w:rsidRPr="00034EDF">
        <w:rPr>
          <w:rFonts w:asciiTheme="majorBidi" w:hAnsiTheme="majorBidi" w:cstheme="majorBidi"/>
          <w:sz w:val="24"/>
          <w:szCs w:val="24"/>
        </w:rPr>
        <w:t>31</w:t>
      </w:r>
      <w:r w:rsidR="008D6D6E" w:rsidRPr="00034EDF">
        <w:rPr>
          <w:rFonts w:asciiTheme="majorBidi" w:hAnsiTheme="majorBidi" w:cstheme="majorBidi"/>
          <w:sz w:val="24"/>
          <w:szCs w:val="24"/>
        </w:rPr>
        <w:t xml:space="preserve"> d. </w:t>
      </w:r>
      <w:r w:rsidRPr="00034EDF">
        <w:rPr>
          <w:rFonts w:asciiTheme="majorBidi" w:hAnsiTheme="majorBidi" w:cstheme="majorBidi"/>
          <w:sz w:val="24"/>
          <w:szCs w:val="24"/>
        </w:rPr>
        <w:t>Pagal Susitarimą, pereinamojo laikotarpio metu Jungtinės Karalystės teritorijoje ir Jungtinei</w:t>
      </w:r>
      <w:r w:rsidR="008D6D6E" w:rsidRPr="00034EDF">
        <w:rPr>
          <w:rFonts w:asciiTheme="majorBidi" w:hAnsiTheme="majorBidi" w:cstheme="majorBidi"/>
          <w:sz w:val="24"/>
          <w:szCs w:val="24"/>
        </w:rPr>
        <w:t xml:space="preserve"> </w:t>
      </w:r>
      <w:r w:rsidRPr="00034EDF">
        <w:rPr>
          <w:rFonts w:asciiTheme="majorBidi" w:hAnsiTheme="majorBidi" w:cstheme="majorBidi"/>
          <w:sz w:val="24"/>
          <w:szCs w:val="24"/>
        </w:rPr>
        <w:t>Karalystei toliau buvo taikoma Europos Sąjungos teisė (Susitarimo 127 straipsnio 1 ir 3 dalys),</w:t>
      </w:r>
      <w:r w:rsidR="008D6D6E" w:rsidRPr="00034EDF">
        <w:rPr>
          <w:rFonts w:asciiTheme="majorBidi" w:hAnsiTheme="majorBidi" w:cstheme="majorBidi"/>
          <w:sz w:val="24"/>
          <w:szCs w:val="24"/>
        </w:rPr>
        <w:t xml:space="preserve"> </w:t>
      </w:r>
      <w:r w:rsidRPr="00034EDF">
        <w:rPr>
          <w:rFonts w:asciiTheme="majorBidi" w:hAnsiTheme="majorBidi" w:cstheme="majorBidi"/>
          <w:sz w:val="24"/>
          <w:szCs w:val="24"/>
        </w:rPr>
        <w:t>įskaitant Konvenciją. Jungtinė Karalystė buvo laikoma valstybe nare pagal tarptautines sutartis,</w:t>
      </w:r>
      <w:r w:rsidR="008D6D6E" w:rsidRPr="00034EDF">
        <w:rPr>
          <w:rFonts w:asciiTheme="majorBidi" w:hAnsiTheme="majorBidi" w:cstheme="majorBidi"/>
          <w:sz w:val="24"/>
          <w:szCs w:val="24"/>
        </w:rPr>
        <w:t xml:space="preserve"> </w:t>
      </w:r>
      <w:r w:rsidRPr="00034EDF">
        <w:rPr>
          <w:rFonts w:asciiTheme="majorBidi" w:hAnsiTheme="majorBidi" w:cstheme="majorBidi"/>
          <w:sz w:val="24"/>
          <w:szCs w:val="24"/>
        </w:rPr>
        <w:t>kurias sudarė Europos Sąjunga, įskaitant Konvenciją.</w:t>
      </w:r>
    </w:p>
    <w:p w14:paraId="300FA72A" w14:textId="25CECC09" w:rsidR="000315AD" w:rsidRPr="00034EDF" w:rsidRDefault="008D6D6E" w:rsidP="008D6D6E">
      <w:pPr>
        <w:pStyle w:val="Sraopastraipa"/>
        <w:numPr>
          <w:ilvl w:val="1"/>
          <w:numId w:val="3"/>
        </w:numPr>
        <w:shd w:val="clear" w:color="auto" w:fill="FFFFFF"/>
        <w:spacing w:after="120" w:line="240" w:lineRule="auto"/>
        <w:ind w:left="788" w:hanging="431"/>
        <w:contextualSpacing w:val="0"/>
        <w:jc w:val="both"/>
        <w:rPr>
          <w:rFonts w:asciiTheme="majorBidi" w:hAnsiTheme="majorBidi" w:cstheme="majorBidi"/>
          <w:sz w:val="24"/>
          <w:szCs w:val="24"/>
        </w:rPr>
      </w:pPr>
      <w:r w:rsidRPr="00034EDF">
        <w:rPr>
          <w:rFonts w:asciiTheme="majorBidi" w:hAnsiTheme="majorBidi" w:cstheme="majorBidi"/>
          <w:sz w:val="24"/>
          <w:szCs w:val="24"/>
        </w:rPr>
        <w:t>Siekdama užtikrinti Konvencijos taikymo tęstinumą po pereinamojo laikotarpio pabaigos Jungtinė Karalystė savarankiškai pateikė prisijungimo dokumentą pagal Konvencijos 27</w:t>
      </w:r>
      <w:r w:rsidR="00BA023D" w:rsidRPr="00034EDF">
        <w:rPr>
          <w:rFonts w:asciiTheme="majorBidi" w:hAnsiTheme="majorBidi" w:cstheme="majorBidi"/>
          <w:sz w:val="24"/>
          <w:szCs w:val="24"/>
        </w:rPr>
        <w:t> </w:t>
      </w:r>
      <w:r w:rsidRPr="00034EDF">
        <w:rPr>
          <w:rFonts w:asciiTheme="majorBidi" w:hAnsiTheme="majorBidi" w:cstheme="majorBidi"/>
          <w:sz w:val="24"/>
          <w:szCs w:val="24"/>
        </w:rPr>
        <w:t>straipsnio 4 dalį. Šis prisijungimo dokumentas įsigaliojo 2021</w:t>
      </w:r>
      <w:r w:rsidR="00BA023D" w:rsidRPr="00034EDF">
        <w:rPr>
          <w:rFonts w:asciiTheme="majorBidi" w:hAnsiTheme="majorBidi" w:cstheme="majorBidi"/>
          <w:sz w:val="24"/>
          <w:szCs w:val="24"/>
        </w:rPr>
        <w:t xml:space="preserve"> m. sausio </w:t>
      </w:r>
      <w:r w:rsidRPr="00034EDF">
        <w:rPr>
          <w:rFonts w:asciiTheme="majorBidi" w:hAnsiTheme="majorBidi" w:cstheme="majorBidi"/>
          <w:sz w:val="24"/>
          <w:szCs w:val="24"/>
        </w:rPr>
        <w:t>1</w:t>
      </w:r>
      <w:r w:rsidR="00BA023D" w:rsidRPr="00034EDF">
        <w:rPr>
          <w:rFonts w:asciiTheme="majorBidi" w:hAnsiTheme="majorBidi" w:cstheme="majorBidi"/>
          <w:sz w:val="24"/>
          <w:szCs w:val="24"/>
        </w:rPr>
        <w:t xml:space="preserve"> d</w:t>
      </w:r>
      <w:r w:rsidRPr="00034EDF">
        <w:rPr>
          <w:rFonts w:asciiTheme="majorBidi" w:hAnsiTheme="majorBidi" w:cstheme="majorBidi"/>
          <w:sz w:val="24"/>
          <w:szCs w:val="24"/>
        </w:rPr>
        <w:t xml:space="preserve">. </w:t>
      </w:r>
      <w:r w:rsidRPr="00034EDF">
        <w:rPr>
          <w:rFonts w:asciiTheme="majorBidi" w:hAnsiTheme="majorBidi" w:cstheme="majorBidi"/>
          <w:sz w:val="24"/>
          <w:szCs w:val="24"/>
        </w:rPr>
        <w:lastRenderedPageBreak/>
        <w:t xml:space="preserve">Vadovaujantis Jungtinės Karalystės 2020 m. Tarptautinės privatinės teisės sutarčių įgyvendinimo įstatymo 5 priedo 7 punktu, taikant Konvencijos 16 straipsnį, kuris Jungtinėje Karalystėje turi įstatymo galią pagal 1982 m. Civilinės jurisdikcijos ir teismų sprendimų įstatymo 3D skirsnio 1 dalį (papildytą šio įstatymo 1 skirsnio 2 dalimi), Konvencijos įsigaliojimo Jungtinei Karalystei data yra 2015 m. spalio 1 d., todėl Konvencijoje pateiktos nuorodos į </w:t>
      </w:r>
      <w:r w:rsidR="00BA023D" w:rsidRPr="00034EDF">
        <w:rPr>
          <w:rFonts w:asciiTheme="majorBidi" w:hAnsiTheme="majorBidi" w:cstheme="majorBidi"/>
          <w:sz w:val="24"/>
          <w:szCs w:val="24"/>
        </w:rPr>
        <w:t>s</w:t>
      </w:r>
      <w:r w:rsidRPr="00034EDF">
        <w:rPr>
          <w:rFonts w:asciiTheme="majorBidi" w:hAnsiTheme="majorBidi" w:cstheme="majorBidi"/>
          <w:sz w:val="24"/>
          <w:szCs w:val="24"/>
        </w:rPr>
        <w:t xml:space="preserve">usitariančiąją </w:t>
      </w:r>
      <w:r w:rsidR="00BA023D" w:rsidRPr="00034EDF">
        <w:rPr>
          <w:rFonts w:asciiTheme="majorBidi" w:hAnsiTheme="majorBidi" w:cstheme="majorBidi"/>
          <w:sz w:val="24"/>
          <w:szCs w:val="24"/>
        </w:rPr>
        <w:t>v</w:t>
      </w:r>
      <w:r w:rsidRPr="00034EDF">
        <w:rPr>
          <w:rFonts w:asciiTheme="majorBidi" w:hAnsiTheme="majorBidi" w:cstheme="majorBidi"/>
          <w:sz w:val="24"/>
          <w:szCs w:val="24"/>
        </w:rPr>
        <w:t>alstybę turi būti suprantamos taip, kad nuo tos datos be pertraukos apima ir Jungtinę Karalystę.</w:t>
      </w:r>
    </w:p>
    <w:p w14:paraId="638CC3F5" w14:textId="3744302B" w:rsidR="000315AD" w:rsidRPr="00034EDF" w:rsidRDefault="008D6D6E" w:rsidP="001F2974">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034EDF">
        <w:rPr>
          <w:rFonts w:ascii="Times New Roman" w:hAnsi="Times New Roman"/>
          <w:sz w:val="24"/>
          <w:szCs w:val="24"/>
        </w:rPr>
        <w:t xml:space="preserve">Nagrinėjamoje byloje jurisdikcinis susitarimas sudarytas 2020 m. spalio 19 d. Todėl jurisdikcinis susitarimas sudarytas Konvencijai galiojant Jungtinėje Karalystėje pagal pereinamojo laikotarpio nuostatas ir Lietuvoje dėl </w:t>
      </w:r>
      <w:r w:rsidR="00BA023D" w:rsidRPr="00034EDF">
        <w:rPr>
          <w:rFonts w:ascii="Times New Roman" w:hAnsi="Times New Roman"/>
          <w:sz w:val="24"/>
          <w:szCs w:val="24"/>
        </w:rPr>
        <w:t>pirm</w:t>
      </w:r>
      <w:r w:rsidRPr="00034EDF">
        <w:rPr>
          <w:rFonts w:ascii="Times New Roman" w:hAnsi="Times New Roman"/>
          <w:sz w:val="24"/>
          <w:szCs w:val="24"/>
        </w:rPr>
        <w:t>iau aptarto Europos Sąjungos prisijungimo.</w:t>
      </w:r>
    </w:p>
    <w:p w14:paraId="3486DD5C" w14:textId="3D8FD8F2" w:rsidR="001A1F6F" w:rsidRPr="00034EDF" w:rsidRDefault="008D6D6E" w:rsidP="001A1F6F">
      <w:pPr>
        <w:pStyle w:val="Sraopastraipa"/>
        <w:numPr>
          <w:ilvl w:val="1"/>
          <w:numId w:val="3"/>
        </w:numPr>
        <w:shd w:val="clear" w:color="auto" w:fill="FFFFFF"/>
        <w:spacing w:after="120" w:line="240" w:lineRule="auto"/>
        <w:ind w:left="788" w:hanging="431"/>
        <w:contextualSpacing w:val="0"/>
        <w:jc w:val="both"/>
        <w:rPr>
          <w:rFonts w:asciiTheme="majorBidi" w:hAnsiTheme="majorBidi" w:cstheme="majorBidi"/>
          <w:sz w:val="24"/>
          <w:szCs w:val="24"/>
        </w:rPr>
      </w:pPr>
      <w:r w:rsidRPr="00034EDF">
        <w:rPr>
          <w:rFonts w:asciiTheme="majorBidi" w:hAnsiTheme="majorBidi" w:cstheme="majorBidi"/>
          <w:sz w:val="24"/>
          <w:szCs w:val="24"/>
        </w:rPr>
        <w:t xml:space="preserve">Konvencijos 5 straipsnyje įtvirtinta teisės norma suteikia jurisdikciniame susitarime nurodytam teismui jurisdikciją nagrinėti į tokio susitarimo taikymo sritį patenkantį ginčą, net jeigu </w:t>
      </w:r>
      <w:r w:rsidR="00972AC3" w:rsidRPr="00034EDF">
        <w:rPr>
          <w:rFonts w:asciiTheme="majorBidi" w:hAnsiTheme="majorBidi" w:cstheme="majorBidi"/>
          <w:sz w:val="24"/>
          <w:szCs w:val="24"/>
        </w:rPr>
        <w:t>š</w:t>
      </w:r>
      <w:r w:rsidRPr="00034EDF">
        <w:rPr>
          <w:rFonts w:asciiTheme="majorBidi" w:hAnsiTheme="majorBidi" w:cstheme="majorBidi"/>
          <w:sz w:val="24"/>
          <w:szCs w:val="24"/>
        </w:rPr>
        <w:t>is</w:t>
      </w:r>
      <w:r w:rsidR="00972AC3" w:rsidRPr="00034EDF">
        <w:rPr>
          <w:rFonts w:asciiTheme="majorBidi" w:hAnsiTheme="majorBidi" w:cstheme="majorBidi"/>
          <w:sz w:val="24"/>
          <w:szCs w:val="24"/>
        </w:rPr>
        <w:t xml:space="preserve"> teismas</w:t>
      </w:r>
      <w:r w:rsidRPr="00034EDF">
        <w:rPr>
          <w:rFonts w:asciiTheme="majorBidi" w:hAnsiTheme="majorBidi" w:cstheme="majorBidi"/>
          <w:sz w:val="24"/>
          <w:szCs w:val="24"/>
        </w:rPr>
        <w:t xml:space="preserve"> kitu atveju (nesant sudaryto susitarimo dėl teismingumo) neturėtų jurisdikcijos nagrinėti tokį ginčą. Jurisdikciniame susitarime nurodytas teismas nuo bendrosios taisyklės, kad būtent jis yra kompetentingas nagrinėti atitinkamą bylą, gali nukrypti vieninteliu Konvencijoje nustatytu atveju – kai susitarimas yra niekinis. Šioje normoje įtvirtinta taikytinos teisės taisyklė („pagal tos valstybės teisę“) nukreipia į jurisdikciniame susitarime nurodyto teismo valstybės teisę</w:t>
      </w:r>
      <w:r w:rsidR="001A1F6F" w:rsidRPr="00034EDF">
        <w:rPr>
          <w:rFonts w:asciiTheme="majorBidi" w:hAnsiTheme="majorBidi" w:cstheme="majorBidi"/>
          <w:sz w:val="24"/>
          <w:szCs w:val="24"/>
        </w:rPr>
        <w:t>.</w:t>
      </w:r>
    </w:p>
    <w:p w14:paraId="31941470" w14:textId="5F25F253" w:rsidR="001A1F6F" w:rsidRPr="00034EDF" w:rsidRDefault="001A1F6F" w:rsidP="007C167D">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034EDF">
        <w:rPr>
          <w:rFonts w:asciiTheme="majorBidi" w:hAnsiTheme="majorBidi" w:cstheme="majorBidi"/>
          <w:sz w:val="24"/>
          <w:szCs w:val="24"/>
        </w:rPr>
        <w:t xml:space="preserve">Jurisdikcinis susitarimas yra šalių suderintos valios rezultatas, neginčijama, jog šalys turi laisvę tokį susitarimą keisti ar jo atsisakyti. Pavyzdžiui, ieškovui inicijavus teismo procesą jurisdikciniame susitarime nenurodytame teisme, taip </w:t>
      </w:r>
      <w:r w:rsidRPr="00034EDF">
        <w:rPr>
          <w:rFonts w:asciiTheme="majorBidi" w:hAnsiTheme="majorBidi" w:cstheme="majorBidi"/>
          <w:i/>
          <w:iCs/>
          <w:sz w:val="24"/>
          <w:szCs w:val="24"/>
        </w:rPr>
        <w:t>de facto</w:t>
      </w:r>
      <w:r w:rsidRPr="00034EDF">
        <w:rPr>
          <w:rFonts w:asciiTheme="majorBidi" w:hAnsiTheme="majorBidi" w:cstheme="majorBidi"/>
          <w:sz w:val="24"/>
          <w:szCs w:val="24"/>
        </w:rPr>
        <w:t xml:space="preserve"> </w:t>
      </w:r>
      <w:r w:rsidR="00B30538" w:rsidRPr="00034EDF">
        <w:rPr>
          <w:rFonts w:asciiTheme="majorBidi" w:hAnsiTheme="majorBidi" w:cstheme="majorBidi"/>
          <w:sz w:val="24"/>
          <w:szCs w:val="24"/>
        </w:rPr>
        <w:t xml:space="preserve">(faktiškai) </w:t>
      </w:r>
      <w:r w:rsidRPr="00034EDF">
        <w:rPr>
          <w:rFonts w:asciiTheme="majorBidi" w:hAnsiTheme="majorBidi" w:cstheme="majorBidi"/>
          <w:sz w:val="24"/>
          <w:szCs w:val="24"/>
        </w:rPr>
        <w:t xml:space="preserve">išreiškiamas pasiūlymas atsakovui bylinėtis šiame teisme, </w:t>
      </w:r>
      <w:r w:rsidR="00972AC3" w:rsidRPr="00034EDF">
        <w:rPr>
          <w:rFonts w:asciiTheme="majorBidi" w:hAnsiTheme="majorBidi" w:cstheme="majorBidi"/>
          <w:sz w:val="24"/>
          <w:szCs w:val="24"/>
        </w:rPr>
        <w:t>tok</w:t>
      </w:r>
      <w:r w:rsidRPr="00034EDF">
        <w:rPr>
          <w:rFonts w:asciiTheme="majorBidi" w:hAnsiTheme="majorBidi" w:cstheme="majorBidi"/>
          <w:sz w:val="24"/>
          <w:szCs w:val="24"/>
        </w:rPr>
        <w:t>į</w:t>
      </w:r>
      <w:r w:rsidR="00972AC3" w:rsidRPr="00034EDF">
        <w:rPr>
          <w:rFonts w:asciiTheme="majorBidi" w:hAnsiTheme="majorBidi" w:cstheme="majorBidi"/>
          <w:sz w:val="24"/>
          <w:szCs w:val="24"/>
        </w:rPr>
        <w:t xml:space="preserve"> pasiūlymą</w:t>
      </w:r>
      <w:r w:rsidRPr="00034EDF">
        <w:rPr>
          <w:rFonts w:asciiTheme="majorBidi" w:hAnsiTheme="majorBidi" w:cstheme="majorBidi"/>
          <w:sz w:val="24"/>
          <w:szCs w:val="24"/>
        </w:rPr>
        <w:t xml:space="preserve"> atsakovas gali priimti arba atmesti. Tuo</w:t>
      </w:r>
      <w:r w:rsidRPr="00034EDF">
        <w:rPr>
          <w:rFonts w:ascii="Times New Roman" w:hAnsi="Times New Roman"/>
          <w:sz w:val="24"/>
          <w:szCs w:val="24"/>
        </w:rPr>
        <w:t xml:space="preserve"> atveju, jeigu šalys pačios nesiekia laikytis tokio susitarimo, teismas jo taip pat neprivalo saugoti – atsakovui įsitraukus į bylinėjimąsi dėl bylos esmės, laikoma, kad sudarytas naujas susitarimas dėl jurisdikcijos. Dėl šios priežasties teismas dėl šalių nukreipimo į jurisdikciniame susitarime nurodytą teismą nesprendžia </w:t>
      </w:r>
      <w:r w:rsidRPr="00034EDF">
        <w:rPr>
          <w:rFonts w:ascii="Times New Roman" w:hAnsi="Times New Roman"/>
          <w:i/>
          <w:iCs/>
          <w:sz w:val="24"/>
          <w:szCs w:val="24"/>
        </w:rPr>
        <w:t>ex officio</w:t>
      </w:r>
      <w:r w:rsidR="00B30538" w:rsidRPr="00034EDF">
        <w:rPr>
          <w:rFonts w:ascii="Times New Roman" w:hAnsi="Times New Roman"/>
          <w:sz w:val="24"/>
          <w:szCs w:val="24"/>
        </w:rPr>
        <w:t xml:space="preserve"> (pagal pareigas),</w:t>
      </w:r>
      <w:r w:rsidRPr="00034EDF">
        <w:rPr>
          <w:rFonts w:ascii="Times New Roman" w:hAnsi="Times New Roman"/>
          <w:sz w:val="24"/>
          <w:szCs w:val="24"/>
        </w:rPr>
        <w:t xml:space="preserve"> o pirmiausia išklauso antrąją šalį. Kitas šios taisyklės veikimo aspektas yra tas, kad teismas </w:t>
      </w:r>
      <w:r w:rsidRPr="00034EDF">
        <w:rPr>
          <w:rFonts w:ascii="Times New Roman" w:hAnsi="Times New Roman"/>
          <w:i/>
          <w:iCs/>
          <w:sz w:val="24"/>
          <w:szCs w:val="24"/>
        </w:rPr>
        <w:t>ex</w:t>
      </w:r>
      <w:r w:rsidR="00B30538" w:rsidRPr="00034EDF">
        <w:rPr>
          <w:rFonts w:ascii="Times New Roman" w:hAnsi="Times New Roman"/>
          <w:i/>
          <w:iCs/>
          <w:sz w:val="24"/>
          <w:szCs w:val="24"/>
        </w:rPr>
        <w:t> </w:t>
      </w:r>
      <w:r w:rsidRPr="00034EDF">
        <w:rPr>
          <w:rFonts w:ascii="Times New Roman" w:hAnsi="Times New Roman"/>
          <w:i/>
          <w:iCs/>
          <w:sz w:val="24"/>
          <w:szCs w:val="24"/>
        </w:rPr>
        <w:t>officio</w:t>
      </w:r>
      <w:r w:rsidRPr="00034EDF">
        <w:rPr>
          <w:rFonts w:ascii="Times New Roman" w:hAnsi="Times New Roman"/>
          <w:sz w:val="24"/>
          <w:szCs w:val="24"/>
        </w:rPr>
        <w:t xml:space="preserve">, nesant atitinkamo šalies reikalavimo, jai neteikiant įrodymų, neprivalo nustatinėti ir jurisdikcinio susitarimo </w:t>
      </w:r>
      <w:r w:rsidR="00972AC3" w:rsidRPr="00034EDF">
        <w:rPr>
          <w:rFonts w:ascii="Times New Roman" w:hAnsi="Times New Roman"/>
          <w:sz w:val="24"/>
          <w:szCs w:val="24"/>
        </w:rPr>
        <w:t>trūkum</w:t>
      </w:r>
      <w:r w:rsidRPr="00034EDF">
        <w:rPr>
          <w:rFonts w:ascii="Times New Roman" w:hAnsi="Times New Roman"/>
          <w:sz w:val="24"/>
          <w:szCs w:val="24"/>
        </w:rPr>
        <w:t>ų, nebent jie yra itin dideli, akivaizdūs, pasiekia viešosios tvarkos pažeidimo mastą.</w:t>
      </w:r>
    </w:p>
    <w:p w14:paraId="6FAF4124" w14:textId="518B6C69" w:rsidR="001A1F6F" w:rsidRPr="00034EDF" w:rsidRDefault="001A1F6F" w:rsidP="004B5127">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034EDF">
        <w:rPr>
          <w:rFonts w:ascii="Times New Roman" w:hAnsi="Times New Roman"/>
          <w:sz w:val="24"/>
          <w:szCs w:val="24"/>
        </w:rPr>
        <w:t xml:space="preserve">Byloje </w:t>
      </w:r>
      <w:r w:rsidR="00BA023D" w:rsidRPr="00034EDF">
        <w:rPr>
          <w:rFonts w:ascii="Times New Roman" w:hAnsi="Times New Roman"/>
          <w:sz w:val="24"/>
          <w:szCs w:val="24"/>
        </w:rPr>
        <w:t>UAB „</w:t>
      </w:r>
      <w:r w:rsidRPr="00034EDF">
        <w:rPr>
          <w:rFonts w:ascii="Times New Roman" w:hAnsi="Times New Roman"/>
          <w:sz w:val="24"/>
          <w:szCs w:val="24"/>
        </w:rPr>
        <w:t>Paysera</w:t>
      </w:r>
      <w:r w:rsidR="00BA023D" w:rsidRPr="00034EDF">
        <w:rPr>
          <w:rFonts w:ascii="Times New Roman" w:hAnsi="Times New Roman"/>
          <w:sz w:val="24"/>
          <w:szCs w:val="24"/>
        </w:rPr>
        <w:t>“</w:t>
      </w:r>
      <w:r w:rsidRPr="00034EDF">
        <w:rPr>
          <w:rFonts w:ascii="Times New Roman" w:hAnsi="Times New Roman"/>
          <w:sz w:val="24"/>
          <w:szCs w:val="24"/>
        </w:rPr>
        <w:t xml:space="preserve"> neįrodinėjo ir nesirėmė nė vienu iš pagrindų, kuriais leidžiama nuginčyti jurisdikcinio susitarimo galiojimo prezumpciją. Ieškinyje ieškovė apie kokį nors jurisdikcinio susitarimo </w:t>
      </w:r>
      <w:r w:rsidR="00B30538" w:rsidRPr="00034EDF">
        <w:rPr>
          <w:rFonts w:ascii="Times New Roman" w:hAnsi="Times New Roman"/>
          <w:sz w:val="24"/>
          <w:szCs w:val="24"/>
        </w:rPr>
        <w:t>trūkumą</w:t>
      </w:r>
      <w:r w:rsidRPr="00034EDF">
        <w:rPr>
          <w:rFonts w:ascii="Times New Roman" w:hAnsi="Times New Roman"/>
          <w:sz w:val="24"/>
          <w:szCs w:val="24"/>
        </w:rPr>
        <w:t xml:space="preserve"> net neužsiminė. Atskirajame skunde ieškovė rėmėsi tik jurisdikcinių susitarimų patikrinimo procesinėmis taisyklėmis, taip pat įrodinėjo, kad ginčas neturi ryšio su Anglija, teigė, jog viešasis interesas reikalauja bylą nagrinėti Lietuvoje, klaidingai siūlė jurisdikcijos neturinčiam teismui remtis </w:t>
      </w:r>
      <w:r w:rsidRPr="00034EDF">
        <w:rPr>
          <w:rFonts w:ascii="Times New Roman" w:hAnsi="Times New Roman"/>
          <w:i/>
          <w:iCs/>
          <w:sz w:val="24"/>
          <w:szCs w:val="24"/>
        </w:rPr>
        <w:t>forum non conveniens</w:t>
      </w:r>
      <w:r w:rsidRPr="00034EDF">
        <w:rPr>
          <w:rFonts w:ascii="Times New Roman" w:hAnsi="Times New Roman"/>
          <w:sz w:val="24"/>
          <w:szCs w:val="24"/>
        </w:rPr>
        <w:t xml:space="preserve"> doktrina.</w:t>
      </w:r>
    </w:p>
    <w:p w14:paraId="0DAF2435" w14:textId="735A83D1" w:rsidR="001A1F6F" w:rsidRPr="00034EDF" w:rsidRDefault="001A1F6F" w:rsidP="00940927">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034EDF">
        <w:rPr>
          <w:rFonts w:ascii="Times New Roman" w:hAnsi="Times New Roman"/>
          <w:sz w:val="24"/>
          <w:szCs w:val="24"/>
        </w:rPr>
        <w:t xml:space="preserve">Konvencijos 6 straipsnyje įtvirtinta, kad </w:t>
      </w:r>
      <w:r w:rsidR="00BA023D" w:rsidRPr="00034EDF">
        <w:rPr>
          <w:rFonts w:ascii="Times New Roman" w:hAnsi="Times New Roman"/>
          <w:sz w:val="24"/>
          <w:szCs w:val="24"/>
        </w:rPr>
        <w:t>s</w:t>
      </w:r>
      <w:r w:rsidRPr="00034EDF">
        <w:rPr>
          <w:rFonts w:ascii="Times New Roman" w:hAnsi="Times New Roman"/>
          <w:sz w:val="24"/>
          <w:szCs w:val="24"/>
        </w:rPr>
        <w:t xml:space="preserve">usitariančiosios </w:t>
      </w:r>
      <w:r w:rsidR="00BA023D" w:rsidRPr="00034EDF">
        <w:rPr>
          <w:rFonts w:ascii="Times New Roman" w:hAnsi="Times New Roman"/>
          <w:sz w:val="24"/>
          <w:szCs w:val="24"/>
        </w:rPr>
        <w:t>v</w:t>
      </w:r>
      <w:r w:rsidRPr="00034EDF">
        <w:rPr>
          <w:rFonts w:ascii="Times New Roman" w:hAnsi="Times New Roman"/>
          <w:sz w:val="24"/>
          <w:szCs w:val="24"/>
        </w:rPr>
        <w:t>alstybės teismas, kuris nėra pasirinktas teismas, sustabdo arba nutraukia bylą, kurioje taikomas susitarimas dėl išimtinio teismingumo, išskyrus atvejus, kai susitarimas pagal pasirinkto teismo valstybės teisę yra niekinis (a punktas). Nagrinėjamoje byloje jurisdikcinis susitarimas sudarytas tarp itin pajėgių verslo subjektų, jiems plėtojant ilgametį bendradarbiavimą, kuriam buvo būdingas jurisdikcinio susitarimo įtvirtinimas sutartyse. Nė viena iš šalių jurisdikcinio susitarimo egzistavimo, galiojimo, turinio bei ribų nekvestionavo. Todėl nagrinėjamoje byloje šis pagrindas neegzistuoja nei pagal pasirinkto teismo valstybės teisę, nei pagal teismo, į kurį kreiptasi, valstybės teisę.</w:t>
      </w:r>
    </w:p>
    <w:p w14:paraId="0916050E" w14:textId="67C6BA03" w:rsidR="001A1F6F" w:rsidRPr="00034EDF" w:rsidRDefault="001A1F6F" w:rsidP="00940927">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034EDF">
        <w:rPr>
          <w:rFonts w:ascii="Times New Roman" w:hAnsi="Times New Roman"/>
          <w:sz w:val="24"/>
          <w:szCs w:val="24"/>
        </w:rPr>
        <w:t>Nagrinėjamoje byloje sudarytas jurisdikcinis susitarimas viešosios tvarkos taip pat nepažeidžia.</w:t>
      </w:r>
    </w:p>
    <w:p w14:paraId="6472B66B" w14:textId="66F5EDEE" w:rsidR="001A1F6F" w:rsidRPr="00034EDF" w:rsidRDefault="001A1F6F" w:rsidP="004B380A">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034EDF">
        <w:rPr>
          <w:rFonts w:ascii="Times New Roman" w:hAnsi="Times New Roman"/>
          <w:sz w:val="24"/>
          <w:szCs w:val="24"/>
        </w:rPr>
        <w:lastRenderedPageBreak/>
        <w:t>Nagrinėjamoje byloje nėra jokių indikacijų, kad jurisdikcinio susitarimo įgyvendinimas pasirinktame teisme galėtų kelti bent minimaliausių sunkumų – jurisdikcinis susitarimas nukreipia į konkrečios Jungtinės Karalystės dalies – Anglijos – teismus (be kita ko, laikomus vienais iš skaidriausių ir pajėgiausių pasaulyje), šalys bylai pasirinko taikyti Anglijos teisę, šalių sutartiniai dokumentai parašyti anglų kalba, šalys turi reikiamus pajėgumus bylinėtis užsienio teisme.</w:t>
      </w:r>
    </w:p>
    <w:p w14:paraId="6CA7BEE1" w14:textId="3DC3DBD0" w:rsidR="001A1F6F" w:rsidRPr="00034EDF" w:rsidRDefault="00EA40A6" w:rsidP="00E262CC">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034EDF">
        <w:rPr>
          <w:rFonts w:ascii="Times New Roman" w:hAnsi="Times New Roman"/>
          <w:sz w:val="24"/>
          <w:szCs w:val="24"/>
        </w:rPr>
        <w:t xml:space="preserve">Konvencijos 6 straipsnyje įtvirtinta, kad </w:t>
      </w:r>
      <w:r w:rsidR="00B30538" w:rsidRPr="00034EDF">
        <w:rPr>
          <w:rFonts w:ascii="Times New Roman" w:hAnsi="Times New Roman"/>
          <w:sz w:val="24"/>
          <w:szCs w:val="24"/>
        </w:rPr>
        <w:t>s</w:t>
      </w:r>
      <w:r w:rsidRPr="00034EDF">
        <w:rPr>
          <w:rFonts w:ascii="Times New Roman" w:hAnsi="Times New Roman"/>
          <w:sz w:val="24"/>
          <w:szCs w:val="24"/>
        </w:rPr>
        <w:t xml:space="preserve">usitariančiosios </w:t>
      </w:r>
      <w:r w:rsidR="00B30538" w:rsidRPr="00034EDF">
        <w:rPr>
          <w:rFonts w:ascii="Times New Roman" w:hAnsi="Times New Roman"/>
          <w:sz w:val="24"/>
          <w:szCs w:val="24"/>
        </w:rPr>
        <w:t>v</w:t>
      </w:r>
      <w:r w:rsidRPr="00034EDF">
        <w:rPr>
          <w:rFonts w:ascii="Times New Roman" w:hAnsi="Times New Roman"/>
          <w:sz w:val="24"/>
          <w:szCs w:val="24"/>
        </w:rPr>
        <w:t>alstybės teismas, kuris nėra pasirinktas teismas, sustabdo arba nutraukia bylą, kurioje taikomas susitarimas dėl išimtinio teismingumo, išskyrus atvejus, kai pasirinktas teismas nusprendė nenagrinėti bylos (e</w:t>
      </w:r>
      <w:r w:rsidR="00B30538" w:rsidRPr="00034EDF">
        <w:rPr>
          <w:rFonts w:ascii="Times New Roman" w:hAnsi="Times New Roman"/>
          <w:sz w:val="24"/>
          <w:szCs w:val="24"/>
        </w:rPr>
        <w:t> </w:t>
      </w:r>
      <w:r w:rsidRPr="00034EDF">
        <w:rPr>
          <w:rFonts w:ascii="Times New Roman" w:hAnsi="Times New Roman"/>
          <w:sz w:val="24"/>
          <w:szCs w:val="24"/>
        </w:rPr>
        <w:t>punktas). Nagrinėjamu atveju p</w:t>
      </w:r>
      <w:r w:rsidR="001A1F6F" w:rsidRPr="00034EDF">
        <w:rPr>
          <w:rFonts w:ascii="Times New Roman" w:hAnsi="Times New Roman"/>
          <w:sz w:val="24"/>
          <w:szCs w:val="24"/>
        </w:rPr>
        <w:t>asirinktas teismas taip pat nėra atsisakęs jurisdikcijos (6</w:t>
      </w:r>
      <w:r w:rsidR="00B30538" w:rsidRPr="00034EDF">
        <w:rPr>
          <w:rFonts w:ascii="Times New Roman" w:hAnsi="Times New Roman"/>
          <w:sz w:val="24"/>
          <w:szCs w:val="24"/>
        </w:rPr>
        <w:t> </w:t>
      </w:r>
      <w:r w:rsidR="001A1F6F" w:rsidRPr="00034EDF">
        <w:rPr>
          <w:rFonts w:ascii="Times New Roman" w:hAnsi="Times New Roman"/>
          <w:sz w:val="24"/>
          <w:szCs w:val="24"/>
        </w:rPr>
        <w:t>straipsnio e punktas)</w:t>
      </w:r>
      <w:r w:rsidR="00C673F2" w:rsidRPr="00034EDF">
        <w:rPr>
          <w:rFonts w:ascii="Times New Roman" w:hAnsi="Times New Roman"/>
          <w:sz w:val="24"/>
          <w:szCs w:val="24"/>
        </w:rPr>
        <w:t>.</w:t>
      </w:r>
    </w:p>
    <w:p w14:paraId="28446341" w14:textId="3A1EBD8A" w:rsidR="00123EE2" w:rsidRPr="00034EDF" w:rsidRDefault="00123EE2" w:rsidP="008D2DD4">
      <w:pPr>
        <w:spacing w:after="120"/>
        <w:jc w:val="both"/>
      </w:pPr>
    </w:p>
    <w:p w14:paraId="62A0872F" w14:textId="2C5D8981" w:rsidR="00123EE2" w:rsidRPr="00034EDF" w:rsidRDefault="00A80C8A">
      <w:pPr>
        <w:shd w:val="clear" w:color="auto" w:fill="FFFFFF"/>
        <w:spacing w:after="120"/>
        <w:ind w:right="17" w:firstLine="720"/>
        <w:jc w:val="both"/>
      </w:pPr>
      <w:r w:rsidRPr="00034EDF">
        <w:t xml:space="preserve">Teisėjų kolegija </w:t>
      </w:r>
    </w:p>
    <w:p w14:paraId="436EF65B" w14:textId="144398EF" w:rsidR="00123EE2" w:rsidRPr="00034EDF" w:rsidRDefault="00123EE2">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12EDEA90" w14:textId="77777777" w:rsidR="00123EE2" w:rsidRPr="00034EDF" w:rsidRDefault="00A80C8A">
      <w:pPr>
        <w:spacing w:after="120"/>
      </w:pPr>
      <w:r w:rsidRPr="00034EDF">
        <w:t xml:space="preserve">k o n s t a t u o j a : </w:t>
      </w:r>
    </w:p>
    <w:p w14:paraId="4C4C4032" w14:textId="60892446" w:rsidR="00123EE2" w:rsidRPr="00034EDF" w:rsidRDefault="00123EE2">
      <w:pPr>
        <w:spacing w:after="120"/>
        <w:ind w:firstLine="720"/>
      </w:pPr>
    </w:p>
    <w:p w14:paraId="2447AC9C" w14:textId="77777777" w:rsidR="00123EE2" w:rsidRPr="00034EDF" w:rsidRDefault="00A80C8A">
      <w:pPr>
        <w:pStyle w:val="Sraopastraipa"/>
        <w:spacing w:after="120" w:line="240" w:lineRule="auto"/>
        <w:ind w:left="0"/>
        <w:contextualSpacing w:val="0"/>
        <w:jc w:val="center"/>
        <w:rPr>
          <w:rFonts w:ascii="Times New Roman" w:hAnsi="Times New Roman"/>
          <w:sz w:val="24"/>
          <w:szCs w:val="24"/>
        </w:rPr>
      </w:pPr>
      <w:r w:rsidRPr="00034EDF">
        <w:rPr>
          <w:rFonts w:ascii="Times New Roman" w:hAnsi="Times New Roman"/>
          <w:sz w:val="24"/>
          <w:szCs w:val="24"/>
        </w:rPr>
        <w:t>IV. Kasacinio teismo argumentai ir išaiškinimai</w:t>
      </w:r>
    </w:p>
    <w:p w14:paraId="6CB5AC78" w14:textId="6EECE7E5" w:rsidR="00123EE2" w:rsidRPr="00034EDF" w:rsidRDefault="00123EE2">
      <w:pPr>
        <w:pStyle w:val="Sraopastraipa"/>
        <w:spacing w:after="120" w:line="240" w:lineRule="auto"/>
        <w:ind w:left="0" w:firstLine="720"/>
        <w:contextualSpacing w:val="0"/>
        <w:jc w:val="both"/>
        <w:rPr>
          <w:rFonts w:ascii="Times New Roman" w:hAnsi="Times New Roman"/>
          <w:iCs/>
          <w:sz w:val="24"/>
          <w:szCs w:val="24"/>
        </w:rPr>
      </w:pPr>
    </w:p>
    <w:p w14:paraId="10A66298" w14:textId="4116B6A4" w:rsidR="00123EE2" w:rsidRPr="00034EDF" w:rsidRDefault="00A80C8A" w:rsidP="004C0197">
      <w:pPr>
        <w:pStyle w:val="Sraopastraipa"/>
        <w:spacing w:after="120" w:line="240" w:lineRule="auto"/>
        <w:ind w:left="0" w:firstLine="720"/>
        <w:contextualSpacing w:val="0"/>
        <w:jc w:val="both"/>
        <w:rPr>
          <w:rFonts w:ascii="Times New Roman" w:hAnsi="Times New Roman"/>
          <w:i/>
          <w:sz w:val="24"/>
          <w:szCs w:val="24"/>
        </w:rPr>
      </w:pPr>
      <w:r w:rsidRPr="00034EDF">
        <w:rPr>
          <w:rFonts w:ascii="Times New Roman" w:hAnsi="Times New Roman"/>
          <w:i/>
          <w:iCs/>
          <w:sz w:val="24"/>
          <w:szCs w:val="24"/>
        </w:rPr>
        <w:t xml:space="preserve">Dėl </w:t>
      </w:r>
      <w:r w:rsidR="00C165A5" w:rsidRPr="00034EDF">
        <w:rPr>
          <w:rFonts w:ascii="Times New Roman" w:hAnsi="Times New Roman"/>
          <w:i/>
          <w:iCs/>
          <w:sz w:val="24"/>
          <w:szCs w:val="24"/>
        </w:rPr>
        <w:t>sutartinio teismingumo privalomumo sutarties šalims</w:t>
      </w:r>
    </w:p>
    <w:p w14:paraId="5A212361" w14:textId="535D5815" w:rsidR="00123EE2" w:rsidRPr="00034EDF" w:rsidRDefault="00123EE2">
      <w:pPr>
        <w:pStyle w:val="Sraopastraipa"/>
        <w:spacing w:after="120" w:line="240" w:lineRule="auto"/>
        <w:ind w:left="0" w:firstLine="720"/>
        <w:contextualSpacing w:val="0"/>
        <w:jc w:val="both"/>
        <w:rPr>
          <w:rFonts w:ascii="Times New Roman" w:hAnsi="Times New Roman"/>
          <w:i/>
          <w:sz w:val="24"/>
          <w:szCs w:val="24"/>
        </w:rPr>
      </w:pPr>
    </w:p>
    <w:p w14:paraId="56F71730" w14:textId="010109B0" w:rsidR="009E69DD" w:rsidRPr="00034EDF" w:rsidRDefault="00D42120" w:rsidP="009E69DD">
      <w:pPr>
        <w:pStyle w:val="Sraopastraipa"/>
        <w:numPr>
          <w:ilvl w:val="0"/>
          <w:numId w:val="3"/>
        </w:numPr>
        <w:spacing w:after="120" w:line="240" w:lineRule="auto"/>
        <w:contextualSpacing w:val="0"/>
        <w:jc w:val="both"/>
        <w:rPr>
          <w:rFonts w:ascii="Times New Roman" w:hAnsi="Times New Roman"/>
          <w:iCs/>
          <w:sz w:val="24"/>
          <w:szCs w:val="24"/>
        </w:rPr>
      </w:pPr>
      <w:r w:rsidRPr="00034EDF">
        <w:rPr>
          <w:rFonts w:ascii="Times New Roman" w:hAnsi="Times New Roman"/>
          <w:iCs/>
          <w:sz w:val="24"/>
          <w:szCs w:val="24"/>
        </w:rPr>
        <w:t xml:space="preserve">Teisė kreiptis į teismą teisminės gynybos – kiekvieno suinteresuoto asmens teisė ir vienas pagrindinių civilinio proceso teisės principų, įtvirtintų </w:t>
      </w:r>
      <w:r w:rsidR="00776370" w:rsidRPr="00034EDF">
        <w:rPr>
          <w:rFonts w:ascii="Times New Roman" w:hAnsi="Times New Roman"/>
          <w:iCs/>
          <w:sz w:val="24"/>
          <w:szCs w:val="24"/>
        </w:rPr>
        <w:t xml:space="preserve">Lietuvos Respublikos </w:t>
      </w:r>
      <w:r w:rsidRPr="00034EDF">
        <w:rPr>
          <w:rFonts w:ascii="Times New Roman" w:hAnsi="Times New Roman"/>
          <w:iCs/>
          <w:sz w:val="24"/>
          <w:szCs w:val="24"/>
        </w:rPr>
        <w:t>Konstitucijos 30</w:t>
      </w:r>
      <w:r w:rsidR="00A808E6" w:rsidRPr="00034EDF">
        <w:rPr>
          <w:rFonts w:ascii="Times New Roman" w:hAnsi="Times New Roman"/>
          <w:iCs/>
          <w:sz w:val="24"/>
          <w:szCs w:val="24"/>
        </w:rPr>
        <w:t> </w:t>
      </w:r>
      <w:r w:rsidRPr="00034EDF">
        <w:rPr>
          <w:rFonts w:ascii="Times New Roman" w:hAnsi="Times New Roman"/>
          <w:iCs/>
          <w:sz w:val="24"/>
          <w:szCs w:val="24"/>
        </w:rPr>
        <w:t>straipsnio 1 dalyje, Lietuvos Respublikos teismų įstatymo 4 straipsnyje, CPK 5 straipsnio 1</w:t>
      </w:r>
      <w:r w:rsidR="00A808E6" w:rsidRPr="00034EDF">
        <w:rPr>
          <w:rFonts w:ascii="Times New Roman" w:hAnsi="Times New Roman"/>
          <w:iCs/>
          <w:sz w:val="24"/>
          <w:szCs w:val="24"/>
        </w:rPr>
        <w:t> </w:t>
      </w:r>
      <w:r w:rsidRPr="00034EDF">
        <w:rPr>
          <w:rFonts w:ascii="Times New Roman" w:hAnsi="Times New Roman"/>
          <w:iCs/>
          <w:sz w:val="24"/>
          <w:szCs w:val="24"/>
        </w:rPr>
        <w:t>dalyje, taip pat tarptautiniuose teisės aktuose (Žmogaus teisių ir pagrindinių laisvių apsaugos konvencijos 6, 13 straipsniuose).</w:t>
      </w:r>
    </w:p>
    <w:p w14:paraId="21C66A56" w14:textId="31CBCC16" w:rsidR="004441F2" w:rsidRPr="00034EDF" w:rsidRDefault="009E69DD" w:rsidP="009E69DD">
      <w:pPr>
        <w:pStyle w:val="Sraopastraipa"/>
        <w:numPr>
          <w:ilvl w:val="0"/>
          <w:numId w:val="3"/>
        </w:numPr>
        <w:spacing w:after="120" w:line="240" w:lineRule="auto"/>
        <w:contextualSpacing w:val="0"/>
        <w:jc w:val="both"/>
        <w:rPr>
          <w:rFonts w:ascii="Times New Roman" w:hAnsi="Times New Roman"/>
          <w:iCs/>
          <w:sz w:val="24"/>
          <w:szCs w:val="24"/>
        </w:rPr>
      </w:pPr>
      <w:r w:rsidRPr="00034EDF">
        <w:rPr>
          <w:rFonts w:ascii="Times New Roman" w:hAnsi="Times New Roman"/>
          <w:iCs/>
          <w:sz w:val="24"/>
          <w:szCs w:val="24"/>
        </w:rPr>
        <w:t>T</w:t>
      </w:r>
      <w:r w:rsidR="00A069B5" w:rsidRPr="00034EDF">
        <w:rPr>
          <w:rFonts w:ascii="Times New Roman" w:hAnsi="Times New Roman"/>
          <w:iCs/>
          <w:sz w:val="24"/>
          <w:szCs w:val="24"/>
        </w:rPr>
        <w:t>eisė kreiptis į teism</w:t>
      </w:r>
      <w:r w:rsidRPr="00034EDF">
        <w:rPr>
          <w:rFonts w:ascii="Times New Roman" w:hAnsi="Times New Roman"/>
          <w:iCs/>
          <w:sz w:val="24"/>
          <w:szCs w:val="24"/>
        </w:rPr>
        <w:t xml:space="preserve">ą </w:t>
      </w:r>
      <w:r w:rsidR="00A069B5" w:rsidRPr="00034EDF">
        <w:rPr>
          <w:rFonts w:ascii="Times New Roman" w:hAnsi="Times New Roman"/>
          <w:iCs/>
          <w:sz w:val="24"/>
          <w:szCs w:val="24"/>
        </w:rPr>
        <w:t>nereiškia, kad egzistuoja galimybė kreiptis į teismą su pareiškimu dėl bylos iškėlimo bet kokiu būdu</w:t>
      </w:r>
      <w:r w:rsidRPr="00034EDF">
        <w:rPr>
          <w:rFonts w:ascii="Times New Roman" w:hAnsi="Times New Roman"/>
          <w:iCs/>
          <w:sz w:val="24"/>
          <w:szCs w:val="24"/>
        </w:rPr>
        <w:t>, tvarka</w:t>
      </w:r>
      <w:r w:rsidR="00A069B5" w:rsidRPr="00034EDF">
        <w:rPr>
          <w:rFonts w:ascii="Times New Roman" w:hAnsi="Times New Roman"/>
          <w:iCs/>
          <w:sz w:val="24"/>
          <w:szCs w:val="24"/>
        </w:rPr>
        <w:t xml:space="preserve"> ar forma. Siekiant užtikrinti visų asmenų vienodą teisę naudotis teismine gynyba ir kartu nepažeisti civilinio proceso įstatyme įtvirtintų principų – proceso ekonomiškumo, koncentruotumo bei operatyvumo, šalių procesinio lygiateisiškumo ir jų rungimosi, CPK nustato aiškią tvarką, kaip turi būti įgyvendinama kreipimosi į teismą teisė.</w:t>
      </w:r>
    </w:p>
    <w:p w14:paraId="366541B6" w14:textId="68FCB114" w:rsidR="00F7165D" w:rsidRPr="00034EDF" w:rsidRDefault="00D42120" w:rsidP="00F7165D">
      <w:pPr>
        <w:pStyle w:val="Sraopastraipa"/>
        <w:numPr>
          <w:ilvl w:val="0"/>
          <w:numId w:val="3"/>
        </w:numPr>
        <w:spacing w:after="120" w:line="240" w:lineRule="auto"/>
        <w:contextualSpacing w:val="0"/>
        <w:jc w:val="both"/>
        <w:rPr>
          <w:rFonts w:ascii="Times New Roman" w:hAnsi="Times New Roman"/>
          <w:iCs/>
          <w:sz w:val="24"/>
          <w:szCs w:val="24"/>
        </w:rPr>
      </w:pPr>
      <w:r w:rsidRPr="00034EDF">
        <w:rPr>
          <w:rFonts w:ascii="Times New Roman" w:hAnsi="Times New Roman"/>
          <w:iCs/>
          <w:sz w:val="24"/>
          <w:szCs w:val="24"/>
        </w:rPr>
        <w:t>Teismingumo taisyklių reiškiant ieškinį laikymasis yra būtinoji teisės kreiptis į teismą teisminės gynybos įgyvendinimo sąlyga (CPK 5 straipsnis). Teismas, spręsdamas ieškinio priėmimo klausimą, privalo savo iniciatyva (lot</w:t>
      </w:r>
      <w:r w:rsidRPr="00034EDF">
        <w:rPr>
          <w:rFonts w:ascii="Times New Roman" w:hAnsi="Times New Roman"/>
          <w:i/>
          <w:sz w:val="24"/>
          <w:szCs w:val="24"/>
        </w:rPr>
        <w:t>. ex officio</w:t>
      </w:r>
      <w:r w:rsidRPr="00034EDF">
        <w:rPr>
          <w:rFonts w:ascii="Times New Roman" w:hAnsi="Times New Roman"/>
          <w:iCs/>
          <w:sz w:val="24"/>
          <w:szCs w:val="24"/>
        </w:rPr>
        <w:t xml:space="preserve">) patikrinti, ar ieškinys yra pareikštas, laikantis teismingumo taisyklių, t. y. ar teismas turi jurisdikciją nagrinėti pareikštą ieškinį. </w:t>
      </w:r>
      <w:r w:rsidR="009F159B" w:rsidRPr="00034EDF">
        <w:rPr>
          <w:rFonts w:ascii="Times New Roman" w:hAnsi="Times New Roman"/>
          <w:iCs/>
          <w:sz w:val="24"/>
          <w:szCs w:val="24"/>
        </w:rPr>
        <w:t>T</w:t>
      </w:r>
      <w:r w:rsidRPr="00034EDF">
        <w:rPr>
          <w:rFonts w:ascii="Times New Roman" w:hAnsi="Times New Roman"/>
          <w:iCs/>
          <w:sz w:val="24"/>
          <w:szCs w:val="24"/>
        </w:rPr>
        <w:t xml:space="preserve">oks patikrinimas teismo iniciatyva atliekamas, nepriklausomai nuo sprendžiamo teismingumo klausimo pobūdžio, t. y. nepriklausomai nuo to aspekto, ar sprendžiamas nacionalinio ar tarptautinio (egzistuojant užsienio elementui) teismingumo klausimas – teismo pareiga savo iniciatyva spręsti nacionalinio teismingumo klausimą išplaukia iš CPK 115 ir 137 straipsnių nuostatų, o tarptautinio teismingumo klausimą – </w:t>
      </w:r>
      <w:r w:rsidRPr="00034EDF">
        <w:rPr>
          <w:rFonts w:ascii="Times New Roman" w:hAnsi="Times New Roman"/>
          <w:i/>
          <w:sz w:val="24"/>
          <w:szCs w:val="24"/>
        </w:rPr>
        <w:t>expressis verbis</w:t>
      </w:r>
      <w:r w:rsidRPr="00034EDF">
        <w:rPr>
          <w:rFonts w:ascii="Times New Roman" w:hAnsi="Times New Roman"/>
          <w:iCs/>
          <w:sz w:val="24"/>
          <w:szCs w:val="24"/>
        </w:rPr>
        <w:t xml:space="preserve"> </w:t>
      </w:r>
      <w:r w:rsidR="00AA2930" w:rsidRPr="00034EDF">
        <w:rPr>
          <w:rFonts w:ascii="Times New Roman" w:hAnsi="Times New Roman"/>
          <w:iCs/>
          <w:sz w:val="24"/>
          <w:szCs w:val="24"/>
        </w:rPr>
        <w:t xml:space="preserve">(tiesiogiai) </w:t>
      </w:r>
      <w:r w:rsidRPr="00034EDF">
        <w:rPr>
          <w:rFonts w:ascii="Times New Roman" w:hAnsi="Times New Roman"/>
          <w:iCs/>
          <w:sz w:val="24"/>
          <w:szCs w:val="24"/>
        </w:rPr>
        <w:t>iš CPK 782</w:t>
      </w:r>
      <w:r w:rsidR="00AA2930" w:rsidRPr="00034EDF">
        <w:rPr>
          <w:rFonts w:ascii="Times New Roman" w:hAnsi="Times New Roman"/>
          <w:iCs/>
          <w:sz w:val="24"/>
          <w:szCs w:val="24"/>
        </w:rPr>
        <w:t> </w:t>
      </w:r>
      <w:r w:rsidRPr="00034EDF">
        <w:rPr>
          <w:rFonts w:ascii="Times New Roman" w:hAnsi="Times New Roman"/>
          <w:iCs/>
          <w:sz w:val="24"/>
          <w:szCs w:val="24"/>
        </w:rPr>
        <w:t>straipsnio nuostatų. Teismo pripažinimas, kad jis neturi jurisdikcijos nagrinėti pareikštą ieškinį, sukelia atitinkamas procesines teisines pasekmes, kurios priklauso nuo proceso stadijos, kurioje identifikuojamas jurisdikcijos neturėjimas: ieškinys nepriimamas, jeigu teismas, spręsdamas ieškinio priėmimo klausimą, nustato, kad jis neturi jurisdikcijos nagrinėti tokį ieškinį (CPK 137 straipsnio 2 dalies 2 punktas), arba paliekamas nenagrinėtas, jeigu jurisdikcijos neturėjimas identifikuojamas po civilinės bylos iškėlimo (CPK 296 straipsnio 1</w:t>
      </w:r>
      <w:r w:rsidR="00AA2930" w:rsidRPr="00034EDF">
        <w:rPr>
          <w:rFonts w:ascii="Times New Roman" w:hAnsi="Times New Roman"/>
          <w:iCs/>
          <w:sz w:val="24"/>
          <w:szCs w:val="24"/>
        </w:rPr>
        <w:t> </w:t>
      </w:r>
      <w:r w:rsidRPr="00034EDF">
        <w:rPr>
          <w:rFonts w:ascii="Times New Roman" w:hAnsi="Times New Roman"/>
          <w:iCs/>
          <w:sz w:val="24"/>
          <w:szCs w:val="24"/>
        </w:rPr>
        <w:t>dalies 12 punktas, 782 straipsnis)</w:t>
      </w:r>
      <w:r w:rsidR="006C2E87" w:rsidRPr="00034EDF">
        <w:rPr>
          <w:rFonts w:ascii="Times New Roman" w:hAnsi="Times New Roman"/>
          <w:iCs/>
          <w:sz w:val="24"/>
          <w:szCs w:val="24"/>
        </w:rPr>
        <w:t xml:space="preserve"> </w:t>
      </w:r>
      <w:r w:rsidRPr="00034EDF">
        <w:rPr>
          <w:rFonts w:ascii="Times New Roman" w:hAnsi="Times New Roman"/>
          <w:iCs/>
          <w:sz w:val="24"/>
          <w:szCs w:val="24"/>
        </w:rPr>
        <w:t xml:space="preserve">(Lietuvos Aukščiausiojo Teismo 2018 m. gruodžio 6 d. nutartis civilinėje byloje </w:t>
      </w:r>
      <w:r w:rsidRPr="00034EDF">
        <w:rPr>
          <w:rFonts w:ascii="Times New Roman" w:hAnsi="Times New Roman"/>
          <w:iCs/>
          <w:sz w:val="24"/>
          <w:szCs w:val="24"/>
        </w:rPr>
        <w:lastRenderedPageBreak/>
        <w:t xml:space="preserve">Nr. e3K-3-431-1075/2018, 17 punktas; </w:t>
      </w:r>
      <w:r w:rsidR="001C0735" w:rsidRPr="00034EDF">
        <w:rPr>
          <w:rFonts w:ascii="Times New Roman" w:hAnsi="Times New Roman"/>
          <w:iCs/>
          <w:sz w:val="24"/>
          <w:szCs w:val="24"/>
        </w:rPr>
        <w:t>2022 m. birželio 15 d.</w:t>
      </w:r>
      <w:r w:rsidR="00AA2930" w:rsidRPr="00034EDF">
        <w:rPr>
          <w:rFonts w:ascii="Times New Roman" w:hAnsi="Times New Roman"/>
          <w:iCs/>
          <w:sz w:val="24"/>
          <w:szCs w:val="24"/>
        </w:rPr>
        <w:t xml:space="preserve"> </w:t>
      </w:r>
      <w:r w:rsidRPr="00034EDF">
        <w:rPr>
          <w:rFonts w:ascii="Times New Roman" w:hAnsi="Times New Roman"/>
          <w:iCs/>
          <w:sz w:val="24"/>
          <w:szCs w:val="24"/>
        </w:rPr>
        <w:t>nutartis civilinėje byloje Nr.</w:t>
      </w:r>
      <w:r w:rsidR="00AA2930" w:rsidRPr="00034EDF">
        <w:rPr>
          <w:rFonts w:ascii="Times New Roman" w:hAnsi="Times New Roman"/>
          <w:iCs/>
          <w:sz w:val="24"/>
          <w:szCs w:val="24"/>
        </w:rPr>
        <w:t> </w:t>
      </w:r>
      <w:r w:rsidRPr="00034EDF">
        <w:rPr>
          <w:rFonts w:ascii="Times New Roman" w:hAnsi="Times New Roman"/>
          <w:iCs/>
          <w:sz w:val="24"/>
          <w:szCs w:val="24"/>
        </w:rPr>
        <w:t>3K-3-165-943/2022, 18 punktas).</w:t>
      </w:r>
    </w:p>
    <w:p w14:paraId="1228B1C9" w14:textId="3E393320" w:rsidR="003E2EA5" w:rsidRPr="00034EDF" w:rsidRDefault="003E2EA5" w:rsidP="00F7165D">
      <w:pPr>
        <w:pStyle w:val="Sraopastraipa"/>
        <w:numPr>
          <w:ilvl w:val="0"/>
          <w:numId w:val="3"/>
        </w:numPr>
        <w:spacing w:after="120" w:line="240" w:lineRule="auto"/>
        <w:contextualSpacing w:val="0"/>
        <w:jc w:val="both"/>
        <w:rPr>
          <w:rFonts w:ascii="Times New Roman" w:hAnsi="Times New Roman"/>
          <w:iCs/>
          <w:sz w:val="24"/>
          <w:szCs w:val="24"/>
        </w:rPr>
      </w:pPr>
      <w:r w:rsidRPr="00034EDF">
        <w:rPr>
          <w:rFonts w:asciiTheme="majorBidi" w:hAnsiTheme="majorBidi" w:cstheme="majorBidi"/>
          <w:iCs/>
          <w:sz w:val="24"/>
          <w:szCs w:val="24"/>
        </w:rPr>
        <w:t>Kasacinio teismo praktikoje pabrėžiama, kad tarptautinio teismingumo klausimui tinkamai išspręsti būtina pirmiausia nustatyti, koks konkretus teisės aktas turi būti taikomas, sprendžiant tarptautinės jurisdikcijos klausimą. Teismingumas civilinėse bylose su tarptautiniu (užsienio) elementu nustatomas atskirai kiekvienam pareikštam reikalavimui pagal taikytinus Europos Sąjungos, tarptautinės teisės aktus arba nacionalinius teisės aktus (Lietuvos Aukščiausiojo Teismo 2016 m. gruodžio 29 d. nutartis civilinėje byloje Nr. 3K-3-551-915/2016, 59 punktas).</w:t>
      </w:r>
    </w:p>
    <w:p w14:paraId="6026B340" w14:textId="426D6792" w:rsidR="003E2EA5" w:rsidRPr="00034EDF" w:rsidRDefault="003E2EA5" w:rsidP="00F7165D">
      <w:pPr>
        <w:pStyle w:val="Sraopastraipa"/>
        <w:numPr>
          <w:ilvl w:val="0"/>
          <w:numId w:val="3"/>
        </w:numPr>
        <w:spacing w:after="120" w:line="240" w:lineRule="auto"/>
        <w:contextualSpacing w:val="0"/>
        <w:jc w:val="both"/>
        <w:rPr>
          <w:rFonts w:ascii="Times New Roman" w:hAnsi="Times New Roman"/>
          <w:iCs/>
          <w:sz w:val="24"/>
          <w:szCs w:val="24"/>
        </w:rPr>
      </w:pPr>
      <w:r w:rsidRPr="00034EDF">
        <w:rPr>
          <w:rFonts w:ascii="Times New Roman" w:hAnsi="Times New Roman"/>
          <w:iCs/>
          <w:sz w:val="24"/>
          <w:szCs w:val="24"/>
        </w:rPr>
        <w:t>Tam, kad būtų nustatytas tarptautinės jurisdikcijos klausim</w:t>
      </w:r>
      <w:r w:rsidR="00796250" w:rsidRPr="00034EDF">
        <w:rPr>
          <w:rFonts w:ascii="Times New Roman" w:hAnsi="Times New Roman"/>
          <w:iCs/>
          <w:sz w:val="24"/>
          <w:szCs w:val="24"/>
        </w:rPr>
        <w:t>ui</w:t>
      </w:r>
      <w:r w:rsidRPr="00034EDF">
        <w:rPr>
          <w:rFonts w:ascii="Times New Roman" w:hAnsi="Times New Roman"/>
          <w:iCs/>
          <w:sz w:val="24"/>
          <w:szCs w:val="24"/>
        </w:rPr>
        <w:t xml:space="preserve"> išnagrinė</w:t>
      </w:r>
      <w:r w:rsidR="00796250" w:rsidRPr="00034EDF">
        <w:rPr>
          <w:rFonts w:ascii="Times New Roman" w:hAnsi="Times New Roman"/>
          <w:iCs/>
          <w:sz w:val="24"/>
          <w:szCs w:val="24"/>
        </w:rPr>
        <w:t>t</w:t>
      </w:r>
      <w:r w:rsidRPr="00034EDF">
        <w:rPr>
          <w:rFonts w:ascii="Times New Roman" w:hAnsi="Times New Roman"/>
          <w:iCs/>
          <w:sz w:val="24"/>
          <w:szCs w:val="24"/>
        </w:rPr>
        <w:t>i taikytinas teisės aktas, pirmiausia turi būti nustatyti konkrečiai bylai aktualūs dalyvaujančių byloje asmenų (pvz., atitinkamos šalies buveinės vieta ir kt.) bei ginčo dalyko duomenys, pagal juos įvertinama, koks tarptautinės jurisdikcijos pagrindas yra aktualus (pvz., žalos atsiradimo vieta, prievolės vykdymo vieta ir kt.). Šių duomenų pagrindu teismas nustato susijusią valstybę (susijusias valstybes) (Lietuvos Aukščiausiojo Teismo 2016 m. gruodžio 29 d. nutartis civilinėje byloje Nr. 3K-3-551-915/2016, 60 punktas).</w:t>
      </w:r>
    </w:p>
    <w:p w14:paraId="77AD2634" w14:textId="47656C64" w:rsidR="003E2EA5" w:rsidRPr="00034EDF" w:rsidRDefault="003E2EA5" w:rsidP="00F7165D">
      <w:pPr>
        <w:pStyle w:val="Sraopastraipa"/>
        <w:numPr>
          <w:ilvl w:val="0"/>
          <w:numId w:val="3"/>
        </w:numPr>
        <w:spacing w:after="120" w:line="240" w:lineRule="auto"/>
        <w:contextualSpacing w:val="0"/>
        <w:jc w:val="both"/>
        <w:rPr>
          <w:rFonts w:ascii="Times New Roman" w:hAnsi="Times New Roman"/>
          <w:iCs/>
          <w:sz w:val="24"/>
          <w:szCs w:val="24"/>
        </w:rPr>
      </w:pPr>
      <w:r w:rsidRPr="00034EDF">
        <w:rPr>
          <w:rFonts w:ascii="Times New Roman" w:hAnsi="Times New Roman"/>
          <w:iCs/>
          <w:sz w:val="24"/>
          <w:szCs w:val="24"/>
        </w:rPr>
        <w:t xml:space="preserve">Taip pat kasacinio teismo praktikoje pažymima, kad tais atvejais, kai byloje yra keli atsakovai, Lietuvos Respublikos teismas pagal taikytinus teisės aktus nustato, ar jis turi jurisdikciją </w:t>
      </w:r>
      <w:r w:rsidR="00BB2292" w:rsidRPr="00034EDF">
        <w:rPr>
          <w:rFonts w:ascii="Times New Roman" w:hAnsi="Times New Roman"/>
          <w:iCs/>
          <w:sz w:val="24"/>
          <w:szCs w:val="24"/>
        </w:rPr>
        <w:t xml:space="preserve">dėl </w:t>
      </w:r>
      <w:r w:rsidRPr="00034EDF">
        <w:rPr>
          <w:rFonts w:ascii="Times New Roman" w:hAnsi="Times New Roman"/>
          <w:iCs/>
          <w:sz w:val="24"/>
          <w:szCs w:val="24"/>
        </w:rPr>
        <w:t>kiekvien</w:t>
      </w:r>
      <w:r w:rsidR="00BB2292" w:rsidRPr="00034EDF">
        <w:rPr>
          <w:rFonts w:ascii="Times New Roman" w:hAnsi="Times New Roman"/>
          <w:iCs/>
          <w:sz w:val="24"/>
          <w:szCs w:val="24"/>
        </w:rPr>
        <w:t>o</w:t>
      </w:r>
      <w:r w:rsidRPr="00034EDF">
        <w:rPr>
          <w:rFonts w:ascii="Times New Roman" w:hAnsi="Times New Roman"/>
          <w:iCs/>
          <w:sz w:val="24"/>
          <w:szCs w:val="24"/>
        </w:rPr>
        <w:t xml:space="preserve"> atsakov</w:t>
      </w:r>
      <w:r w:rsidR="00BB2292" w:rsidRPr="00034EDF">
        <w:rPr>
          <w:rFonts w:ascii="Times New Roman" w:hAnsi="Times New Roman"/>
          <w:iCs/>
          <w:sz w:val="24"/>
          <w:szCs w:val="24"/>
        </w:rPr>
        <w:t>o</w:t>
      </w:r>
      <w:r w:rsidRPr="00034EDF">
        <w:rPr>
          <w:rFonts w:ascii="Times New Roman" w:hAnsi="Times New Roman"/>
          <w:iCs/>
          <w:sz w:val="24"/>
          <w:szCs w:val="24"/>
        </w:rPr>
        <w:t xml:space="preserve"> atskirai. Šiuo tikslu teismas gali kiekvieno atsakovo atžvilgiu taikyti skirtingus teisės aktus (Lietuvos Aukščiausiojo Teismo 2017 m. kovo 7 d. nutartis civilinėje byloje Nr. 3K-3-121-687/2017, 25–26 punktai ir juose nurodyta kasacinio teismo praktika). Taigi, sprendžiant byloje pareikšto ieškinio jurisdikcijos klausimą</w:t>
      </w:r>
      <w:r w:rsidR="00BB2292" w:rsidRPr="00034EDF">
        <w:rPr>
          <w:rFonts w:ascii="Times New Roman" w:hAnsi="Times New Roman"/>
          <w:iCs/>
          <w:sz w:val="24"/>
          <w:szCs w:val="24"/>
        </w:rPr>
        <w:t>,</w:t>
      </w:r>
      <w:r w:rsidRPr="00034EDF">
        <w:rPr>
          <w:rFonts w:ascii="Times New Roman" w:hAnsi="Times New Roman"/>
          <w:iCs/>
          <w:sz w:val="24"/>
          <w:szCs w:val="24"/>
        </w:rPr>
        <w:t xml:space="preserve"> svarbu ne tik tinkamai kvalifikuoti ginčą, bet ir įvertinti </w:t>
      </w:r>
      <w:r w:rsidR="002B1592" w:rsidRPr="00034EDF">
        <w:rPr>
          <w:rFonts w:ascii="Times New Roman" w:hAnsi="Times New Roman"/>
          <w:iCs/>
          <w:sz w:val="24"/>
          <w:szCs w:val="24"/>
        </w:rPr>
        <w:t xml:space="preserve">ginčo </w:t>
      </w:r>
      <w:r w:rsidRPr="00034EDF">
        <w:rPr>
          <w:rFonts w:ascii="Times New Roman" w:hAnsi="Times New Roman"/>
          <w:iCs/>
          <w:sz w:val="24"/>
          <w:szCs w:val="24"/>
        </w:rPr>
        <w:t xml:space="preserve">materialiojo </w:t>
      </w:r>
      <w:r w:rsidR="002B1592" w:rsidRPr="00034EDF">
        <w:rPr>
          <w:rFonts w:ascii="Times New Roman" w:hAnsi="Times New Roman"/>
          <w:iCs/>
          <w:sz w:val="24"/>
          <w:szCs w:val="24"/>
        </w:rPr>
        <w:t>teisinio santykio</w:t>
      </w:r>
      <w:r w:rsidRPr="00034EDF">
        <w:rPr>
          <w:rFonts w:ascii="Times New Roman" w:hAnsi="Times New Roman"/>
          <w:iCs/>
          <w:sz w:val="24"/>
          <w:szCs w:val="24"/>
        </w:rPr>
        <w:t xml:space="preserve"> subjekt</w:t>
      </w:r>
      <w:r w:rsidR="00EA0C5D" w:rsidRPr="00034EDF">
        <w:rPr>
          <w:rFonts w:ascii="Times New Roman" w:hAnsi="Times New Roman"/>
          <w:iCs/>
          <w:sz w:val="24"/>
          <w:szCs w:val="24"/>
        </w:rPr>
        <w:t>us</w:t>
      </w:r>
      <w:r w:rsidRPr="00034EDF">
        <w:rPr>
          <w:rFonts w:ascii="Times New Roman" w:hAnsi="Times New Roman"/>
          <w:iCs/>
          <w:sz w:val="24"/>
          <w:szCs w:val="24"/>
        </w:rPr>
        <w:t>.</w:t>
      </w:r>
    </w:p>
    <w:p w14:paraId="18B59B07" w14:textId="5D36BE1C" w:rsidR="00F7165D" w:rsidRPr="00034EDF" w:rsidRDefault="00F7165D" w:rsidP="00824B80">
      <w:pPr>
        <w:pStyle w:val="Sraopastraipa"/>
        <w:numPr>
          <w:ilvl w:val="0"/>
          <w:numId w:val="3"/>
        </w:numPr>
        <w:spacing w:after="120" w:line="240" w:lineRule="auto"/>
        <w:contextualSpacing w:val="0"/>
        <w:jc w:val="both"/>
        <w:rPr>
          <w:rFonts w:asciiTheme="majorBidi" w:hAnsiTheme="majorBidi" w:cstheme="majorBidi"/>
          <w:iCs/>
          <w:sz w:val="24"/>
          <w:szCs w:val="24"/>
        </w:rPr>
      </w:pPr>
      <w:r w:rsidRPr="00034EDF">
        <w:rPr>
          <w:rFonts w:ascii="Times New Roman" w:hAnsi="Times New Roman"/>
          <w:iCs/>
          <w:sz w:val="24"/>
          <w:szCs w:val="24"/>
        </w:rPr>
        <w:t>Nagrinėjamoje byloje šalių ginčas yra kilęs iš sutartinių komercinio pobūdžio teisinių santykių. Ieškovė UAB „Paysera“, atsakovė UAB „Finansinės paslaugos „Contis“ ir bendrovė „Contis Financial Services Limited“ 2020 m. spalio 19 d. sudarė sutartį, kuria susitarė dėl tarpusavio bendradarbiavimo „Contis“ įmonėms teikiant debeto mokėjimo korteles UAB „Paysera“.</w:t>
      </w:r>
      <w:r w:rsidR="007E4FC1" w:rsidRPr="00034EDF">
        <w:rPr>
          <w:rFonts w:ascii="Times New Roman" w:hAnsi="Times New Roman"/>
          <w:iCs/>
          <w:sz w:val="24"/>
          <w:szCs w:val="24"/>
        </w:rPr>
        <w:t xml:space="preserve"> </w:t>
      </w:r>
      <w:r w:rsidRPr="00034EDF">
        <w:rPr>
          <w:rFonts w:asciiTheme="majorBidi" w:hAnsiTheme="majorBidi" w:cstheme="majorBidi"/>
          <w:iCs/>
          <w:sz w:val="24"/>
          <w:szCs w:val="24"/>
        </w:rPr>
        <w:t xml:space="preserve">Byloje pareikštu ieškiniu ieškovė prašo pripažinti </w:t>
      </w:r>
      <w:r w:rsidR="003E2EA5" w:rsidRPr="00034EDF">
        <w:rPr>
          <w:rFonts w:asciiTheme="majorBidi" w:hAnsiTheme="majorBidi" w:cstheme="majorBidi"/>
          <w:iCs/>
          <w:sz w:val="24"/>
          <w:szCs w:val="24"/>
        </w:rPr>
        <w:t>bendrovės „Contis Financial Services Limited“ ir UAB</w:t>
      </w:r>
      <w:r w:rsidR="00EA0C5D" w:rsidRPr="00034EDF">
        <w:rPr>
          <w:rFonts w:asciiTheme="majorBidi" w:hAnsiTheme="majorBidi" w:cstheme="majorBidi"/>
          <w:iCs/>
          <w:sz w:val="24"/>
          <w:szCs w:val="24"/>
        </w:rPr>
        <w:t> </w:t>
      </w:r>
      <w:r w:rsidR="003E2EA5" w:rsidRPr="00034EDF">
        <w:rPr>
          <w:rFonts w:asciiTheme="majorBidi" w:hAnsiTheme="majorBidi" w:cstheme="majorBidi"/>
          <w:iCs/>
          <w:sz w:val="24"/>
          <w:szCs w:val="24"/>
        </w:rPr>
        <w:t>„Finansinės paslaugos „Contis“</w:t>
      </w:r>
      <w:r w:rsidR="008B53A5" w:rsidRPr="00034EDF">
        <w:rPr>
          <w:rFonts w:asciiTheme="majorBidi" w:hAnsiTheme="majorBidi" w:cstheme="majorBidi"/>
          <w:iCs/>
          <w:sz w:val="24"/>
          <w:szCs w:val="24"/>
        </w:rPr>
        <w:t xml:space="preserve"> </w:t>
      </w:r>
      <w:r w:rsidRPr="00034EDF">
        <w:rPr>
          <w:rFonts w:asciiTheme="majorBidi" w:hAnsiTheme="majorBidi" w:cstheme="majorBidi"/>
          <w:iCs/>
          <w:sz w:val="24"/>
          <w:szCs w:val="24"/>
        </w:rPr>
        <w:t xml:space="preserve">2023 m. liepos 11 d. pranešimą dėl 2020 m. spalio 19 d. sutarties vykdymo sustabdymo ir teisės nutraukti 2020 m. spalio 19 d. sutartį neteisėtu bei negaliojančiu. </w:t>
      </w:r>
      <w:r w:rsidR="003E2EA5" w:rsidRPr="00034EDF">
        <w:rPr>
          <w:rFonts w:asciiTheme="majorBidi" w:hAnsiTheme="majorBidi" w:cstheme="majorBidi"/>
          <w:iCs/>
          <w:sz w:val="24"/>
          <w:szCs w:val="24"/>
        </w:rPr>
        <w:t xml:space="preserve">Nors </w:t>
      </w:r>
      <w:r w:rsidR="000D1252" w:rsidRPr="00034EDF">
        <w:rPr>
          <w:rFonts w:asciiTheme="majorBidi" w:hAnsiTheme="majorBidi" w:cstheme="majorBidi"/>
          <w:iCs/>
          <w:sz w:val="24"/>
          <w:szCs w:val="24"/>
        </w:rPr>
        <w:t>ieškov</w:t>
      </w:r>
      <w:r w:rsidR="003E2EA5" w:rsidRPr="00034EDF">
        <w:rPr>
          <w:rFonts w:asciiTheme="majorBidi" w:hAnsiTheme="majorBidi" w:cstheme="majorBidi"/>
          <w:iCs/>
          <w:sz w:val="24"/>
          <w:szCs w:val="24"/>
        </w:rPr>
        <w:t>ė ginčija abiejų pirmiau nurodytų bendrovių bendrą pranešimą (vienašalį sandorį)</w:t>
      </w:r>
      <w:r w:rsidR="000D1252" w:rsidRPr="00034EDF">
        <w:rPr>
          <w:rFonts w:asciiTheme="majorBidi" w:hAnsiTheme="majorBidi" w:cstheme="majorBidi"/>
          <w:iCs/>
          <w:sz w:val="24"/>
          <w:szCs w:val="24"/>
        </w:rPr>
        <w:t xml:space="preserve">, </w:t>
      </w:r>
      <w:r w:rsidR="003E2EA5" w:rsidRPr="00034EDF">
        <w:rPr>
          <w:rFonts w:asciiTheme="majorBidi" w:hAnsiTheme="majorBidi" w:cstheme="majorBidi"/>
          <w:iCs/>
          <w:sz w:val="24"/>
          <w:szCs w:val="24"/>
        </w:rPr>
        <w:t>materialųjį reikalavimą dėl minėto pranešimo (t. y. vienašalio sandorio) pripažinimo neteisėtu ir negaliojančiu</w:t>
      </w:r>
      <w:r w:rsidR="000D1252" w:rsidRPr="00034EDF">
        <w:rPr>
          <w:rFonts w:asciiTheme="majorBidi" w:hAnsiTheme="majorBidi" w:cstheme="majorBidi"/>
          <w:iCs/>
          <w:sz w:val="24"/>
          <w:szCs w:val="24"/>
        </w:rPr>
        <w:t xml:space="preserve"> </w:t>
      </w:r>
      <w:r w:rsidR="003E2EA5" w:rsidRPr="00034EDF">
        <w:rPr>
          <w:rFonts w:asciiTheme="majorBidi" w:hAnsiTheme="majorBidi" w:cstheme="majorBidi"/>
          <w:iCs/>
          <w:sz w:val="24"/>
          <w:szCs w:val="24"/>
        </w:rPr>
        <w:t xml:space="preserve">ieškovė </w:t>
      </w:r>
      <w:r w:rsidR="000D1252" w:rsidRPr="00034EDF">
        <w:rPr>
          <w:rFonts w:asciiTheme="majorBidi" w:hAnsiTheme="majorBidi" w:cstheme="majorBidi"/>
          <w:iCs/>
          <w:sz w:val="24"/>
          <w:szCs w:val="24"/>
        </w:rPr>
        <w:t>pareiškė tik atsakovei UAB „Finansinės paslaugos „Contis“.</w:t>
      </w:r>
    </w:p>
    <w:p w14:paraId="63EF7741" w14:textId="44BC6FB7" w:rsidR="003E2EA5" w:rsidRPr="00034EDF" w:rsidRDefault="003E2EA5" w:rsidP="003E2EA5">
      <w:pPr>
        <w:pStyle w:val="Sraopastraipa"/>
        <w:numPr>
          <w:ilvl w:val="0"/>
          <w:numId w:val="3"/>
        </w:numPr>
        <w:spacing w:after="120" w:line="240" w:lineRule="auto"/>
        <w:contextualSpacing w:val="0"/>
        <w:jc w:val="both"/>
        <w:rPr>
          <w:rFonts w:asciiTheme="majorBidi" w:hAnsiTheme="majorBidi" w:cstheme="majorBidi"/>
          <w:iCs/>
          <w:sz w:val="24"/>
          <w:szCs w:val="24"/>
        </w:rPr>
      </w:pPr>
      <w:r w:rsidRPr="00034EDF">
        <w:rPr>
          <w:rFonts w:asciiTheme="majorBidi" w:hAnsiTheme="majorBidi" w:cstheme="majorBidi"/>
          <w:iCs/>
          <w:sz w:val="24"/>
          <w:szCs w:val="24"/>
        </w:rPr>
        <w:t>Kasacinis teismas yra išaiškinęs, kad pagal teisės į tinkamą procesą principą asmenų procesinė padėtis turi atitikti jų materialųjį teisinį suinteresuotumą bylos baigtimi (CPK 43 straipsnio 1</w:t>
      </w:r>
      <w:r w:rsidR="00EA0C5D" w:rsidRPr="00034EDF">
        <w:rPr>
          <w:rFonts w:asciiTheme="majorBidi" w:hAnsiTheme="majorBidi" w:cstheme="majorBidi"/>
          <w:iCs/>
          <w:sz w:val="24"/>
          <w:szCs w:val="24"/>
        </w:rPr>
        <w:t> </w:t>
      </w:r>
      <w:r w:rsidRPr="00034EDF">
        <w:rPr>
          <w:rFonts w:asciiTheme="majorBidi" w:hAnsiTheme="majorBidi" w:cstheme="majorBidi"/>
          <w:iCs/>
          <w:sz w:val="24"/>
          <w:szCs w:val="24"/>
        </w:rPr>
        <w:t>dalies 1 punktas), tačiau, esant asmenų materialiniam teisiniam bendrininkavimui, jų procesinis bendrininkavimas gali skirtis: tam tikrais atvejais teismo sprendimas galės būti priimtas tik dėl visų bendrininkų (absoliutus privalomasis bendrininkavimas), o kitais atvejais teismas galės priimti sprendimą tik dėl vieno bendrininko (santykinis privalomasis bendrininkavimas) (</w:t>
      </w:r>
      <w:r w:rsidR="001C50E3" w:rsidRPr="00034EDF">
        <w:rPr>
          <w:rFonts w:asciiTheme="majorBidi" w:hAnsiTheme="majorBidi" w:cstheme="majorBidi"/>
          <w:iCs/>
          <w:sz w:val="24"/>
          <w:szCs w:val="24"/>
        </w:rPr>
        <w:t xml:space="preserve">žr. </w:t>
      </w:r>
      <w:r w:rsidRPr="00034EDF">
        <w:rPr>
          <w:rFonts w:asciiTheme="majorBidi" w:hAnsiTheme="majorBidi" w:cstheme="majorBidi"/>
          <w:iCs/>
          <w:sz w:val="24"/>
          <w:szCs w:val="24"/>
        </w:rPr>
        <w:t>Lietuvos Aukščiausiojo Teismo 2014 m. birželio 30 d. nutartį civilinėje byloje Nr. 3K-3-373/2014).</w:t>
      </w:r>
    </w:p>
    <w:p w14:paraId="3927346E" w14:textId="0DD120CC" w:rsidR="00955CC1" w:rsidRPr="00034EDF" w:rsidRDefault="000D1252" w:rsidP="00955CC1">
      <w:pPr>
        <w:pStyle w:val="Sraopastraipa"/>
        <w:numPr>
          <w:ilvl w:val="0"/>
          <w:numId w:val="3"/>
        </w:numPr>
        <w:spacing w:after="120" w:line="240" w:lineRule="auto"/>
        <w:contextualSpacing w:val="0"/>
        <w:jc w:val="both"/>
        <w:rPr>
          <w:rFonts w:asciiTheme="majorBidi" w:hAnsiTheme="majorBidi" w:cstheme="majorBidi"/>
          <w:iCs/>
          <w:sz w:val="24"/>
          <w:szCs w:val="24"/>
        </w:rPr>
      </w:pPr>
      <w:r w:rsidRPr="00034EDF">
        <w:rPr>
          <w:rFonts w:asciiTheme="majorBidi" w:hAnsiTheme="majorBidi" w:cstheme="majorBidi"/>
          <w:iCs/>
          <w:sz w:val="24"/>
          <w:szCs w:val="24"/>
        </w:rPr>
        <w:t>Teisėjų kolegija, įvertinusi reikalavim</w:t>
      </w:r>
      <w:r w:rsidR="001C50E3" w:rsidRPr="00034EDF">
        <w:rPr>
          <w:rFonts w:asciiTheme="majorBidi" w:hAnsiTheme="majorBidi" w:cstheme="majorBidi"/>
          <w:iCs/>
          <w:sz w:val="24"/>
          <w:szCs w:val="24"/>
        </w:rPr>
        <w:t>ą</w:t>
      </w:r>
      <w:r w:rsidRPr="00034EDF">
        <w:rPr>
          <w:rFonts w:asciiTheme="majorBidi" w:hAnsiTheme="majorBidi" w:cstheme="majorBidi"/>
          <w:iCs/>
          <w:sz w:val="24"/>
          <w:szCs w:val="24"/>
        </w:rPr>
        <w:t xml:space="preserve"> </w:t>
      </w:r>
      <w:r w:rsidR="001C50E3" w:rsidRPr="00034EDF">
        <w:rPr>
          <w:rFonts w:asciiTheme="majorBidi" w:hAnsiTheme="majorBidi" w:cstheme="majorBidi"/>
          <w:iCs/>
          <w:sz w:val="24"/>
          <w:szCs w:val="24"/>
        </w:rPr>
        <w:t xml:space="preserve">pripažinti neteisėtu bei negaliojančiu </w:t>
      </w:r>
      <w:r w:rsidRPr="00034EDF">
        <w:rPr>
          <w:rFonts w:asciiTheme="majorBidi" w:hAnsiTheme="majorBidi" w:cstheme="majorBidi"/>
          <w:iCs/>
          <w:sz w:val="24"/>
          <w:szCs w:val="24"/>
        </w:rPr>
        <w:t>2023 m. liepos 11</w:t>
      </w:r>
      <w:r w:rsidR="001C50E3" w:rsidRPr="00034EDF">
        <w:rPr>
          <w:rFonts w:asciiTheme="majorBidi" w:hAnsiTheme="majorBidi" w:cstheme="majorBidi"/>
          <w:iCs/>
          <w:sz w:val="24"/>
          <w:szCs w:val="24"/>
        </w:rPr>
        <w:t> </w:t>
      </w:r>
      <w:r w:rsidRPr="00034EDF">
        <w:rPr>
          <w:rFonts w:asciiTheme="majorBidi" w:hAnsiTheme="majorBidi" w:cstheme="majorBidi"/>
          <w:iCs/>
          <w:sz w:val="24"/>
          <w:szCs w:val="24"/>
        </w:rPr>
        <w:t>d. pranešim</w:t>
      </w:r>
      <w:r w:rsidR="002B1592" w:rsidRPr="00034EDF">
        <w:rPr>
          <w:rFonts w:asciiTheme="majorBidi" w:hAnsiTheme="majorBidi" w:cstheme="majorBidi"/>
          <w:iCs/>
          <w:sz w:val="24"/>
          <w:szCs w:val="24"/>
        </w:rPr>
        <w:t>ą</w:t>
      </w:r>
      <w:r w:rsidRPr="00034EDF">
        <w:rPr>
          <w:rFonts w:asciiTheme="majorBidi" w:hAnsiTheme="majorBidi" w:cstheme="majorBidi"/>
          <w:iCs/>
          <w:sz w:val="24"/>
          <w:szCs w:val="24"/>
        </w:rPr>
        <w:t xml:space="preserve"> dėl 2020 m. spalio 19 d. sutarties vykdymo sustabdymo ir teisės nutraukti 2020 m. spalio 19 d. sutartį, konstatuoja, kad teismo sprendimas, kuriuo bus išspręstas šis reikalavimas, bus nedalomai susijęs su visų sandorio šalių, įskaitant ir bendrov</w:t>
      </w:r>
      <w:r w:rsidR="00EA0C5D" w:rsidRPr="00034EDF">
        <w:rPr>
          <w:rFonts w:asciiTheme="majorBidi" w:hAnsiTheme="majorBidi" w:cstheme="majorBidi"/>
          <w:iCs/>
          <w:sz w:val="24"/>
          <w:szCs w:val="24"/>
        </w:rPr>
        <w:t>ę</w:t>
      </w:r>
      <w:r w:rsidRPr="00034EDF">
        <w:rPr>
          <w:rFonts w:asciiTheme="majorBidi" w:hAnsiTheme="majorBidi" w:cstheme="majorBidi"/>
          <w:iCs/>
          <w:sz w:val="24"/>
          <w:szCs w:val="24"/>
        </w:rPr>
        <w:t xml:space="preserve"> „Contis Financial Services Limited“, teisėmis ir pareigomis. Vadinasi, tiek, kiek </w:t>
      </w:r>
      <w:r w:rsidR="002B1592" w:rsidRPr="00034EDF">
        <w:rPr>
          <w:rFonts w:asciiTheme="majorBidi" w:hAnsiTheme="majorBidi" w:cstheme="majorBidi"/>
          <w:iCs/>
          <w:sz w:val="24"/>
          <w:szCs w:val="24"/>
        </w:rPr>
        <w:t xml:space="preserve">tai </w:t>
      </w:r>
      <w:r w:rsidRPr="00034EDF">
        <w:rPr>
          <w:rFonts w:asciiTheme="majorBidi" w:hAnsiTheme="majorBidi" w:cstheme="majorBidi"/>
          <w:iCs/>
          <w:sz w:val="24"/>
          <w:szCs w:val="24"/>
        </w:rPr>
        <w:t xml:space="preserve">susiję su </w:t>
      </w:r>
      <w:r w:rsidR="002B1592" w:rsidRPr="00034EDF">
        <w:rPr>
          <w:rFonts w:asciiTheme="majorBidi" w:hAnsiTheme="majorBidi" w:cstheme="majorBidi"/>
          <w:iCs/>
          <w:sz w:val="24"/>
          <w:szCs w:val="24"/>
        </w:rPr>
        <w:t xml:space="preserve">materialinio teisinio </w:t>
      </w:r>
      <w:r w:rsidRPr="00034EDF">
        <w:rPr>
          <w:rFonts w:asciiTheme="majorBidi" w:hAnsiTheme="majorBidi" w:cstheme="majorBidi"/>
          <w:iCs/>
          <w:sz w:val="24"/>
          <w:szCs w:val="24"/>
        </w:rPr>
        <w:t>reikalavimo dėl sutarties vykdymo sustabdymo ir teisės nut</w:t>
      </w:r>
      <w:r w:rsidR="002B1592" w:rsidRPr="00034EDF">
        <w:rPr>
          <w:rFonts w:asciiTheme="majorBidi" w:hAnsiTheme="majorBidi" w:cstheme="majorBidi"/>
          <w:iCs/>
          <w:sz w:val="24"/>
          <w:szCs w:val="24"/>
        </w:rPr>
        <w:t xml:space="preserve">raukti </w:t>
      </w:r>
      <w:r w:rsidRPr="00034EDF">
        <w:rPr>
          <w:rFonts w:asciiTheme="majorBidi" w:hAnsiTheme="majorBidi" w:cstheme="majorBidi"/>
          <w:iCs/>
          <w:sz w:val="24"/>
          <w:szCs w:val="24"/>
        </w:rPr>
        <w:t>sutartį pripažinimo neteisėtu</w:t>
      </w:r>
      <w:r w:rsidR="002B1592" w:rsidRPr="00034EDF">
        <w:rPr>
          <w:rFonts w:asciiTheme="majorBidi" w:hAnsiTheme="majorBidi" w:cstheme="majorBidi"/>
          <w:iCs/>
          <w:sz w:val="24"/>
          <w:szCs w:val="24"/>
        </w:rPr>
        <w:t xml:space="preserve"> </w:t>
      </w:r>
      <w:r w:rsidRPr="00034EDF">
        <w:rPr>
          <w:rFonts w:asciiTheme="majorBidi" w:hAnsiTheme="majorBidi" w:cstheme="majorBidi"/>
          <w:iCs/>
          <w:sz w:val="24"/>
          <w:szCs w:val="24"/>
        </w:rPr>
        <w:t xml:space="preserve">bei negaliojančiu išsprendimu, </w:t>
      </w:r>
      <w:r w:rsidR="002B1592" w:rsidRPr="00034EDF">
        <w:rPr>
          <w:rFonts w:asciiTheme="majorBidi" w:hAnsiTheme="majorBidi" w:cstheme="majorBidi"/>
          <w:iCs/>
          <w:sz w:val="24"/>
          <w:szCs w:val="24"/>
        </w:rPr>
        <w:t xml:space="preserve">spręstina, kad </w:t>
      </w:r>
      <w:r w:rsidRPr="00034EDF">
        <w:rPr>
          <w:rFonts w:asciiTheme="majorBidi" w:hAnsiTheme="majorBidi" w:cstheme="majorBidi"/>
          <w:iCs/>
          <w:sz w:val="24"/>
          <w:szCs w:val="24"/>
        </w:rPr>
        <w:t xml:space="preserve">egzistuoja absoliutus privalomasis procesinis bendrininkavimas, reiškiantis, kad šio materialiojo subjektinio reikalavimo pagrįstumo klausimas gali būti išspręstas tik abiem bendrininkams (atsakovams) kartu dalyvaujant (esant įtrauktiems) </w:t>
      </w:r>
      <w:r w:rsidRPr="00034EDF">
        <w:rPr>
          <w:rFonts w:asciiTheme="majorBidi" w:hAnsiTheme="majorBidi" w:cstheme="majorBidi"/>
          <w:iCs/>
          <w:sz w:val="24"/>
          <w:szCs w:val="24"/>
        </w:rPr>
        <w:lastRenderedPageBreak/>
        <w:t>civilinės bylos pagal tokį reikalavimą procese (CPK 43 straipsnio 1 dalies 2 punktas, 44 straipsnio 3 dalis).</w:t>
      </w:r>
    </w:p>
    <w:p w14:paraId="6C8463FC" w14:textId="0752D4C3" w:rsidR="00955CC1" w:rsidRPr="00034EDF" w:rsidRDefault="00955CC1" w:rsidP="00955CC1">
      <w:pPr>
        <w:pStyle w:val="Sraopastraipa"/>
        <w:numPr>
          <w:ilvl w:val="0"/>
          <w:numId w:val="3"/>
        </w:numPr>
        <w:spacing w:after="120" w:line="240" w:lineRule="auto"/>
        <w:contextualSpacing w:val="0"/>
        <w:jc w:val="both"/>
        <w:rPr>
          <w:rFonts w:asciiTheme="majorBidi" w:hAnsiTheme="majorBidi" w:cstheme="majorBidi"/>
          <w:iCs/>
          <w:sz w:val="24"/>
          <w:szCs w:val="24"/>
        </w:rPr>
      </w:pPr>
      <w:r w:rsidRPr="00034EDF">
        <w:rPr>
          <w:rFonts w:asciiTheme="majorBidi" w:hAnsiTheme="majorBidi" w:cstheme="majorBidi"/>
          <w:iCs/>
          <w:sz w:val="24"/>
          <w:szCs w:val="24"/>
        </w:rPr>
        <w:t>Nors visų atsakovų neįtraukim</w:t>
      </w:r>
      <w:r w:rsidR="00F3295A" w:rsidRPr="00034EDF">
        <w:rPr>
          <w:rFonts w:asciiTheme="majorBidi" w:hAnsiTheme="majorBidi" w:cstheme="majorBidi"/>
          <w:iCs/>
          <w:sz w:val="24"/>
          <w:szCs w:val="24"/>
        </w:rPr>
        <w:t>o</w:t>
      </w:r>
      <w:r w:rsidRPr="00034EDF">
        <w:rPr>
          <w:rFonts w:asciiTheme="majorBidi" w:hAnsiTheme="majorBidi" w:cstheme="majorBidi"/>
          <w:iCs/>
          <w:sz w:val="24"/>
          <w:szCs w:val="24"/>
        </w:rPr>
        <w:t xml:space="preserve"> į bylą </w:t>
      </w:r>
      <w:r w:rsidR="00F3295A" w:rsidRPr="00034EDF">
        <w:rPr>
          <w:rFonts w:asciiTheme="majorBidi" w:hAnsiTheme="majorBidi" w:cstheme="majorBidi"/>
          <w:iCs/>
          <w:sz w:val="24"/>
          <w:szCs w:val="24"/>
        </w:rPr>
        <w:t xml:space="preserve">trūkumas </w:t>
      </w:r>
      <w:r w:rsidRPr="00034EDF">
        <w:rPr>
          <w:rFonts w:asciiTheme="majorBidi" w:hAnsiTheme="majorBidi" w:cstheme="majorBidi"/>
          <w:iCs/>
          <w:sz w:val="24"/>
          <w:szCs w:val="24"/>
        </w:rPr>
        <w:t>esant absoliučiam privaloma</w:t>
      </w:r>
      <w:r w:rsidR="00EA0C5D" w:rsidRPr="00034EDF">
        <w:rPr>
          <w:rFonts w:asciiTheme="majorBidi" w:hAnsiTheme="majorBidi" w:cstheme="majorBidi"/>
          <w:iCs/>
          <w:sz w:val="24"/>
          <w:szCs w:val="24"/>
        </w:rPr>
        <w:t>ja</w:t>
      </w:r>
      <w:r w:rsidRPr="00034EDF">
        <w:rPr>
          <w:rFonts w:asciiTheme="majorBidi" w:hAnsiTheme="majorBidi" w:cstheme="majorBidi"/>
          <w:iCs/>
          <w:sz w:val="24"/>
          <w:szCs w:val="24"/>
        </w:rPr>
        <w:t xml:space="preserve">m bendrininkavimui </w:t>
      </w:r>
      <w:r w:rsidR="00F3295A" w:rsidRPr="00034EDF">
        <w:rPr>
          <w:rFonts w:asciiTheme="majorBidi" w:hAnsiTheme="majorBidi" w:cstheme="majorBidi"/>
          <w:iCs/>
          <w:sz w:val="24"/>
          <w:szCs w:val="24"/>
        </w:rPr>
        <w:t xml:space="preserve">ieškinio priėmimo metu </w:t>
      </w:r>
      <w:r w:rsidRPr="00034EDF">
        <w:rPr>
          <w:rFonts w:asciiTheme="majorBidi" w:hAnsiTheme="majorBidi" w:cstheme="majorBidi"/>
          <w:iCs/>
          <w:sz w:val="24"/>
          <w:szCs w:val="24"/>
        </w:rPr>
        <w:t xml:space="preserve">pirmiausia </w:t>
      </w:r>
      <w:r w:rsidR="00F3295A" w:rsidRPr="00034EDF">
        <w:rPr>
          <w:rFonts w:asciiTheme="majorBidi" w:hAnsiTheme="majorBidi" w:cstheme="majorBidi"/>
          <w:iCs/>
          <w:sz w:val="24"/>
          <w:szCs w:val="24"/>
        </w:rPr>
        <w:t xml:space="preserve">turėjo būti sprendžiamas taikant ieškinio trūkumų šalinimo institutą, </w:t>
      </w:r>
      <w:r w:rsidRPr="00034EDF">
        <w:rPr>
          <w:rFonts w:asciiTheme="majorBidi" w:hAnsiTheme="majorBidi" w:cstheme="majorBidi"/>
          <w:iCs/>
          <w:sz w:val="24"/>
          <w:szCs w:val="24"/>
        </w:rPr>
        <w:t xml:space="preserve">teisėjų kolegija, atsižvelgdama į </w:t>
      </w:r>
      <w:r w:rsidR="00F3295A" w:rsidRPr="00034EDF">
        <w:rPr>
          <w:rFonts w:asciiTheme="majorBidi" w:hAnsiTheme="majorBidi" w:cstheme="majorBidi"/>
          <w:iCs/>
          <w:sz w:val="24"/>
          <w:szCs w:val="24"/>
        </w:rPr>
        <w:t xml:space="preserve">proceso teisės normose įtvirtintą </w:t>
      </w:r>
      <w:r w:rsidRPr="00034EDF">
        <w:rPr>
          <w:rFonts w:asciiTheme="majorBidi" w:hAnsiTheme="majorBidi" w:cstheme="majorBidi"/>
          <w:iCs/>
          <w:sz w:val="24"/>
          <w:szCs w:val="24"/>
        </w:rPr>
        <w:t xml:space="preserve">draudimą </w:t>
      </w:r>
      <w:r w:rsidR="00F3295A" w:rsidRPr="00034EDF">
        <w:rPr>
          <w:rFonts w:asciiTheme="majorBidi" w:hAnsiTheme="majorBidi" w:cstheme="majorBidi"/>
          <w:iCs/>
          <w:sz w:val="24"/>
          <w:szCs w:val="24"/>
        </w:rPr>
        <w:t>naikin</w:t>
      </w:r>
      <w:r w:rsidR="001C50E3" w:rsidRPr="00034EDF">
        <w:rPr>
          <w:rFonts w:asciiTheme="majorBidi" w:hAnsiTheme="majorBidi" w:cstheme="majorBidi"/>
          <w:iCs/>
          <w:sz w:val="24"/>
          <w:szCs w:val="24"/>
        </w:rPr>
        <w:t>ti</w:t>
      </w:r>
      <w:r w:rsidR="00F3295A" w:rsidRPr="00034EDF">
        <w:rPr>
          <w:rFonts w:asciiTheme="majorBidi" w:hAnsiTheme="majorBidi" w:cstheme="majorBidi"/>
          <w:iCs/>
          <w:sz w:val="24"/>
          <w:szCs w:val="24"/>
        </w:rPr>
        <w:t xml:space="preserve"> </w:t>
      </w:r>
      <w:r w:rsidRPr="00034EDF">
        <w:rPr>
          <w:rFonts w:asciiTheme="majorBidi" w:hAnsiTheme="majorBidi" w:cstheme="majorBidi"/>
          <w:iCs/>
          <w:sz w:val="24"/>
          <w:szCs w:val="24"/>
        </w:rPr>
        <w:t xml:space="preserve">iš esmės teisėtą ir pagrįstą teismo sprendimą ar nutartį vien formaliais pagrindais bei aplinkybę, kad atsakovė UAB „Finansinės paslaugos „Contis“ prašo remtis Sutartyje įtvirtintu jurisdikciniu susitarimu, pirmiausia įvertins, ar </w:t>
      </w:r>
      <w:r w:rsidR="00F3295A" w:rsidRPr="00034EDF">
        <w:rPr>
          <w:rFonts w:asciiTheme="majorBidi" w:hAnsiTheme="majorBidi" w:cstheme="majorBidi"/>
          <w:iCs/>
          <w:sz w:val="24"/>
          <w:szCs w:val="24"/>
        </w:rPr>
        <w:t>šis proceso teisės normų pažeidimas sprendžiant ieškinio priėmimo klausimą galėjo turėti įtakos byloje pareikšto ieškinio jurisdikcijos klausimo tinkamam išsprendimui.</w:t>
      </w:r>
    </w:p>
    <w:p w14:paraId="6B7757DE" w14:textId="6002BE6A" w:rsidR="007E4FC1" w:rsidRPr="00034EDF" w:rsidRDefault="00F3295A" w:rsidP="00D14ED6">
      <w:pPr>
        <w:pStyle w:val="Sraopastraipa"/>
        <w:numPr>
          <w:ilvl w:val="0"/>
          <w:numId w:val="3"/>
        </w:numPr>
        <w:spacing w:after="120" w:line="240" w:lineRule="auto"/>
        <w:contextualSpacing w:val="0"/>
        <w:jc w:val="both"/>
        <w:rPr>
          <w:rFonts w:ascii="Times New Roman" w:hAnsi="Times New Roman"/>
          <w:iCs/>
          <w:sz w:val="24"/>
          <w:szCs w:val="24"/>
        </w:rPr>
      </w:pPr>
      <w:r w:rsidRPr="00034EDF">
        <w:rPr>
          <w:rFonts w:asciiTheme="majorBidi" w:hAnsiTheme="majorBidi" w:cstheme="majorBidi"/>
          <w:iCs/>
          <w:sz w:val="24"/>
          <w:szCs w:val="24"/>
        </w:rPr>
        <w:t xml:space="preserve">Kaip minėta, nagrinėjamu atveju byloje pareikštu ieškiniu ieškovė siekia pripažinti neteisėtu ir negaliojančiu vienašalį </w:t>
      </w:r>
      <w:r w:rsidR="00543BD5" w:rsidRPr="00034EDF">
        <w:rPr>
          <w:rFonts w:asciiTheme="majorBidi" w:hAnsiTheme="majorBidi" w:cstheme="majorBidi"/>
          <w:iCs/>
          <w:sz w:val="24"/>
          <w:szCs w:val="24"/>
        </w:rPr>
        <w:t>Jungtinėje Karalystėje</w:t>
      </w:r>
      <w:r w:rsidRPr="00034EDF">
        <w:rPr>
          <w:rFonts w:asciiTheme="majorBidi" w:hAnsiTheme="majorBidi" w:cstheme="majorBidi"/>
          <w:iCs/>
          <w:sz w:val="24"/>
          <w:szCs w:val="24"/>
        </w:rPr>
        <w:t xml:space="preserve"> registruotos bendrovės „Contis Financial Services Limited“ ir Lietuvoje registruotos UAB „Finansinės paslaugos „Contis“ pranešimą apie Sutarties vykdymo sustabdymą ir teisę nutraukti sutartį. </w:t>
      </w:r>
      <w:r w:rsidR="007E4FC1" w:rsidRPr="00034EDF">
        <w:rPr>
          <w:rFonts w:asciiTheme="majorBidi" w:hAnsiTheme="majorBidi" w:cstheme="majorBidi"/>
          <w:iCs/>
          <w:sz w:val="24"/>
          <w:szCs w:val="24"/>
        </w:rPr>
        <w:t xml:space="preserve">Byloje teismų nustatyta, kad </w:t>
      </w:r>
      <w:r w:rsidR="007E4FC1" w:rsidRPr="00034EDF">
        <w:rPr>
          <w:rFonts w:ascii="Times New Roman" w:hAnsi="Times New Roman"/>
          <w:iCs/>
          <w:sz w:val="24"/>
          <w:szCs w:val="24"/>
        </w:rPr>
        <w:t xml:space="preserve">Sutarties 37 punkte šalys </w:t>
      </w:r>
      <w:r w:rsidR="001A6F0C" w:rsidRPr="00034EDF">
        <w:rPr>
          <w:rFonts w:ascii="Times New Roman" w:hAnsi="Times New Roman"/>
          <w:iCs/>
          <w:sz w:val="24"/>
          <w:szCs w:val="24"/>
        </w:rPr>
        <w:t>įtvirtino</w:t>
      </w:r>
      <w:r w:rsidR="007E4FC1" w:rsidRPr="00034EDF">
        <w:rPr>
          <w:rFonts w:ascii="Times New Roman" w:hAnsi="Times New Roman"/>
          <w:iCs/>
          <w:sz w:val="24"/>
          <w:szCs w:val="24"/>
        </w:rPr>
        <w:t xml:space="preserve">, </w:t>
      </w:r>
      <w:r w:rsidR="00EA0C5D" w:rsidRPr="00034EDF">
        <w:rPr>
          <w:rFonts w:ascii="Times New Roman" w:hAnsi="Times New Roman"/>
          <w:iCs/>
          <w:sz w:val="24"/>
          <w:szCs w:val="24"/>
        </w:rPr>
        <w:t>jog</w:t>
      </w:r>
      <w:r w:rsidR="007E4FC1" w:rsidRPr="00034EDF">
        <w:rPr>
          <w:rFonts w:ascii="Times New Roman" w:hAnsi="Times New Roman"/>
          <w:iCs/>
          <w:sz w:val="24"/>
          <w:szCs w:val="24"/>
        </w:rPr>
        <w:t xml:space="preserve"> „Sutartį reglamentuoja ir visais atžvilgiais aiškina Anglijos įstatymai ir bet kokie procesiniai veiksmai priklauso išimtinei Anglijos teismų jurisdikcijai ir (atsižvelgiant į 19 punktą) kiekviena iš šalių neatšaukiamai paklūsta jos išimtinei jurisdikcijai bei atsisako bet kokių nesutikimų su bet kokiais procesiniais veiksmais šiuose teismuose dėl vietos arba dėl to, kad procesiniai veiksmai vyko nepatogiame teisme“.</w:t>
      </w:r>
    </w:p>
    <w:p w14:paraId="6836AFE6" w14:textId="6B3B6FB4" w:rsidR="007E4FC1" w:rsidRPr="00034EDF" w:rsidRDefault="007E4FC1" w:rsidP="007E4FC1">
      <w:pPr>
        <w:pStyle w:val="Sraopastraipa"/>
        <w:numPr>
          <w:ilvl w:val="0"/>
          <w:numId w:val="3"/>
        </w:numPr>
        <w:spacing w:after="120" w:line="240" w:lineRule="auto"/>
        <w:contextualSpacing w:val="0"/>
        <w:jc w:val="both"/>
        <w:rPr>
          <w:rFonts w:asciiTheme="majorBidi" w:hAnsiTheme="majorBidi" w:cstheme="majorBidi"/>
          <w:iCs/>
          <w:sz w:val="24"/>
          <w:szCs w:val="24"/>
        </w:rPr>
      </w:pPr>
      <w:r w:rsidRPr="00034EDF">
        <w:rPr>
          <w:rFonts w:asciiTheme="majorBidi" w:hAnsiTheme="majorBidi" w:cstheme="majorBidi"/>
          <w:iCs/>
          <w:sz w:val="24"/>
          <w:szCs w:val="24"/>
        </w:rPr>
        <w:t>Tarptautinės jurisdikcijos taisyklės yra išdėstytos keliose teisės aktų grupėse – Europos Sąjungos teisės aktuose, tarptautinėse sutartyse ir CPK VII dalyje („Tarptautinis civilinis procesas“). Pažymėtina, kad nacionalinio proceso įstatyme įtvirtintų tarptautinės jurisdikcijos taisyklių taikymas yra subsidiarus, t. y. šios taisyklės taikomos tik tada, jeigu tarptautinė sutartis, kurios dalyvė yra Lietuvos Respublika, atitinkamų santykių nereglamentuoja kitaip (CPK 780 straipsnis). Tokia pati nuostata dėl prioritetinio tarptautinės sutarties taikymo išplaukia ir iš Vienos konvencijos dėl tarptautinių sutarčių teisės 26–27 straipsnių.</w:t>
      </w:r>
    </w:p>
    <w:p w14:paraId="431AF215" w14:textId="5A18B63D" w:rsidR="00F3295A" w:rsidRPr="00034EDF" w:rsidRDefault="00F3295A" w:rsidP="00B24A0C">
      <w:pPr>
        <w:pStyle w:val="Sraopastraipa"/>
        <w:numPr>
          <w:ilvl w:val="0"/>
          <w:numId w:val="3"/>
        </w:numPr>
        <w:spacing w:after="120" w:line="240" w:lineRule="auto"/>
        <w:contextualSpacing w:val="0"/>
        <w:jc w:val="both"/>
        <w:rPr>
          <w:rFonts w:asciiTheme="majorBidi" w:hAnsiTheme="majorBidi" w:cstheme="majorBidi"/>
          <w:iCs/>
          <w:sz w:val="24"/>
          <w:szCs w:val="24"/>
        </w:rPr>
      </w:pPr>
      <w:r w:rsidRPr="00034EDF">
        <w:rPr>
          <w:rFonts w:asciiTheme="majorBidi" w:hAnsiTheme="majorBidi" w:cstheme="majorBidi"/>
          <w:iCs/>
          <w:sz w:val="24"/>
          <w:szCs w:val="24"/>
        </w:rPr>
        <w:t xml:space="preserve">Kadangi byloje kilusio materialiojo teisinio ginčo santykio dalyvės yra Lietuvoje ir </w:t>
      </w:r>
      <w:r w:rsidR="001A6F0C" w:rsidRPr="00034EDF">
        <w:rPr>
          <w:rFonts w:asciiTheme="majorBidi" w:hAnsiTheme="majorBidi" w:cstheme="majorBidi"/>
          <w:iCs/>
          <w:sz w:val="24"/>
          <w:szCs w:val="24"/>
        </w:rPr>
        <w:t>Jungtinėje Karalystėje</w:t>
      </w:r>
      <w:r w:rsidRPr="00034EDF">
        <w:rPr>
          <w:rFonts w:asciiTheme="majorBidi" w:hAnsiTheme="majorBidi" w:cstheme="majorBidi"/>
          <w:iCs/>
          <w:sz w:val="24"/>
          <w:szCs w:val="24"/>
        </w:rPr>
        <w:t xml:space="preserve"> registruotos bendrovės, o ginčas kyla iš sutarties, kurioje įtvirtintas susitarimas dėl jurisdikcijos, teisėjų kolegijos vertinimu, byloje pareikšto ieškinio jurisdikcijos klausimas turi būti sprendžiamas pagal Hagos konvenciją. </w:t>
      </w:r>
      <w:r w:rsidR="00B24A0C" w:rsidRPr="00034EDF">
        <w:rPr>
          <w:rFonts w:asciiTheme="majorBidi" w:hAnsiTheme="majorBidi" w:cstheme="majorBidi"/>
          <w:iCs/>
          <w:sz w:val="24"/>
          <w:szCs w:val="24"/>
        </w:rPr>
        <w:t>Ši konvencija Europos Sąjungai tapo privaloma Tarybai 2014 m. gruodžio 4 d. priėmus sprendimą dėl Hagos konvencijos patvirtinimo Europos Sąjungos vardu</w:t>
      </w:r>
      <w:r w:rsidR="001A6F0C" w:rsidRPr="00034EDF">
        <w:rPr>
          <w:rFonts w:asciiTheme="majorBidi" w:hAnsiTheme="majorBidi" w:cstheme="majorBidi"/>
          <w:iCs/>
          <w:sz w:val="24"/>
          <w:szCs w:val="24"/>
        </w:rPr>
        <w:t xml:space="preserve">, </w:t>
      </w:r>
      <w:r w:rsidR="00B24A0C" w:rsidRPr="00034EDF">
        <w:rPr>
          <w:rFonts w:asciiTheme="majorBidi" w:hAnsiTheme="majorBidi" w:cstheme="majorBidi"/>
          <w:iCs/>
          <w:sz w:val="24"/>
          <w:szCs w:val="24"/>
        </w:rPr>
        <w:t>dalyvaujant ir Jungtinei Karalystei (žr. sprendimo konstatuojamosios dalies 8 punktą). Tai reiškia, kad Hagos konvenciją</w:t>
      </w:r>
      <w:r w:rsidR="001A6F0C" w:rsidRPr="00034EDF">
        <w:rPr>
          <w:rFonts w:asciiTheme="majorBidi" w:hAnsiTheme="majorBidi" w:cstheme="majorBidi"/>
          <w:iCs/>
          <w:sz w:val="24"/>
          <w:szCs w:val="24"/>
        </w:rPr>
        <w:t xml:space="preserve"> </w:t>
      </w:r>
      <w:r w:rsidR="00B24A0C" w:rsidRPr="00034EDF">
        <w:rPr>
          <w:rFonts w:asciiTheme="majorBidi" w:hAnsiTheme="majorBidi" w:cstheme="majorBidi"/>
          <w:iCs/>
          <w:sz w:val="24"/>
          <w:szCs w:val="24"/>
        </w:rPr>
        <w:t>tapo privaloma ir taikytina tiek Jungtinei Karalystei, tiek Lietuvai, kaip Europos Sąjungos valstybėms narėms</w:t>
      </w:r>
      <w:r w:rsidR="001A6F0C" w:rsidRPr="00034EDF">
        <w:rPr>
          <w:rFonts w:asciiTheme="majorBidi" w:hAnsiTheme="majorBidi" w:cstheme="majorBidi"/>
          <w:iCs/>
          <w:sz w:val="24"/>
          <w:szCs w:val="24"/>
        </w:rPr>
        <w:t xml:space="preserve"> kai Europos Sąjunga ją patvirtino</w:t>
      </w:r>
      <w:r w:rsidR="00B24A0C" w:rsidRPr="00034EDF">
        <w:rPr>
          <w:rFonts w:asciiTheme="majorBidi" w:hAnsiTheme="majorBidi" w:cstheme="majorBidi"/>
          <w:iCs/>
          <w:sz w:val="24"/>
          <w:szCs w:val="24"/>
        </w:rPr>
        <w:t>.</w:t>
      </w:r>
    </w:p>
    <w:p w14:paraId="6B96BB58" w14:textId="711E522C" w:rsidR="00C612A9" w:rsidRPr="00034EDF" w:rsidRDefault="00B24A0C" w:rsidP="00C612A9">
      <w:pPr>
        <w:pStyle w:val="Sraopastraipa"/>
        <w:numPr>
          <w:ilvl w:val="0"/>
          <w:numId w:val="3"/>
        </w:numPr>
        <w:spacing w:after="120" w:line="240" w:lineRule="auto"/>
        <w:contextualSpacing w:val="0"/>
        <w:jc w:val="both"/>
        <w:rPr>
          <w:rFonts w:asciiTheme="majorBidi" w:hAnsiTheme="majorBidi" w:cstheme="majorBidi"/>
          <w:iCs/>
          <w:sz w:val="24"/>
          <w:szCs w:val="24"/>
        </w:rPr>
      </w:pPr>
      <w:r w:rsidRPr="00034EDF">
        <w:rPr>
          <w:rFonts w:asciiTheme="majorBidi" w:hAnsiTheme="majorBidi" w:cstheme="majorBidi"/>
          <w:iCs/>
          <w:sz w:val="24"/>
          <w:szCs w:val="24"/>
        </w:rPr>
        <w:t xml:space="preserve">Jungtinei Karalystei nusprendus išstoti iš Europos Sąjungos 2019 m. spalio 17 d. buvo pasirašytas Jungtinės Didžiosios Britanijos ir Šiaurės Airijos Karalystės išstojimo iš Europos Sąjungos ir Europos atominės energijos bendrijos susitarimas, kurio 126 straipsnyje buvo įtvirtinta pereinamojo laikotarpio nuostata. Pagal šio susitarimo 127 straipsnio 1 ir 3 dalis Jungtinei Karalystei iki 2020 m. </w:t>
      </w:r>
      <w:r w:rsidR="00C612A9" w:rsidRPr="00034EDF">
        <w:rPr>
          <w:rFonts w:asciiTheme="majorBidi" w:hAnsiTheme="majorBidi" w:cstheme="majorBidi"/>
          <w:iCs/>
          <w:sz w:val="24"/>
          <w:szCs w:val="24"/>
        </w:rPr>
        <w:t>gruodžio 31 d. (pereinamojo laikotarpio pabaigos) toliau buvo taikoma Europos Sąjungos teisė, įskaitant ir Hagos konvenciją.</w:t>
      </w:r>
    </w:p>
    <w:p w14:paraId="2902B68F" w14:textId="7BFE981C" w:rsidR="00C612A9" w:rsidRPr="00034EDF" w:rsidRDefault="00543BD5" w:rsidP="00C612A9">
      <w:pPr>
        <w:pStyle w:val="Sraopastraipa"/>
        <w:numPr>
          <w:ilvl w:val="0"/>
          <w:numId w:val="3"/>
        </w:numPr>
        <w:spacing w:after="120" w:line="240" w:lineRule="auto"/>
        <w:contextualSpacing w:val="0"/>
        <w:jc w:val="both"/>
        <w:rPr>
          <w:rFonts w:asciiTheme="majorBidi" w:hAnsiTheme="majorBidi" w:cstheme="majorBidi"/>
          <w:iCs/>
          <w:sz w:val="24"/>
          <w:szCs w:val="24"/>
        </w:rPr>
      </w:pPr>
      <w:r w:rsidRPr="00034EDF">
        <w:rPr>
          <w:rFonts w:asciiTheme="majorBidi" w:hAnsiTheme="majorBidi" w:cstheme="majorBidi"/>
          <w:iCs/>
          <w:sz w:val="24"/>
          <w:szCs w:val="24"/>
        </w:rPr>
        <w:t>Oficialiame Hagos konvencijos puslapyje (</w:t>
      </w:r>
      <w:r w:rsidR="00EA0C5D" w:rsidRPr="00034EDF">
        <w:rPr>
          <w:rFonts w:asciiTheme="majorBidi" w:hAnsiTheme="majorBidi" w:cstheme="majorBidi"/>
          <w:iCs/>
          <w:sz w:val="24"/>
          <w:szCs w:val="24"/>
        </w:rPr>
        <w:t>prieiga per internetą</w:t>
      </w:r>
      <w:r w:rsidRPr="00034EDF">
        <w:rPr>
          <w:rFonts w:asciiTheme="majorBidi" w:hAnsiTheme="majorBidi" w:cstheme="majorBidi"/>
          <w:iCs/>
          <w:sz w:val="24"/>
          <w:szCs w:val="24"/>
        </w:rPr>
        <w:t xml:space="preserve"> </w:t>
      </w:r>
      <w:r w:rsidR="00EA0C5D" w:rsidRPr="00034EDF">
        <w:rPr>
          <w:rFonts w:asciiTheme="majorBidi" w:hAnsiTheme="majorBidi" w:cstheme="majorBidi"/>
          <w:iCs/>
          <w:sz w:val="24"/>
          <w:szCs w:val="24"/>
        </w:rPr>
        <w:t>&lt;</w:t>
      </w:r>
      <w:hyperlink r:id="rId9" w:history="1">
        <w:r w:rsidR="00EA0C5D" w:rsidRPr="00034EDF">
          <w:rPr>
            <w:rStyle w:val="Hipersaitas"/>
            <w:rFonts w:asciiTheme="majorBidi" w:hAnsiTheme="majorBidi" w:cstheme="majorBidi"/>
            <w:iCs/>
            <w:color w:val="auto"/>
            <w:sz w:val="24"/>
            <w:szCs w:val="24"/>
            <w:u w:val="none"/>
          </w:rPr>
          <w:t>https://www.hcch.net/en/instruments/conventions/status-table/?cid=98</w:t>
        </w:r>
      </w:hyperlink>
      <w:r w:rsidR="00EA0C5D" w:rsidRPr="00034EDF">
        <w:rPr>
          <w:rStyle w:val="Hipersaitas"/>
          <w:rFonts w:asciiTheme="majorBidi" w:hAnsiTheme="majorBidi" w:cstheme="majorBidi"/>
          <w:iCs/>
          <w:color w:val="auto"/>
          <w:sz w:val="24"/>
          <w:szCs w:val="24"/>
          <w:u w:val="none"/>
        </w:rPr>
        <w:t>&gt;</w:t>
      </w:r>
      <w:r w:rsidRPr="00034EDF">
        <w:rPr>
          <w:rFonts w:asciiTheme="majorBidi" w:hAnsiTheme="majorBidi" w:cstheme="majorBidi"/>
          <w:iCs/>
          <w:sz w:val="24"/>
          <w:szCs w:val="24"/>
        </w:rPr>
        <w:t xml:space="preserve">) skelbiama, kad ši konvencija taikoma ir Jungtinei Karalystei. </w:t>
      </w:r>
      <w:r w:rsidR="00C612A9" w:rsidRPr="00034EDF">
        <w:rPr>
          <w:rFonts w:asciiTheme="majorBidi" w:hAnsiTheme="majorBidi" w:cstheme="majorBidi"/>
          <w:iCs/>
          <w:sz w:val="24"/>
          <w:szCs w:val="24"/>
        </w:rPr>
        <w:t>Siekdama užtikrinti Hagos konvencijos taikymo tęstinumą, Jungtinė Karalystė pagal Hagos konvencijos 27 straipsnio 4 dalį pateikė prisijungimo dokumentą</w:t>
      </w:r>
      <w:r w:rsidRPr="00034EDF">
        <w:rPr>
          <w:rFonts w:asciiTheme="majorBidi" w:hAnsiTheme="majorBidi" w:cstheme="majorBidi"/>
          <w:iCs/>
          <w:sz w:val="24"/>
          <w:szCs w:val="24"/>
        </w:rPr>
        <w:t xml:space="preserve">, pripažindama, </w:t>
      </w:r>
      <w:r w:rsidR="00C612A9" w:rsidRPr="00034EDF">
        <w:rPr>
          <w:rFonts w:asciiTheme="majorBidi" w:hAnsiTheme="majorBidi" w:cstheme="majorBidi"/>
          <w:iCs/>
          <w:sz w:val="24"/>
          <w:szCs w:val="24"/>
        </w:rPr>
        <w:t xml:space="preserve">kad </w:t>
      </w:r>
      <w:r w:rsidRPr="00034EDF">
        <w:rPr>
          <w:rFonts w:asciiTheme="majorBidi" w:hAnsiTheme="majorBidi" w:cstheme="majorBidi"/>
          <w:iCs/>
          <w:sz w:val="24"/>
          <w:szCs w:val="24"/>
        </w:rPr>
        <w:t>st</w:t>
      </w:r>
      <w:r w:rsidR="00C612A9" w:rsidRPr="00034EDF">
        <w:rPr>
          <w:rFonts w:asciiTheme="majorBidi" w:hAnsiTheme="majorBidi" w:cstheme="majorBidi"/>
          <w:iCs/>
          <w:sz w:val="24"/>
          <w:szCs w:val="24"/>
        </w:rPr>
        <w:t xml:space="preserve">ojimo dokumentas įsigalioja 2021 m. sausio 1 d., </w:t>
      </w:r>
      <w:r w:rsidRPr="00034EDF">
        <w:rPr>
          <w:rFonts w:asciiTheme="majorBidi" w:hAnsiTheme="majorBidi" w:cstheme="majorBidi"/>
          <w:iCs/>
          <w:sz w:val="24"/>
          <w:szCs w:val="24"/>
        </w:rPr>
        <w:t>o</w:t>
      </w:r>
      <w:r w:rsidR="00C612A9" w:rsidRPr="00034EDF">
        <w:rPr>
          <w:rFonts w:asciiTheme="majorBidi" w:hAnsiTheme="majorBidi" w:cstheme="majorBidi"/>
          <w:iCs/>
          <w:sz w:val="24"/>
          <w:szCs w:val="24"/>
        </w:rPr>
        <w:t xml:space="preserve"> Hagos konvencija Jungtinei Karalystei įsigaliojo 2015 m. spalio 1 d. ir </w:t>
      </w:r>
      <w:r w:rsidR="00EA0C5D" w:rsidRPr="00034EDF">
        <w:rPr>
          <w:rFonts w:asciiTheme="majorBidi" w:hAnsiTheme="majorBidi" w:cstheme="majorBidi"/>
          <w:iCs/>
          <w:sz w:val="24"/>
          <w:szCs w:val="24"/>
        </w:rPr>
        <w:t>kad</w:t>
      </w:r>
      <w:r w:rsidR="00C612A9" w:rsidRPr="00034EDF">
        <w:rPr>
          <w:rFonts w:asciiTheme="majorBidi" w:hAnsiTheme="majorBidi" w:cstheme="majorBidi"/>
          <w:iCs/>
          <w:sz w:val="24"/>
          <w:szCs w:val="24"/>
        </w:rPr>
        <w:t xml:space="preserve"> nuo tos dienos Jungtinė Karalystė yra </w:t>
      </w:r>
      <w:r w:rsidR="00EA0C5D" w:rsidRPr="00034EDF">
        <w:rPr>
          <w:rFonts w:asciiTheme="majorBidi" w:hAnsiTheme="majorBidi" w:cstheme="majorBidi"/>
          <w:iCs/>
          <w:sz w:val="24"/>
          <w:szCs w:val="24"/>
        </w:rPr>
        <w:t>s</w:t>
      </w:r>
      <w:r w:rsidR="00C612A9" w:rsidRPr="00034EDF">
        <w:rPr>
          <w:rFonts w:asciiTheme="majorBidi" w:hAnsiTheme="majorBidi" w:cstheme="majorBidi"/>
          <w:iCs/>
          <w:sz w:val="24"/>
          <w:szCs w:val="24"/>
        </w:rPr>
        <w:t xml:space="preserve">usitariančioji </w:t>
      </w:r>
      <w:r w:rsidR="00EA0C5D" w:rsidRPr="00034EDF">
        <w:rPr>
          <w:rFonts w:asciiTheme="majorBidi" w:hAnsiTheme="majorBidi" w:cstheme="majorBidi"/>
          <w:iCs/>
          <w:sz w:val="24"/>
          <w:szCs w:val="24"/>
        </w:rPr>
        <w:t>v</w:t>
      </w:r>
      <w:r w:rsidR="00C612A9" w:rsidRPr="00034EDF">
        <w:rPr>
          <w:rFonts w:asciiTheme="majorBidi" w:hAnsiTheme="majorBidi" w:cstheme="majorBidi"/>
          <w:iCs/>
          <w:sz w:val="24"/>
          <w:szCs w:val="24"/>
        </w:rPr>
        <w:t>alstybė be pertraukos.</w:t>
      </w:r>
    </w:p>
    <w:p w14:paraId="72CECBDD" w14:textId="4F9DE016" w:rsidR="007E4FC1" w:rsidRPr="00034EDF" w:rsidRDefault="00543BD5" w:rsidP="007E4FC1">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034EDF">
        <w:rPr>
          <w:rFonts w:asciiTheme="majorBidi" w:hAnsiTheme="majorBidi" w:cstheme="majorBidi"/>
          <w:iCs/>
          <w:sz w:val="24"/>
          <w:szCs w:val="24"/>
        </w:rPr>
        <w:t>Taigi, atsižvelg</w:t>
      </w:r>
      <w:r w:rsidR="008C0B0F" w:rsidRPr="00034EDF">
        <w:rPr>
          <w:rFonts w:asciiTheme="majorBidi" w:hAnsiTheme="majorBidi" w:cstheme="majorBidi"/>
          <w:iCs/>
          <w:sz w:val="24"/>
          <w:szCs w:val="24"/>
        </w:rPr>
        <w:t>dama</w:t>
      </w:r>
      <w:r w:rsidRPr="00034EDF">
        <w:rPr>
          <w:rFonts w:asciiTheme="majorBidi" w:hAnsiTheme="majorBidi" w:cstheme="majorBidi"/>
          <w:iCs/>
          <w:sz w:val="24"/>
          <w:szCs w:val="24"/>
        </w:rPr>
        <w:t xml:space="preserve"> į tai, kad susitarimas dėl jurisdikcijos buvo įtvirtintas 2020 m. spalio 19 d. sutartyje, šią sutartį sudarė Lietuvoje ir Jungtinėje Karalystėje registruotos bendrovės, </w:t>
      </w:r>
      <w:r w:rsidR="001A6F0C" w:rsidRPr="00034EDF">
        <w:rPr>
          <w:rFonts w:asciiTheme="majorBidi" w:hAnsiTheme="majorBidi" w:cstheme="majorBidi"/>
          <w:iCs/>
          <w:sz w:val="24"/>
          <w:szCs w:val="24"/>
        </w:rPr>
        <w:t xml:space="preserve">o ginčo </w:t>
      </w:r>
      <w:r w:rsidR="001A6F0C" w:rsidRPr="00034EDF">
        <w:rPr>
          <w:rFonts w:asciiTheme="majorBidi" w:hAnsiTheme="majorBidi" w:cstheme="majorBidi"/>
          <w:iCs/>
          <w:sz w:val="24"/>
          <w:szCs w:val="24"/>
        </w:rPr>
        <w:lastRenderedPageBreak/>
        <w:t>atveju</w:t>
      </w:r>
      <w:r w:rsidRPr="00034EDF">
        <w:rPr>
          <w:rFonts w:asciiTheme="majorBidi" w:hAnsiTheme="majorBidi" w:cstheme="majorBidi"/>
          <w:iCs/>
          <w:sz w:val="24"/>
          <w:szCs w:val="24"/>
        </w:rPr>
        <w:t xml:space="preserve"> atsakovų pusėje taikytinas </w:t>
      </w:r>
      <w:r w:rsidR="00E822DA" w:rsidRPr="00034EDF">
        <w:rPr>
          <w:rFonts w:asciiTheme="majorBidi" w:hAnsiTheme="majorBidi" w:cstheme="majorBidi"/>
          <w:iCs/>
          <w:sz w:val="24"/>
          <w:szCs w:val="24"/>
        </w:rPr>
        <w:t xml:space="preserve">privalomojo bendrininkavimo institutas </w:t>
      </w:r>
      <w:r w:rsidRPr="00034EDF">
        <w:rPr>
          <w:rFonts w:asciiTheme="majorBidi" w:hAnsiTheme="majorBidi" w:cstheme="majorBidi"/>
          <w:iCs/>
          <w:sz w:val="24"/>
          <w:szCs w:val="24"/>
        </w:rPr>
        <w:t xml:space="preserve">bendrininkavimas, teisėjų kolegija </w:t>
      </w:r>
      <w:r w:rsidR="008C0B0F" w:rsidRPr="00034EDF">
        <w:rPr>
          <w:rFonts w:asciiTheme="majorBidi" w:hAnsiTheme="majorBidi" w:cstheme="majorBidi"/>
          <w:iCs/>
          <w:sz w:val="24"/>
          <w:szCs w:val="24"/>
        </w:rPr>
        <w:t>nu</w:t>
      </w:r>
      <w:r w:rsidRPr="00034EDF">
        <w:rPr>
          <w:rFonts w:asciiTheme="majorBidi" w:hAnsiTheme="majorBidi" w:cstheme="majorBidi"/>
          <w:iCs/>
          <w:sz w:val="24"/>
          <w:szCs w:val="24"/>
        </w:rPr>
        <w:t xml:space="preserve">sprendžia, kad byloje pareikšto ieškinio jurisdikcijos klausimas į bylą įtraukus </w:t>
      </w:r>
      <w:r w:rsidR="008C0B0F" w:rsidRPr="00034EDF">
        <w:rPr>
          <w:rFonts w:asciiTheme="majorBidi" w:hAnsiTheme="majorBidi" w:cstheme="majorBidi"/>
          <w:iCs/>
          <w:sz w:val="24"/>
          <w:szCs w:val="24"/>
        </w:rPr>
        <w:t xml:space="preserve">kaip </w:t>
      </w:r>
      <w:r w:rsidRPr="00034EDF">
        <w:rPr>
          <w:rFonts w:asciiTheme="majorBidi" w:hAnsiTheme="majorBidi" w:cstheme="majorBidi"/>
          <w:iCs/>
          <w:sz w:val="24"/>
          <w:szCs w:val="24"/>
        </w:rPr>
        <w:t>atsakov</w:t>
      </w:r>
      <w:r w:rsidR="008C0B0F" w:rsidRPr="00034EDF">
        <w:rPr>
          <w:rFonts w:asciiTheme="majorBidi" w:hAnsiTheme="majorBidi" w:cstheme="majorBidi"/>
          <w:iCs/>
          <w:sz w:val="24"/>
          <w:szCs w:val="24"/>
        </w:rPr>
        <w:t>ę</w:t>
      </w:r>
      <w:r w:rsidRPr="00034EDF">
        <w:rPr>
          <w:rFonts w:asciiTheme="majorBidi" w:hAnsiTheme="majorBidi" w:cstheme="majorBidi"/>
          <w:iCs/>
          <w:sz w:val="24"/>
          <w:szCs w:val="24"/>
        </w:rPr>
        <w:t xml:space="preserve"> Jungtinėje Karalystėje registruotą bendrovę „Contis Financial Services Limited“ turi būti sprendžiamas pagal Hagos konvencijos nuostatas.</w:t>
      </w:r>
    </w:p>
    <w:p w14:paraId="1E7DA901" w14:textId="4522F60E" w:rsidR="007E4FC1" w:rsidRPr="00034EDF" w:rsidRDefault="007E4FC1" w:rsidP="007E4FC1">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034EDF">
        <w:rPr>
          <w:rFonts w:asciiTheme="majorBidi" w:hAnsiTheme="majorBidi" w:cstheme="majorBidi"/>
          <w:iCs/>
          <w:sz w:val="24"/>
          <w:szCs w:val="24"/>
        </w:rPr>
        <w:t xml:space="preserve">Hagos konvencijos 1 straipsnio 1 dalyje nustatyta, kad ši konvencija taikoma tarptautinėse bylose susitarimams dėl išimtinio teismingumo, sudarytiems civilinių arba komercinių santykių srityje. Hagos konvencijos II skyriaus tikslais byla laikoma tarptautine, išskyrus atvejus, kai šalys gyvena toje pačioje </w:t>
      </w:r>
      <w:r w:rsidR="008C0B0F" w:rsidRPr="00034EDF">
        <w:rPr>
          <w:rFonts w:asciiTheme="majorBidi" w:hAnsiTheme="majorBidi" w:cstheme="majorBidi"/>
          <w:iCs/>
          <w:sz w:val="24"/>
          <w:szCs w:val="24"/>
        </w:rPr>
        <w:t>s</w:t>
      </w:r>
      <w:r w:rsidRPr="00034EDF">
        <w:rPr>
          <w:rFonts w:asciiTheme="majorBidi" w:hAnsiTheme="majorBidi" w:cstheme="majorBidi"/>
          <w:iCs/>
          <w:sz w:val="24"/>
          <w:szCs w:val="24"/>
        </w:rPr>
        <w:t xml:space="preserve">usitariančiojoje </w:t>
      </w:r>
      <w:r w:rsidR="008C0B0F" w:rsidRPr="00034EDF">
        <w:rPr>
          <w:rFonts w:asciiTheme="majorBidi" w:hAnsiTheme="majorBidi" w:cstheme="majorBidi"/>
          <w:iCs/>
          <w:sz w:val="24"/>
          <w:szCs w:val="24"/>
        </w:rPr>
        <w:t>v</w:t>
      </w:r>
      <w:r w:rsidRPr="00034EDF">
        <w:rPr>
          <w:rFonts w:asciiTheme="majorBidi" w:hAnsiTheme="majorBidi" w:cstheme="majorBidi"/>
          <w:iCs/>
          <w:sz w:val="24"/>
          <w:szCs w:val="24"/>
        </w:rPr>
        <w:t>alstybėje, o šalių santykiai ir visi kiti su ginču susiję elementai, nepaisant pasirinkto teismo vietos, yra susiję tik su ta valstybe (Hagos konvencijos 1 straipsnio 2</w:t>
      </w:r>
      <w:r w:rsidR="008C0B0F" w:rsidRPr="00034EDF">
        <w:rPr>
          <w:rFonts w:asciiTheme="majorBidi" w:hAnsiTheme="majorBidi" w:cstheme="majorBidi"/>
          <w:iCs/>
          <w:sz w:val="24"/>
          <w:szCs w:val="24"/>
        </w:rPr>
        <w:t> </w:t>
      </w:r>
      <w:r w:rsidRPr="00034EDF">
        <w:rPr>
          <w:rFonts w:asciiTheme="majorBidi" w:hAnsiTheme="majorBidi" w:cstheme="majorBidi"/>
          <w:iCs/>
          <w:sz w:val="24"/>
          <w:szCs w:val="24"/>
        </w:rPr>
        <w:t>dalis).</w:t>
      </w:r>
    </w:p>
    <w:p w14:paraId="265E0C3B" w14:textId="35678803" w:rsidR="003044C1" w:rsidRPr="00034EDF" w:rsidRDefault="007E4FC1" w:rsidP="003044C1">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034EDF">
        <w:rPr>
          <w:rFonts w:asciiTheme="majorBidi" w:hAnsiTheme="majorBidi" w:cstheme="majorBidi"/>
          <w:iCs/>
          <w:sz w:val="24"/>
          <w:szCs w:val="24"/>
        </w:rPr>
        <w:t xml:space="preserve">Ieškovė pateiktuose rašytiniuose paaiškinimuose laikosi pozicijos, kad nagrinėjamas ginčas nepatenka į Hagos konvencijos taikymo sritį, t. y. byla nelaikytina tarptautine, kadangi </w:t>
      </w:r>
      <w:r w:rsidR="003044C1" w:rsidRPr="00034EDF">
        <w:rPr>
          <w:rFonts w:asciiTheme="majorBidi" w:hAnsiTheme="majorBidi" w:cstheme="majorBidi"/>
          <w:sz w:val="24"/>
          <w:szCs w:val="24"/>
        </w:rPr>
        <w:t>ginčo šalys yra Lietuvos Respublikoje įsteigtos bendrovės, šalių veikla, susijusi su elektroninių pinigų leidimu ir mokėjimo paslaugų teikimu, yra griežtai reglamentuojama Lietuvos Respublikos teisės akt</w:t>
      </w:r>
      <w:r w:rsidR="008C0B0F" w:rsidRPr="00034EDF">
        <w:rPr>
          <w:rFonts w:asciiTheme="majorBidi" w:hAnsiTheme="majorBidi" w:cstheme="majorBidi"/>
          <w:sz w:val="24"/>
          <w:szCs w:val="24"/>
        </w:rPr>
        <w:t>ų</w:t>
      </w:r>
      <w:r w:rsidR="003044C1" w:rsidRPr="00034EDF">
        <w:rPr>
          <w:rFonts w:asciiTheme="majorBidi" w:hAnsiTheme="majorBidi" w:cstheme="majorBidi"/>
          <w:sz w:val="24"/>
          <w:szCs w:val="24"/>
        </w:rPr>
        <w:t>; ginčo sutartis yra išimtinai susijusi su Lietuvos valstybe, kadangi sutartis sudarę užsienio subjektai buvo pakeisti į Lietuvoje įsisteigusias ir joje veiklą vykdančias bendrov</w:t>
      </w:r>
      <w:r w:rsidR="008C0B0F" w:rsidRPr="00034EDF">
        <w:rPr>
          <w:rFonts w:asciiTheme="majorBidi" w:hAnsiTheme="majorBidi" w:cstheme="majorBidi"/>
          <w:sz w:val="24"/>
          <w:szCs w:val="24"/>
        </w:rPr>
        <w:t>e</w:t>
      </w:r>
      <w:r w:rsidR="003044C1" w:rsidRPr="00034EDF">
        <w:rPr>
          <w:rFonts w:asciiTheme="majorBidi" w:hAnsiTheme="majorBidi" w:cstheme="majorBidi"/>
          <w:sz w:val="24"/>
          <w:szCs w:val="24"/>
        </w:rPr>
        <w:t>s. Teisėjų kolegija su šiais ieškovės pateiktuose paaiškinimuose nurodytais argumentais nesutinka.</w:t>
      </w:r>
    </w:p>
    <w:p w14:paraId="1901FF6D" w14:textId="06C904D9" w:rsidR="003044C1" w:rsidRPr="00034EDF" w:rsidRDefault="003044C1" w:rsidP="003044C1">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034EDF">
        <w:rPr>
          <w:rFonts w:asciiTheme="majorBidi" w:hAnsiTheme="majorBidi" w:cstheme="majorBidi"/>
          <w:sz w:val="24"/>
          <w:szCs w:val="24"/>
        </w:rPr>
        <w:t xml:space="preserve">Kaip minėta, ieškovės pareikštu ieškiniu inicijuojamas ginčas susijęs su trišalės sutarties vykdymu. Nors ieškovės ginčijamą pranešimą jai pateikė tiek Anglijos bendrovė </w:t>
      </w:r>
      <w:r w:rsidRPr="00034EDF">
        <w:rPr>
          <w:rFonts w:asciiTheme="majorBidi" w:hAnsiTheme="majorBidi" w:cstheme="majorBidi"/>
          <w:iCs/>
          <w:sz w:val="24"/>
          <w:szCs w:val="24"/>
        </w:rPr>
        <w:t>„Contis Financial Services Limited“, tiek Lietuvoje registruota UAB „Finansinės paslaugos „Contis“, ieškovė ieškinį pareiškė tik vienai iš ginčijamą pranešimą ir Sutartį sudariusių asmenų – atsakovei UAB „Finansinės paslaugos „Contis“. Kadangi, kaip jau konstatuota šios nutarties 2</w:t>
      </w:r>
      <w:r w:rsidR="00543BD5" w:rsidRPr="00034EDF">
        <w:rPr>
          <w:rFonts w:asciiTheme="majorBidi" w:hAnsiTheme="majorBidi" w:cstheme="majorBidi"/>
          <w:iCs/>
          <w:sz w:val="24"/>
          <w:szCs w:val="24"/>
        </w:rPr>
        <w:t>8</w:t>
      </w:r>
      <w:r w:rsidRPr="00034EDF">
        <w:rPr>
          <w:rFonts w:asciiTheme="majorBidi" w:hAnsiTheme="majorBidi" w:cstheme="majorBidi"/>
          <w:iCs/>
          <w:sz w:val="24"/>
          <w:szCs w:val="24"/>
        </w:rPr>
        <w:t xml:space="preserve"> punkte, byloje ginčas kilo iš materialiųjų </w:t>
      </w:r>
      <w:r w:rsidR="001A6F0C" w:rsidRPr="00034EDF">
        <w:rPr>
          <w:rFonts w:asciiTheme="majorBidi" w:hAnsiTheme="majorBidi" w:cstheme="majorBidi"/>
          <w:iCs/>
          <w:sz w:val="24"/>
          <w:szCs w:val="24"/>
        </w:rPr>
        <w:t xml:space="preserve">teisinių </w:t>
      </w:r>
      <w:r w:rsidRPr="00034EDF">
        <w:rPr>
          <w:rFonts w:asciiTheme="majorBidi" w:hAnsiTheme="majorBidi" w:cstheme="majorBidi"/>
          <w:iCs/>
          <w:sz w:val="24"/>
          <w:szCs w:val="24"/>
        </w:rPr>
        <w:t xml:space="preserve">santykių, </w:t>
      </w:r>
      <w:r w:rsidR="001A6F0C" w:rsidRPr="00034EDF">
        <w:rPr>
          <w:rFonts w:asciiTheme="majorBidi" w:hAnsiTheme="majorBidi" w:cstheme="majorBidi"/>
          <w:iCs/>
          <w:sz w:val="24"/>
          <w:szCs w:val="24"/>
        </w:rPr>
        <w:t>o byloje taikytinas</w:t>
      </w:r>
      <w:r w:rsidRPr="00034EDF">
        <w:rPr>
          <w:rFonts w:asciiTheme="majorBidi" w:hAnsiTheme="majorBidi" w:cstheme="majorBidi"/>
          <w:iCs/>
          <w:sz w:val="24"/>
          <w:szCs w:val="24"/>
        </w:rPr>
        <w:t xml:space="preserve"> privalomas</w:t>
      </w:r>
      <w:r w:rsidR="008C0B0F" w:rsidRPr="00034EDF">
        <w:rPr>
          <w:rFonts w:asciiTheme="majorBidi" w:hAnsiTheme="majorBidi" w:cstheme="majorBidi"/>
          <w:iCs/>
          <w:sz w:val="24"/>
          <w:szCs w:val="24"/>
        </w:rPr>
        <w:t>is</w:t>
      </w:r>
      <w:r w:rsidRPr="00034EDF">
        <w:rPr>
          <w:rFonts w:asciiTheme="majorBidi" w:hAnsiTheme="majorBidi" w:cstheme="majorBidi"/>
          <w:iCs/>
          <w:sz w:val="24"/>
          <w:szCs w:val="24"/>
        </w:rPr>
        <w:t xml:space="preserve"> procesinis bendrininkavimas</w:t>
      </w:r>
      <w:r w:rsidR="001A6F0C" w:rsidRPr="00034EDF">
        <w:rPr>
          <w:rFonts w:asciiTheme="majorBidi" w:hAnsiTheme="majorBidi" w:cstheme="majorBidi"/>
          <w:iCs/>
          <w:sz w:val="24"/>
          <w:szCs w:val="24"/>
        </w:rPr>
        <w:t xml:space="preserve">. Todėl </w:t>
      </w:r>
      <w:r w:rsidRPr="00034EDF">
        <w:rPr>
          <w:rFonts w:asciiTheme="majorBidi" w:hAnsiTheme="majorBidi" w:cstheme="majorBidi"/>
          <w:iCs/>
          <w:sz w:val="24"/>
          <w:szCs w:val="24"/>
        </w:rPr>
        <w:t>vien tai, kad</w:t>
      </w:r>
      <w:r w:rsidR="005F60F5" w:rsidRPr="00034EDF">
        <w:rPr>
          <w:rFonts w:asciiTheme="majorBidi" w:hAnsiTheme="majorBidi" w:cstheme="majorBidi"/>
          <w:iCs/>
          <w:sz w:val="24"/>
          <w:szCs w:val="24"/>
        </w:rPr>
        <w:t>,</w:t>
      </w:r>
      <w:r w:rsidRPr="00034EDF">
        <w:rPr>
          <w:rFonts w:asciiTheme="majorBidi" w:hAnsiTheme="majorBidi" w:cstheme="majorBidi"/>
          <w:iCs/>
          <w:sz w:val="24"/>
          <w:szCs w:val="24"/>
        </w:rPr>
        <w:t xml:space="preserve"> esant privaloma</w:t>
      </w:r>
      <w:r w:rsidR="008C0B0F" w:rsidRPr="00034EDF">
        <w:rPr>
          <w:rFonts w:asciiTheme="majorBidi" w:hAnsiTheme="majorBidi" w:cstheme="majorBidi"/>
          <w:iCs/>
          <w:sz w:val="24"/>
          <w:szCs w:val="24"/>
        </w:rPr>
        <w:t>ja</w:t>
      </w:r>
      <w:r w:rsidRPr="00034EDF">
        <w:rPr>
          <w:rFonts w:asciiTheme="majorBidi" w:hAnsiTheme="majorBidi" w:cstheme="majorBidi"/>
          <w:iCs/>
          <w:sz w:val="24"/>
          <w:szCs w:val="24"/>
        </w:rPr>
        <w:t>m procesiniam bendrininkavimui</w:t>
      </w:r>
      <w:r w:rsidR="005F60F5" w:rsidRPr="00034EDF">
        <w:rPr>
          <w:rFonts w:asciiTheme="majorBidi" w:hAnsiTheme="majorBidi" w:cstheme="majorBidi"/>
          <w:iCs/>
          <w:sz w:val="24"/>
          <w:szCs w:val="24"/>
        </w:rPr>
        <w:t>,</w:t>
      </w:r>
      <w:r w:rsidRPr="00034EDF">
        <w:rPr>
          <w:rFonts w:asciiTheme="majorBidi" w:hAnsiTheme="majorBidi" w:cstheme="majorBidi"/>
          <w:iCs/>
          <w:sz w:val="24"/>
          <w:szCs w:val="24"/>
        </w:rPr>
        <w:t xml:space="preserve"> ieškovė ieškinį parei</w:t>
      </w:r>
      <w:r w:rsidR="005F60F5" w:rsidRPr="00034EDF">
        <w:rPr>
          <w:rFonts w:asciiTheme="majorBidi" w:hAnsiTheme="majorBidi" w:cstheme="majorBidi"/>
          <w:iCs/>
          <w:sz w:val="24"/>
          <w:szCs w:val="24"/>
        </w:rPr>
        <w:t>škė</w:t>
      </w:r>
      <w:r w:rsidRPr="00034EDF">
        <w:rPr>
          <w:rFonts w:asciiTheme="majorBidi" w:hAnsiTheme="majorBidi" w:cstheme="majorBidi"/>
          <w:iCs/>
          <w:sz w:val="24"/>
          <w:szCs w:val="24"/>
        </w:rPr>
        <w:t xml:space="preserve"> tik vienai iš a</w:t>
      </w:r>
      <w:r w:rsidR="00955CC1" w:rsidRPr="00034EDF">
        <w:rPr>
          <w:rFonts w:asciiTheme="majorBidi" w:hAnsiTheme="majorBidi" w:cstheme="majorBidi"/>
          <w:iCs/>
          <w:sz w:val="24"/>
          <w:szCs w:val="24"/>
        </w:rPr>
        <w:t>tsakovių – Lietuvoje registruotai bendrovei, savaime nesudaro pagrindo išvadai, kad ši byla nelaikytina tarptautine Hagos konvencijos 1 straipsnio 1 ir 2 dalių prasme</w:t>
      </w:r>
      <w:r w:rsidR="00543BD5" w:rsidRPr="00034EDF">
        <w:rPr>
          <w:rFonts w:asciiTheme="majorBidi" w:hAnsiTheme="majorBidi" w:cstheme="majorBidi"/>
          <w:iCs/>
          <w:sz w:val="24"/>
          <w:szCs w:val="24"/>
        </w:rPr>
        <w:t>, nes tokiam ieškovės ieškiniui turėjo būti taikomas trūkumų šalinimo institutas dėl visų atsakovų į bylą įtraukimo privalomojo bendrininkavimo atveju</w:t>
      </w:r>
      <w:r w:rsidR="00955CC1" w:rsidRPr="00034EDF">
        <w:rPr>
          <w:rFonts w:asciiTheme="majorBidi" w:hAnsiTheme="majorBidi" w:cstheme="majorBidi"/>
          <w:iCs/>
          <w:sz w:val="24"/>
          <w:szCs w:val="24"/>
        </w:rPr>
        <w:t>.</w:t>
      </w:r>
    </w:p>
    <w:p w14:paraId="5F4BDA0D" w14:textId="70E5165F" w:rsidR="003044C1" w:rsidRPr="00034EDF" w:rsidRDefault="006D3A4A" w:rsidP="006D3A4A">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034EDF">
        <w:rPr>
          <w:rFonts w:asciiTheme="majorBidi" w:hAnsiTheme="majorBidi" w:cstheme="majorBidi"/>
          <w:sz w:val="24"/>
          <w:szCs w:val="24"/>
        </w:rPr>
        <w:t xml:space="preserve">Hagos konvencijos 3 straipsnio a punkte nustatyta, kad šios konvencijos tikslais susitarimas dėl išimtinio teismingumo – dviejų arba daugiau šalių susitarimas, atitinkantis c punkto reikalavimus, kuriame tam, kad būtų sprendžiami ginčai, iškilę ar galintys iškilti dėl tam tikro teisinio santykio, nurodomi vienos iš </w:t>
      </w:r>
      <w:r w:rsidR="008C0B0F" w:rsidRPr="00034EDF">
        <w:rPr>
          <w:rFonts w:asciiTheme="majorBidi" w:hAnsiTheme="majorBidi" w:cstheme="majorBidi"/>
          <w:sz w:val="24"/>
          <w:szCs w:val="24"/>
        </w:rPr>
        <w:t>s</w:t>
      </w:r>
      <w:r w:rsidRPr="00034EDF">
        <w:rPr>
          <w:rFonts w:asciiTheme="majorBidi" w:hAnsiTheme="majorBidi" w:cstheme="majorBidi"/>
          <w:sz w:val="24"/>
          <w:szCs w:val="24"/>
        </w:rPr>
        <w:t xml:space="preserve">usitariančiųjų </w:t>
      </w:r>
      <w:r w:rsidR="008C0B0F" w:rsidRPr="00034EDF">
        <w:rPr>
          <w:rFonts w:asciiTheme="majorBidi" w:hAnsiTheme="majorBidi" w:cstheme="majorBidi"/>
          <w:sz w:val="24"/>
          <w:szCs w:val="24"/>
        </w:rPr>
        <w:t>v</w:t>
      </w:r>
      <w:r w:rsidRPr="00034EDF">
        <w:rPr>
          <w:rFonts w:asciiTheme="majorBidi" w:hAnsiTheme="majorBidi" w:cstheme="majorBidi"/>
          <w:sz w:val="24"/>
          <w:szCs w:val="24"/>
        </w:rPr>
        <w:t xml:space="preserve">alstybių teismai arba vienas ar daugiau vienos iš </w:t>
      </w:r>
      <w:r w:rsidR="008C0B0F" w:rsidRPr="00034EDF">
        <w:rPr>
          <w:rFonts w:asciiTheme="majorBidi" w:hAnsiTheme="majorBidi" w:cstheme="majorBidi"/>
          <w:sz w:val="24"/>
          <w:szCs w:val="24"/>
        </w:rPr>
        <w:t>s</w:t>
      </w:r>
      <w:r w:rsidRPr="00034EDF">
        <w:rPr>
          <w:rFonts w:asciiTheme="majorBidi" w:hAnsiTheme="majorBidi" w:cstheme="majorBidi"/>
          <w:sz w:val="24"/>
          <w:szCs w:val="24"/>
        </w:rPr>
        <w:t xml:space="preserve">usitariančiųjų </w:t>
      </w:r>
      <w:r w:rsidR="008C0B0F" w:rsidRPr="00034EDF">
        <w:rPr>
          <w:rFonts w:asciiTheme="majorBidi" w:hAnsiTheme="majorBidi" w:cstheme="majorBidi"/>
          <w:sz w:val="24"/>
          <w:szCs w:val="24"/>
        </w:rPr>
        <w:t>v</w:t>
      </w:r>
      <w:r w:rsidRPr="00034EDF">
        <w:rPr>
          <w:rFonts w:asciiTheme="majorBidi" w:hAnsiTheme="majorBidi" w:cstheme="majorBidi"/>
          <w:sz w:val="24"/>
          <w:szCs w:val="24"/>
        </w:rPr>
        <w:t xml:space="preserve">alstybių konkrečių teismų, atmetant visų kitų teismų jurisdikciją. Susitarimas dėl teismingumo, kuriame nurodomi vienos iš </w:t>
      </w:r>
      <w:r w:rsidR="008C0B0F" w:rsidRPr="00034EDF">
        <w:rPr>
          <w:rFonts w:asciiTheme="majorBidi" w:hAnsiTheme="majorBidi" w:cstheme="majorBidi"/>
          <w:sz w:val="24"/>
          <w:szCs w:val="24"/>
        </w:rPr>
        <w:t>s</w:t>
      </w:r>
      <w:r w:rsidRPr="00034EDF">
        <w:rPr>
          <w:rFonts w:asciiTheme="majorBidi" w:hAnsiTheme="majorBidi" w:cstheme="majorBidi"/>
          <w:sz w:val="24"/>
          <w:szCs w:val="24"/>
        </w:rPr>
        <w:t xml:space="preserve">usitariančiųjų </w:t>
      </w:r>
      <w:r w:rsidR="008C0B0F" w:rsidRPr="00034EDF">
        <w:rPr>
          <w:rFonts w:asciiTheme="majorBidi" w:hAnsiTheme="majorBidi" w:cstheme="majorBidi"/>
          <w:sz w:val="24"/>
          <w:szCs w:val="24"/>
        </w:rPr>
        <w:t>v</w:t>
      </w:r>
      <w:r w:rsidRPr="00034EDF">
        <w:rPr>
          <w:rFonts w:asciiTheme="majorBidi" w:hAnsiTheme="majorBidi" w:cstheme="majorBidi"/>
          <w:sz w:val="24"/>
          <w:szCs w:val="24"/>
        </w:rPr>
        <w:t xml:space="preserve">alstybių teismai arba vienas ar daugiau vienos iš </w:t>
      </w:r>
      <w:r w:rsidR="008C0B0F" w:rsidRPr="00034EDF">
        <w:rPr>
          <w:rFonts w:asciiTheme="majorBidi" w:hAnsiTheme="majorBidi" w:cstheme="majorBidi"/>
          <w:sz w:val="24"/>
          <w:szCs w:val="24"/>
        </w:rPr>
        <w:t>s</w:t>
      </w:r>
      <w:r w:rsidRPr="00034EDF">
        <w:rPr>
          <w:rFonts w:asciiTheme="majorBidi" w:hAnsiTheme="majorBidi" w:cstheme="majorBidi"/>
          <w:sz w:val="24"/>
          <w:szCs w:val="24"/>
        </w:rPr>
        <w:t xml:space="preserve">usitariančiųjų </w:t>
      </w:r>
      <w:r w:rsidR="008C0B0F" w:rsidRPr="00034EDF">
        <w:rPr>
          <w:rFonts w:asciiTheme="majorBidi" w:hAnsiTheme="majorBidi" w:cstheme="majorBidi"/>
          <w:sz w:val="24"/>
          <w:szCs w:val="24"/>
        </w:rPr>
        <w:t>v</w:t>
      </w:r>
      <w:r w:rsidRPr="00034EDF">
        <w:rPr>
          <w:rFonts w:asciiTheme="majorBidi" w:hAnsiTheme="majorBidi" w:cstheme="majorBidi"/>
          <w:sz w:val="24"/>
          <w:szCs w:val="24"/>
        </w:rPr>
        <w:t>alstybių konkrečių teismų, yra laikomas susitarimu dėl išimtinio teismingumo, išskyrus atvejus, kai šalys aiškiai nurodo kitaip (Hagos konvencijos 3</w:t>
      </w:r>
      <w:r w:rsidR="008C0B0F" w:rsidRPr="00034EDF">
        <w:rPr>
          <w:rFonts w:asciiTheme="majorBidi" w:hAnsiTheme="majorBidi" w:cstheme="majorBidi"/>
          <w:sz w:val="24"/>
          <w:szCs w:val="24"/>
        </w:rPr>
        <w:t> </w:t>
      </w:r>
      <w:r w:rsidRPr="00034EDF">
        <w:rPr>
          <w:rFonts w:asciiTheme="majorBidi" w:hAnsiTheme="majorBidi" w:cstheme="majorBidi"/>
          <w:sz w:val="24"/>
          <w:szCs w:val="24"/>
        </w:rPr>
        <w:t>straipsnio b</w:t>
      </w:r>
      <w:r w:rsidR="008C0B0F" w:rsidRPr="00034EDF">
        <w:rPr>
          <w:rFonts w:asciiTheme="majorBidi" w:hAnsiTheme="majorBidi" w:cstheme="majorBidi"/>
          <w:sz w:val="24"/>
          <w:szCs w:val="24"/>
        </w:rPr>
        <w:t> </w:t>
      </w:r>
      <w:r w:rsidRPr="00034EDF">
        <w:rPr>
          <w:rFonts w:asciiTheme="majorBidi" w:hAnsiTheme="majorBidi" w:cstheme="majorBidi"/>
          <w:sz w:val="24"/>
          <w:szCs w:val="24"/>
        </w:rPr>
        <w:t>punktas). Pagal Hagos konvencijos 3 straipsnio c punktą</w:t>
      </w:r>
      <w:r w:rsidR="008C0B0F" w:rsidRPr="00034EDF">
        <w:rPr>
          <w:rFonts w:asciiTheme="majorBidi" w:hAnsiTheme="majorBidi" w:cstheme="majorBidi"/>
          <w:sz w:val="24"/>
          <w:szCs w:val="24"/>
        </w:rPr>
        <w:t>,</w:t>
      </w:r>
      <w:r w:rsidRPr="00034EDF">
        <w:rPr>
          <w:rFonts w:asciiTheme="majorBidi" w:hAnsiTheme="majorBidi" w:cstheme="majorBidi"/>
          <w:sz w:val="24"/>
          <w:szCs w:val="24"/>
        </w:rPr>
        <w:t xml:space="preserve"> susitarimas dėl išimtinio teismingumo turi būti sudarytas arba patvirtintas: i) raštu arba ii) kitomis ryšio priemonėmis, kurias panaudojus informacija tampa prieinama taip, kad ja galima vėliau pasinaudoti. </w:t>
      </w:r>
      <w:r w:rsidRPr="00034EDF">
        <w:rPr>
          <w:rFonts w:ascii="Times New Roman" w:hAnsi="Times New Roman"/>
          <w:sz w:val="24"/>
          <w:szCs w:val="24"/>
        </w:rPr>
        <w:t>Susitarimas dėl išimtinio teismingumo, kuris yra sutarties dalis, turi būti laikomas susitarimu, nepriklausomu nuo kitų sutarties sąlygų. Susitarimo dėl išimtinio teismingumo galiojimas negali būti ginčijamas remiantis vien tuo, kad sutartis negalioja (Hagos konvencijos 3 straipsnio d</w:t>
      </w:r>
      <w:r w:rsidR="008C0B0F" w:rsidRPr="00034EDF">
        <w:rPr>
          <w:rFonts w:ascii="Times New Roman" w:hAnsi="Times New Roman"/>
          <w:sz w:val="24"/>
          <w:szCs w:val="24"/>
        </w:rPr>
        <w:t> </w:t>
      </w:r>
      <w:r w:rsidRPr="00034EDF">
        <w:rPr>
          <w:rFonts w:ascii="Times New Roman" w:hAnsi="Times New Roman"/>
          <w:sz w:val="24"/>
          <w:szCs w:val="24"/>
        </w:rPr>
        <w:t>punktas).</w:t>
      </w:r>
    </w:p>
    <w:p w14:paraId="1450603A" w14:textId="4D8AB4F7" w:rsidR="006D3A4A" w:rsidRPr="00034EDF" w:rsidRDefault="006D3A4A" w:rsidP="006D3A4A">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034EDF">
        <w:rPr>
          <w:rFonts w:ascii="Times New Roman" w:hAnsi="Times New Roman"/>
          <w:sz w:val="24"/>
          <w:szCs w:val="24"/>
        </w:rPr>
        <w:t xml:space="preserve">Remiantis Hagos konvencijos 5 straipsnio 1 dalimi, </w:t>
      </w:r>
      <w:r w:rsidR="008C0B0F" w:rsidRPr="00034EDF">
        <w:rPr>
          <w:rFonts w:ascii="Times New Roman" w:hAnsi="Times New Roman"/>
          <w:sz w:val="24"/>
          <w:szCs w:val="24"/>
        </w:rPr>
        <w:t>s</w:t>
      </w:r>
      <w:r w:rsidRPr="00034EDF">
        <w:rPr>
          <w:rFonts w:ascii="Times New Roman" w:hAnsi="Times New Roman"/>
          <w:sz w:val="24"/>
          <w:szCs w:val="24"/>
        </w:rPr>
        <w:t xml:space="preserve">usitariančiosios </w:t>
      </w:r>
      <w:r w:rsidR="008C0B0F" w:rsidRPr="00034EDF">
        <w:rPr>
          <w:rFonts w:ascii="Times New Roman" w:hAnsi="Times New Roman"/>
          <w:sz w:val="24"/>
          <w:szCs w:val="24"/>
        </w:rPr>
        <w:t>v</w:t>
      </w:r>
      <w:r w:rsidRPr="00034EDF">
        <w:rPr>
          <w:rFonts w:ascii="Times New Roman" w:hAnsi="Times New Roman"/>
          <w:sz w:val="24"/>
          <w:szCs w:val="24"/>
        </w:rPr>
        <w:t>alstybės teismas arba teismai, nurodyti susitarime dėl išimtinio teismingumo, turi jurisdikciją spręsti ginčą, kuriam taikomas susitarimas, išskyrus atvejus, kai susitarimas yra niekinis pagal tos valstybės teisę. Jurisdikciją turintis teismas negali atsisakyti įgyvendinti jurisdikcijos remdamasis tuo, kad ginčą turėtų spręsti kitos valstybės teismas (Hagos konvencijos 5 straipsnio 2 dalis).</w:t>
      </w:r>
    </w:p>
    <w:p w14:paraId="44428A41" w14:textId="6FFB5585" w:rsidR="006D3A4A" w:rsidRPr="00034EDF" w:rsidRDefault="006D3A4A" w:rsidP="006D3A4A">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034EDF">
        <w:rPr>
          <w:rFonts w:ascii="Times New Roman" w:hAnsi="Times New Roman"/>
          <w:sz w:val="24"/>
          <w:szCs w:val="24"/>
        </w:rPr>
        <w:t xml:space="preserve">Hagos konvencijos 6 straipsnyje reglamentuojamos teismo, kurio šalys nepasirinko, pareigos. Susitariančiosios </w:t>
      </w:r>
      <w:r w:rsidR="00A35E20" w:rsidRPr="00034EDF">
        <w:rPr>
          <w:rFonts w:ascii="Times New Roman" w:hAnsi="Times New Roman"/>
          <w:sz w:val="24"/>
          <w:szCs w:val="24"/>
        </w:rPr>
        <w:t>v</w:t>
      </w:r>
      <w:r w:rsidRPr="00034EDF">
        <w:rPr>
          <w:rFonts w:ascii="Times New Roman" w:hAnsi="Times New Roman"/>
          <w:sz w:val="24"/>
          <w:szCs w:val="24"/>
        </w:rPr>
        <w:t xml:space="preserve">alstybės teismas, kuris nėra pasirinktas teismas, sustabdo arba nutraukia bylą, kurioje taikomas susitarimas dėl išimtinio teismingumo, išskyrus atvejus, kai: a) susitarimas pagal </w:t>
      </w:r>
      <w:r w:rsidRPr="00034EDF">
        <w:rPr>
          <w:rFonts w:ascii="Times New Roman" w:hAnsi="Times New Roman"/>
          <w:sz w:val="24"/>
          <w:szCs w:val="24"/>
        </w:rPr>
        <w:lastRenderedPageBreak/>
        <w:t>pasirinkto teismo valstybės teisę yra niekinis; b) šalis pagal teismo, į kurį kreiptasi, valstybės teisę neturėjo veiksnumo sudaryti susitarimą; c) susitarimo įgyvendinimas akivaizdžiai prieštarautų teisingumui arba akivaizdžiai prieštarautų teismo, į kurį kreiptasi, valstybės viešajai tvarkai; d)</w:t>
      </w:r>
      <w:r w:rsidR="009167A2" w:rsidRPr="00034EDF">
        <w:rPr>
          <w:rFonts w:ascii="Times New Roman" w:hAnsi="Times New Roman"/>
          <w:sz w:val="24"/>
          <w:szCs w:val="24"/>
        </w:rPr>
        <w:t> </w:t>
      </w:r>
      <w:r w:rsidRPr="00034EDF">
        <w:rPr>
          <w:rFonts w:ascii="Times New Roman" w:hAnsi="Times New Roman"/>
          <w:sz w:val="24"/>
          <w:szCs w:val="24"/>
        </w:rPr>
        <w:t>dėl išimtinių priežasčių, nepriklausančių nuo šalių valios, susitarimas negali būti protingai įvykdytas; arba e) pasirinktas teismas nusprendė nenagrinėti bylos.</w:t>
      </w:r>
    </w:p>
    <w:p w14:paraId="2D765EA4" w14:textId="24D2E4E0" w:rsidR="00C57ED4" w:rsidRPr="00034EDF" w:rsidRDefault="00C57ED4" w:rsidP="00C57ED4">
      <w:pPr>
        <w:pStyle w:val="Sraopastraipa"/>
        <w:numPr>
          <w:ilvl w:val="0"/>
          <w:numId w:val="3"/>
        </w:numPr>
        <w:spacing w:after="120" w:line="240" w:lineRule="auto"/>
        <w:contextualSpacing w:val="0"/>
        <w:jc w:val="both"/>
        <w:rPr>
          <w:rFonts w:ascii="Times New Roman" w:hAnsi="Times New Roman"/>
          <w:iCs/>
          <w:sz w:val="24"/>
          <w:szCs w:val="24"/>
        </w:rPr>
      </w:pPr>
      <w:r w:rsidRPr="00034EDF">
        <w:rPr>
          <w:rFonts w:ascii="Times New Roman" w:hAnsi="Times New Roman"/>
          <w:iCs/>
          <w:sz w:val="24"/>
          <w:szCs w:val="24"/>
        </w:rPr>
        <w:t>Jurisdikcinio susitarimo prigimtis, minėta, yra sutartinio pobūdžio; sutarties laisvės principas įprastai yra ribojamas imperatyviųjų teisės normų – tais atvejais, kai susitarimas dėl jurisdikcijos prieštarauja valstybės, kurioje turi būti nagrinėjamas ginčas, teisei, susitarimas gali būti pripažintas negaliojančiu. Nesant šių aplinkybių</w:t>
      </w:r>
      <w:r w:rsidR="005F60F5" w:rsidRPr="00034EDF">
        <w:rPr>
          <w:rFonts w:ascii="Times New Roman" w:hAnsi="Times New Roman"/>
          <w:iCs/>
          <w:sz w:val="24"/>
          <w:szCs w:val="24"/>
        </w:rPr>
        <w:t>,</w:t>
      </w:r>
      <w:r w:rsidRPr="00034EDF">
        <w:rPr>
          <w:rFonts w:ascii="Times New Roman" w:hAnsi="Times New Roman"/>
          <w:iCs/>
          <w:sz w:val="24"/>
          <w:szCs w:val="24"/>
        </w:rPr>
        <w:t xml:space="preserve"> šalių valia, išreikšta jurisdikciniame susitarime, turi būti gerbiama ir vykdoma. Atitinkamai šaliai, kuri remiasi jurisdikciniu susitarimu, prašydama šalis nukreipti į susitarime nurodytą teismą, priešingai nei teigiama kasaciniame skunde, užtenka įrodyti tik jurisdikcinio susitarimo egzistavimo faktą ir nėra reikalinga įrodyti šalių ginčo sąsają su susitarime nurodyta valstybe. Būtent šalis, siekianti ginčą nagrinėti kitame nei išimtiniame susitarime dėl jurisdikcijos nurodytame teisme, turi įrodinėti šio susitarimo negaliojimą.</w:t>
      </w:r>
    </w:p>
    <w:p w14:paraId="3119882E" w14:textId="272F8E60" w:rsidR="00C57ED4" w:rsidRPr="00034EDF" w:rsidRDefault="00C57ED4" w:rsidP="00C57ED4">
      <w:pPr>
        <w:pStyle w:val="Sraopastraipa"/>
        <w:numPr>
          <w:ilvl w:val="0"/>
          <w:numId w:val="3"/>
        </w:numPr>
        <w:spacing w:after="120" w:line="240" w:lineRule="auto"/>
        <w:contextualSpacing w:val="0"/>
        <w:jc w:val="both"/>
        <w:rPr>
          <w:rFonts w:ascii="Times New Roman" w:hAnsi="Times New Roman"/>
          <w:iCs/>
          <w:sz w:val="24"/>
          <w:szCs w:val="24"/>
        </w:rPr>
      </w:pPr>
      <w:r w:rsidRPr="00034EDF">
        <w:rPr>
          <w:rFonts w:ascii="Times New Roman" w:hAnsi="Times New Roman"/>
          <w:iCs/>
          <w:sz w:val="24"/>
          <w:szCs w:val="24"/>
        </w:rPr>
        <w:t xml:space="preserve">Atkreiptinas dėmesys, kad kai kurios valstybės pripažįsta </w:t>
      </w:r>
      <w:r w:rsidRPr="00034EDF">
        <w:rPr>
          <w:rFonts w:ascii="Times New Roman" w:hAnsi="Times New Roman"/>
          <w:i/>
          <w:sz w:val="24"/>
          <w:szCs w:val="24"/>
        </w:rPr>
        <w:t>forum non conveniens</w:t>
      </w:r>
      <w:r w:rsidRPr="00034EDF">
        <w:rPr>
          <w:rFonts w:ascii="Times New Roman" w:hAnsi="Times New Roman"/>
          <w:iCs/>
          <w:sz w:val="24"/>
          <w:szCs w:val="24"/>
        </w:rPr>
        <w:t xml:space="preserve"> doktrinos taikymą, kuri iš esmės leidžia teismui, kai byla nepriklauso šio teismo išimtinei jurisdikcijai, o yra teisminga ir kitam teismui, atsisakyti jurisdikcijos dėl to, kad ginčo nagrinėjimas kitame jurisdikciją turinčiame teisme, atsižvelgiant į ginčo nagrinėjimui svarbias aplinkybes (pavyzdžiui, daugumos įrodymų, liudytojų buvimo vietą, žalos padarymo vietą ir kt. aplinkybes), būtų patogesnis. Tais atvejais, kai jurisdikciniu susitarimu šalys susitaria dėl tokios valstybės teismų jurisdikcijos, kuri pripažįsta </w:t>
      </w:r>
      <w:r w:rsidRPr="00034EDF">
        <w:rPr>
          <w:rFonts w:ascii="Times New Roman" w:hAnsi="Times New Roman"/>
          <w:i/>
          <w:sz w:val="24"/>
          <w:szCs w:val="24"/>
        </w:rPr>
        <w:t>forum non conveniens</w:t>
      </w:r>
      <w:r w:rsidRPr="00034EDF">
        <w:rPr>
          <w:rFonts w:ascii="Times New Roman" w:hAnsi="Times New Roman"/>
          <w:iCs/>
          <w:sz w:val="24"/>
          <w:szCs w:val="24"/>
        </w:rPr>
        <w:t xml:space="preserve"> taikymą ir ginčas nėra susijęs su ta valstybe, gali susiklostyti situacijos, kai šalių susitarimas nebus vykdomas dėl to, kad susitarime nustatytas teismas atsisakys jurisdikcijos remdamasis aptariama doktrina. Vis dėlto </w:t>
      </w:r>
      <w:r w:rsidRPr="00034EDF">
        <w:rPr>
          <w:rFonts w:ascii="Times New Roman" w:hAnsi="Times New Roman"/>
          <w:i/>
          <w:sz w:val="24"/>
          <w:szCs w:val="24"/>
        </w:rPr>
        <w:t>forum non conveniens</w:t>
      </w:r>
      <w:r w:rsidRPr="00034EDF">
        <w:rPr>
          <w:rFonts w:ascii="Times New Roman" w:hAnsi="Times New Roman"/>
          <w:iCs/>
          <w:sz w:val="24"/>
          <w:szCs w:val="24"/>
        </w:rPr>
        <w:t xml:space="preserve"> doktrina taikoma būtent jurisdikciją turinčiame teisme</w:t>
      </w:r>
      <w:r w:rsidR="005F60F5" w:rsidRPr="00034EDF">
        <w:rPr>
          <w:rFonts w:ascii="Times New Roman" w:hAnsi="Times New Roman"/>
          <w:iCs/>
          <w:sz w:val="24"/>
          <w:szCs w:val="24"/>
        </w:rPr>
        <w:t>,</w:t>
      </w:r>
      <w:r w:rsidRPr="00034EDF">
        <w:rPr>
          <w:rFonts w:ascii="Times New Roman" w:hAnsi="Times New Roman"/>
          <w:iCs/>
          <w:sz w:val="24"/>
          <w:szCs w:val="24"/>
        </w:rPr>
        <w:t xml:space="preserve"> šiam teismui atsisakant jurisdikcijos aptariamos doktrinos pagrindu. Tuo tarpu ieškovė siekia, kad remdamiesi šia doktrina Lietuvos teismai konstatuotų Anglijos teismus neturint jurisdikcijos nagrinėti ginčą ir atitinkamai prisiimtų jurisdikciją. Teisėjų kolegija sutinka su atsiliepimo į kasacinį skundą argumentais, kad tokia ieškovės pozicija yra nepagrįsta, nes </w:t>
      </w:r>
      <w:r w:rsidRPr="00034EDF">
        <w:rPr>
          <w:rFonts w:ascii="Times New Roman" w:hAnsi="Times New Roman"/>
          <w:i/>
          <w:sz w:val="24"/>
          <w:szCs w:val="24"/>
        </w:rPr>
        <w:t>forum non conveniens</w:t>
      </w:r>
      <w:r w:rsidRPr="00034EDF">
        <w:rPr>
          <w:rFonts w:ascii="Times New Roman" w:hAnsi="Times New Roman"/>
          <w:iCs/>
          <w:sz w:val="24"/>
          <w:szCs w:val="24"/>
        </w:rPr>
        <w:t xml:space="preserve"> doktrinos taikymo ieškovė turėtų prašyti būtent išimtinio pobūdžio susitarime dėl jurisdikcijos nurodytame teisme, t. y. Anglijos teism</w:t>
      </w:r>
      <w:r w:rsidR="0044647F" w:rsidRPr="00034EDF">
        <w:rPr>
          <w:rFonts w:ascii="Times New Roman" w:hAnsi="Times New Roman"/>
          <w:iCs/>
          <w:sz w:val="24"/>
          <w:szCs w:val="24"/>
        </w:rPr>
        <w:t>e</w:t>
      </w:r>
      <w:r w:rsidRPr="00034EDF">
        <w:rPr>
          <w:rFonts w:ascii="Times New Roman" w:hAnsi="Times New Roman"/>
          <w:iCs/>
          <w:sz w:val="24"/>
          <w:szCs w:val="24"/>
        </w:rPr>
        <w:t>.</w:t>
      </w:r>
    </w:p>
    <w:p w14:paraId="3CB698F3" w14:textId="6B75E405" w:rsidR="00C57ED4" w:rsidRPr="00034EDF" w:rsidRDefault="00C57ED4" w:rsidP="00C57ED4">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034EDF">
        <w:rPr>
          <w:rFonts w:ascii="Times New Roman" w:hAnsi="Times New Roman"/>
          <w:iCs/>
          <w:sz w:val="24"/>
          <w:szCs w:val="24"/>
        </w:rPr>
        <w:t xml:space="preserve">Be kita ko, Sutarties 37 punkte šalys ne tik susitarė dėl išimtinės Anglijos teismų jurisdikcijos spręsti tarpusavio ginčus, bet ir nurodė, kad atsisako remtis </w:t>
      </w:r>
      <w:r w:rsidRPr="00034EDF">
        <w:rPr>
          <w:rFonts w:ascii="Times New Roman" w:hAnsi="Times New Roman"/>
          <w:i/>
          <w:sz w:val="24"/>
          <w:szCs w:val="24"/>
        </w:rPr>
        <w:t>forum non conveniens</w:t>
      </w:r>
      <w:r w:rsidRPr="00034EDF">
        <w:rPr>
          <w:rFonts w:ascii="Times New Roman" w:hAnsi="Times New Roman"/>
          <w:iCs/>
          <w:sz w:val="24"/>
          <w:szCs w:val="24"/>
        </w:rPr>
        <w:t xml:space="preserve"> doktrina. Toks šalių susitarimas iš esmės atitinka Hagos konvencijos dėl susitarimų dėl teismingumo reglamentavimą, draudžiantį jurisdikciją turinčiam teismui atsisakyti įgyvendinti jurisdikcinį susitarimą, remiantis tuo, kad ginčą turėtų spręsti kitos valstybės teismas, nebent valstybė konvencijos dalyvė yra pateikusi deklaraciją pagal </w:t>
      </w:r>
      <w:r w:rsidR="00D71E77" w:rsidRPr="00034EDF">
        <w:rPr>
          <w:rFonts w:ascii="Times New Roman" w:hAnsi="Times New Roman"/>
          <w:iCs/>
          <w:sz w:val="24"/>
          <w:szCs w:val="24"/>
        </w:rPr>
        <w:t>K</w:t>
      </w:r>
      <w:r w:rsidRPr="00034EDF">
        <w:rPr>
          <w:rFonts w:ascii="Times New Roman" w:hAnsi="Times New Roman"/>
          <w:iCs/>
          <w:sz w:val="24"/>
          <w:szCs w:val="24"/>
        </w:rPr>
        <w:t>onvencijos 19 straipsnį (Hagos konvencijos 5 straipsnio 2 dalis, 19 straipsnis; Hagos tarptautinės privatinės teisės konferencijos 2005 m. birželio 30 d. Hagos konvencijos dėl susitarimų dėl teismingumo aiškinamasis raštas, 132–134</w:t>
      </w:r>
      <w:r w:rsidR="00A35E20" w:rsidRPr="00034EDF">
        <w:rPr>
          <w:rFonts w:ascii="Times New Roman" w:hAnsi="Times New Roman"/>
          <w:iCs/>
          <w:sz w:val="24"/>
          <w:szCs w:val="24"/>
        </w:rPr>
        <w:t> </w:t>
      </w:r>
      <w:r w:rsidRPr="00034EDF">
        <w:rPr>
          <w:rFonts w:ascii="Times New Roman" w:hAnsi="Times New Roman"/>
          <w:iCs/>
          <w:sz w:val="24"/>
          <w:szCs w:val="24"/>
        </w:rPr>
        <w:t xml:space="preserve">punktai, p. 38–39). Ieškovės pateiktas aiškinimas, kad toks šalių susitarimas reiškia teisės kreiptis į teismą atsisakymą, todėl negalioja (CPK 5 straipsnio 2 dalis), yra teisiškai nepagrįstas, nes, minėta, šalys gali susitarti dėl išimtinę jurisdikciją nagrinėti ginčą turinčio teismo, net jei tas teismas ir nėra susijęs su ginčo teisiniais santykiais, jei toks susitarimas neprieštarauja tos valstybės teisei, o šalių susitarimas nesiremti </w:t>
      </w:r>
      <w:r w:rsidRPr="00034EDF">
        <w:rPr>
          <w:rFonts w:ascii="Times New Roman" w:hAnsi="Times New Roman"/>
          <w:i/>
          <w:sz w:val="24"/>
          <w:szCs w:val="24"/>
        </w:rPr>
        <w:t>forum non conveniens</w:t>
      </w:r>
      <w:r w:rsidRPr="00034EDF">
        <w:rPr>
          <w:rFonts w:ascii="Times New Roman" w:hAnsi="Times New Roman"/>
          <w:iCs/>
          <w:sz w:val="24"/>
          <w:szCs w:val="24"/>
        </w:rPr>
        <w:t xml:space="preserve"> doktrina iš esmės atitinka Hagos konvencijos, kurios dalyvės yra tiek Lietuva, tiek Jungtinė Karalystė, reglamentavimą.</w:t>
      </w:r>
    </w:p>
    <w:p w14:paraId="232D5BB6" w14:textId="17118AE8" w:rsidR="006D3A4A" w:rsidRPr="00034EDF" w:rsidRDefault="006D3A4A" w:rsidP="006D3A4A">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034EDF">
        <w:rPr>
          <w:rFonts w:ascii="Times New Roman" w:hAnsi="Times New Roman"/>
          <w:sz w:val="24"/>
          <w:szCs w:val="24"/>
        </w:rPr>
        <w:t xml:space="preserve">Ieškovė </w:t>
      </w:r>
      <w:r w:rsidR="00C57ED4" w:rsidRPr="00034EDF">
        <w:rPr>
          <w:rFonts w:ascii="Times New Roman" w:hAnsi="Times New Roman"/>
          <w:sz w:val="24"/>
          <w:szCs w:val="24"/>
        </w:rPr>
        <w:t xml:space="preserve">pateiktuose rašytiniuose paaiškinimuose </w:t>
      </w:r>
      <w:r w:rsidRPr="00034EDF">
        <w:rPr>
          <w:rFonts w:ascii="Times New Roman" w:hAnsi="Times New Roman"/>
          <w:sz w:val="24"/>
          <w:szCs w:val="24"/>
        </w:rPr>
        <w:t xml:space="preserve">teigia, kad </w:t>
      </w:r>
      <w:r w:rsidR="009167A2" w:rsidRPr="00034EDF">
        <w:rPr>
          <w:rFonts w:ascii="Times New Roman" w:hAnsi="Times New Roman"/>
          <w:sz w:val="24"/>
          <w:szCs w:val="24"/>
        </w:rPr>
        <w:t>tuo atveju, jeigu teismas nuspręst</w:t>
      </w:r>
      <w:r w:rsidR="0044647F" w:rsidRPr="00034EDF">
        <w:rPr>
          <w:rFonts w:ascii="Times New Roman" w:hAnsi="Times New Roman"/>
          <w:sz w:val="24"/>
          <w:szCs w:val="24"/>
        </w:rPr>
        <w:t>ų</w:t>
      </w:r>
      <w:r w:rsidR="009167A2" w:rsidRPr="00034EDF">
        <w:rPr>
          <w:rFonts w:ascii="Times New Roman" w:hAnsi="Times New Roman"/>
          <w:sz w:val="24"/>
          <w:szCs w:val="24"/>
        </w:rPr>
        <w:t>, jo</w:t>
      </w:r>
      <w:r w:rsidR="00A35E20" w:rsidRPr="00034EDF">
        <w:rPr>
          <w:rFonts w:ascii="Times New Roman" w:hAnsi="Times New Roman"/>
          <w:sz w:val="24"/>
          <w:szCs w:val="24"/>
        </w:rPr>
        <w:t>g</w:t>
      </w:r>
      <w:r w:rsidR="009167A2" w:rsidRPr="00034EDF">
        <w:rPr>
          <w:rFonts w:ascii="Times New Roman" w:hAnsi="Times New Roman"/>
          <w:sz w:val="24"/>
          <w:szCs w:val="24"/>
        </w:rPr>
        <w:t xml:space="preserve"> Hagos konvencija taikytina nagrinėjamam ginčui, egzistuoja šios konvencijos 6 straipsnio c</w:t>
      </w:r>
      <w:r w:rsidR="00C57ED4" w:rsidRPr="00034EDF">
        <w:rPr>
          <w:rFonts w:ascii="Times New Roman" w:hAnsi="Times New Roman"/>
          <w:sz w:val="24"/>
          <w:szCs w:val="24"/>
        </w:rPr>
        <w:t> </w:t>
      </w:r>
      <w:r w:rsidR="009167A2" w:rsidRPr="00034EDF">
        <w:rPr>
          <w:rFonts w:ascii="Times New Roman" w:hAnsi="Times New Roman"/>
          <w:sz w:val="24"/>
          <w:szCs w:val="24"/>
        </w:rPr>
        <w:t>punkte nustatyta išimtis.</w:t>
      </w:r>
    </w:p>
    <w:p w14:paraId="59BFA19E" w14:textId="1BBE19C6" w:rsidR="009167A2" w:rsidRPr="00034EDF" w:rsidRDefault="009167A2" w:rsidP="009167A2">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034EDF">
        <w:rPr>
          <w:rFonts w:ascii="Times New Roman" w:hAnsi="Times New Roman"/>
          <w:sz w:val="24"/>
          <w:szCs w:val="24"/>
        </w:rPr>
        <w:t xml:space="preserve">Hagos konvencijos 6 straipsnio c punkto pagrindu </w:t>
      </w:r>
      <w:r w:rsidR="00A35E20" w:rsidRPr="00034EDF">
        <w:rPr>
          <w:rFonts w:ascii="Times New Roman" w:hAnsi="Times New Roman"/>
          <w:sz w:val="24"/>
          <w:szCs w:val="24"/>
        </w:rPr>
        <w:t>s</w:t>
      </w:r>
      <w:r w:rsidRPr="00034EDF">
        <w:rPr>
          <w:rFonts w:ascii="Times New Roman" w:hAnsi="Times New Roman"/>
          <w:sz w:val="24"/>
          <w:szCs w:val="24"/>
        </w:rPr>
        <w:t>usitariančios</w:t>
      </w:r>
      <w:r w:rsidR="00A35E20" w:rsidRPr="00034EDF">
        <w:rPr>
          <w:rFonts w:ascii="Times New Roman" w:hAnsi="Times New Roman"/>
          <w:sz w:val="24"/>
          <w:szCs w:val="24"/>
        </w:rPr>
        <w:t>ios</w:t>
      </w:r>
      <w:r w:rsidRPr="00034EDF">
        <w:rPr>
          <w:rFonts w:ascii="Times New Roman" w:hAnsi="Times New Roman"/>
          <w:sz w:val="24"/>
          <w:szCs w:val="24"/>
        </w:rPr>
        <w:t xml:space="preserve"> </w:t>
      </w:r>
      <w:r w:rsidR="00A35E20" w:rsidRPr="00034EDF">
        <w:rPr>
          <w:rFonts w:ascii="Times New Roman" w:hAnsi="Times New Roman"/>
          <w:sz w:val="24"/>
          <w:szCs w:val="24"/>
        </w:rPr>
        <w:t>v</w:t>
      </w:r>
      <w:r w:rsidRPr="00034EDF">
        <w:rPr>
          <w:rFonts w:ascii="Times New Roman" w:hAnsi="Times New Roman"/>
          <w:sz w:val="24"/>
          <w:szCs w:val="24"/>
        </w:rPr>
        <w:t>alstybės teismas, kuris nėra pasirinktas teismas, gali nesivadovauti šalių sudaryt</w:t>
      </w:r>
      <w:r w:rsidR="00D71E77" w:rsidRPr="00034EDF">
        <w:rPr>
          <w:rFonts w:ascii="Times New Roman" w:hAnsi="Times New Roman"/>
          <w:sz w:val="24"/>
          <w:szCs w:val="24"/>
        </w:rPr>
        <w:t>u</w:t>
      </w:r>
      <w:r w:rsidRPr="00034EDF">
        <w:rPr>
          <w:rFonts w:ascii="Times New Roman" w:hAnsi="Times New Roman"/>
          <w:sz w:val="24"/>
          <w:szCs w:val="24"/>
        </w:rPr>
        <w:t xml:space="preserve"> susitarimu dėl jurisdikcijos, jeigu susitarimo </w:t>
      </w:r>
      <w:r w:rsidRPr="00034EDF">
        <w:rPr>
          <w:rFonts w:ascii="Times New Roman" w:hAnsi="Times New Roman"/>
          <w:sz w:val="24"/>
          <w:szCs w:val="24"/>
        </w:rPr>
        <w:lastRenderedPageBreak/>
        <w:t>įgyvendinimas akivaizdžiai prieštarautų teisingumui arba akivaizdžiai prieštarautų teismo, į kurį kreiptasi, valstybės viešajai tvarkai. Hagos tarptautinės privatinės teisės konferencijos parengtame 2005 m. birželio 30 d. Konvencijos dėl susitarimų dėl teismingumo aiškinamajame pranešime nurodoma, kad šios konvencijos 6 straipsnio c punkte nustatytų žodžių junginio „akivaizdžiai prieštarautų teismo, į kurį kreiptasi, valstybės viešajai tvarkai“ paskirtis – nustatyti aukštą ribą. Ji reiškia pagrindines tos valstybės normas arba principus; ja neleidžiama teismui, į kurį kreipiamasi, nagrinėti bylos vien todėl, kad pasirinktas teismas gali tam tikru techniniu būdu pažeisti teismo, į kurį kreipiamasi, valstybės privalomą taisyklę. Kaip ir akivaizdaus prieštaravimo teisingumui atveju, laikomasi gana griežto standarto: nuostata neleidžiama teismui nepaisyti susitarimo dėl teismingumo vien todėl, kad jis nebūtų privalomas pagal vidaus teisę.</w:t>
      </w:r>
    </w:p>
    <w:p w14:paraId="0441F6C6" w14:textId="1FDD68D4" w:rsidR="00C57ED4" w:rsidRPr="00034EDF" w:rsidRDefault="009167A2" w:rsidP="0044647F">
      <w:pPr>
        <w:pStyle w:val="Sraopastraipa"/>
        <w:numPr>
          <w:ilvl w:val="0"/>
          <w:numId w:val="3"/>
        </w:numPr>
        <w:shd w:val="clear" w:color="auto" w:fill="FFFFFF"/>
        <w:spacing w:after="120" w:line="240" w:lineRule="auto"/>
        <w:contextualSpacing w:val="0"/>
        <w:jc w:val="both"/>
        <w:rPr>
          <w:rFonts w:asciiTheme="majorBidi" w:hAnsiTheme="majorBidi" w:cstheme="majorBidi"/>
          <w:sz w:val="24"/>
          <w:szCs w:val="24"/>
        </w:rPr>
      </w:pPr>
      <w:r w:rsidRPr="00034EDF">
        <w:rPr>
          <w:rFonts w:asciiTheme="majorBidi" w:hAnsiTheme="majorBidi" w:cstheme="majorBidi"/>
          <w:sz w:val="24"/>
          <w:szCs w:val="24"/>
        </w:rPr>
        <w:t>Aplinkybė, kad tiek ieškovė, tiek ir atsakovė yra licencijuotos elektroninių pinigų įstaigos, kurių veiklos priežiūrą atlieka Lietuvos bankas, o šių subjektų veikla – elektroninių pinigų leidimas ir mokėjimo paslaugų teikimas – yra griežtai reglamentuojama Lietuvos Respublikos viešosios teisės akt</w:t>
      </w:r>
      <w:r w:rsidR="00A35E20" w:rsidRPr="00034EDF">
        <w:rPr>
          <w:rFonts w:asciiTheme="majorBidi" w:hAnsiTheme="majorBidi" w:cstheme="majorBidi"/>
          <w:sz w:val="24"/>
          <w:szCs w:val="24"/>
        </w:rPr>
        <w:t>ų</w:t>
      </w:r>
      <w:r w:rsidRPr="00034EDF">
        <w:rPr>
          <w:rFonts w:asciiTheme="majorBidi" w:hAnsiTheme="majorBidi" w:cstheme="majorBidi"/>
          <w:sz w:val="24"/>
          <w:szCs w:val="24"/>
        </w:rPr>
        <w:t>, šiuo atveju nesudaro pagrindo remtis Hagos konvencijos 6 straipsnio c punkte nustatyta išimtimi</w:t>
      </w:r>
      <w:r w:rsidR="00C57ED4" w:rsidRPr="00034EDF">
        <w:rPr>
          <w:rFonts w:asciiTheme="majorBidi" w:hAnsiTheme="majorBidi" w:cstheme="majorBidi"/>
          <w:sz w:val="24"/>
          <w:szCs w:val="24"/>
        </w:rPr>
        <w:t xml:space="preserve">. </w:t>
      </w:r>
      <w:r w:rsidR="00C57ED4" w:rsidRPr="00034EDF">
        <w:rPr>
          <w:rFonts w:asciiTheme="majorBidi" w:hAnsiTheme="majorBidi" w:cstheme="majorBidi"/>
          <w:iCs/>
          <w:sz w:val="24"/>
          <w:szCs w:val="24"/>
        </w:rPr>
        <w:t>Vien tai, kad ginčo šalių veiklą prižiūri Lietuvos bankas, nereiškia savaiminės ginčo sąsajos su Lietuvos Respublikos viešuoju interesu. Šalių ginčas yra išimtinai komercinio pobūdžio, o byloje nenustatyta faktinių aplinkybių, patvirtinančių ginčo įtaką Lietuvos viešajam gyvenimui, svarbiausioms visuomeninėms vertybėms, didelės visuomenės narių grupės teisėms ar pareigoms ir (ar) kt.</w:t>
      </w:r>
    </w:p>
    <w:p w14:paraId="28EBCD73" w14:textId="61673877" w:rsidR="00C57ED4" w:rsidRPr="00034EDF" w:rsidRDefault="00C57ED4" w:rsidP="0044647F">
      <w:pPr>
        <w:pStyle w:val="Sraopastraipa"/>
        <w:numPr>
          <w:ilvl w:val="0"/>
          <w:numId w:val="3"/>
        </w:numPr>
        <w:shd w:val="clear" w:color="auto" w:fill="FFFFFF"/>
        <w:spacing w:after="120" w:line="240" w:lineRule="auto"/>
        <w:contextualSpacing w:val="0"/>
        <w:jc w:val="both"/>
        <w:rPr>
          <w:rFonts w:asciiTheme="majorBidi" w:hAnsiTheme="majorBidi" w:cstheme="majorBidi"/>
          <w:sz w:val="24"/>
          <w:szCs w:val="24"/>
        </w:rPr>
      </w:pPr>
      <w:r w:rsidRPr="00034EDF">
        <w:rPr>
          <w:rFonts w:asciiTheme="majorBidi" w:hAnsiTheme="majorBidi" w:cstheme="majorBidi"/>
          <w:sz w:val="24"/>
          <w:szCs w:val="24"/>
        </w:rPr>
        <w:t xml:space="preserve">Atmestini kaip nepagrįsti ir ieškovės argumentai, kad ginčo nagrinėjimas Anglijos teismuose sukeltų nepagrįstų nepatogumų ne tik dėl kalbos barjero, teisinių sistemų skirtumų, bet ir dėl įrodymų rinkimo sudėtingumo. </w:t>
      </w:r>
      <w:r w:rsidR="0044647F" w:rsidRPr="00034EDF">
        <w:rPr>
          <w:rFonts w:asciiTheme="majorBidi" w:hAnsiTheme="majorBidi" w:cstheme="majorBidi"/>
          <w:iCs/>
          <w:sz w:val="24"/>
          <w:szCs w:val="24"/>
        </w:rPr>
        <w:t xml:space="preserve">Atkreiptinas dėmesys ir į tai, kad ginčo </w:t>
      </w:r>
      <w:r w:rsidR="008B53A5" w:rsidRPr="00034EDF">
        <w:rPr>
          <w:rFonts w:asciiTheme="majorBidi" w:hAnsiTheme="majorBidi" w:cstheme="majorBidi"/>
          <w:iCs/>
          <w:sz w:val="24"/>
          <w:szCs w:val="24"/>
        </w:rPr>
        <w:t>s</w:t>
      </w:r>
      <w:r w:rsidR="0044647F" w:rsidRPr="00034EDF">
        <w:rPr>
          <w:rFonts w:asciiTheme="majorBidi" w:hAnsiTheme="majorBidi" w:cstheme="majorBidi"/>
          <w:iCs/>
          <w:sz w:val="24"/>
          <w:szCs w:val="24"/>
        </w:rPr>
        <w:t>utartis yra trišalė ir susijusi su Anglijoje registruotos bendrovės „Contis Financial Services Limited“ teisėmis ir pareigomis, šalių teisinius santykius reglamentuoja Anglijos teisė, o</w:t>
      </w:r>
      <w:r w:rsidR="0004779B" w:rsidRPr="00034EDF">
        <w:rPr>
          <w:rFonts w:asciiTheme="majorBidi" w:hAnsiTheme="majorBidi" w:cstheme="majorBidi"/>
          <w:iCs/>
          <w:sz w:val="24"/>
          <w:szCs w:val="24"/>
        </w:rPr>
        <w:t xml:space="preserve"> pačių</w:t>
      </w:r>
      <w:r w:rsidR="0044647F" w:rsidRPr="00034EDF">
        <w:rPr>
          <w:rFonts w:asciiTheme="majorBidi" w:hAnsiTheme="majorBidi" w:cstheme="majorBidi"/>
          <w:iCs/>
          <w:sz w:val="24"/>
          <w:szCs w:val="24"/>
        </w:rPr>
        <w:t xml:space="preserve"> šalių </w:t>
      </w:r>
      <w:r w:rsidR="0004779B" w:rsidRPr="00034EDF">
        <w:rPr>
          <w:rFonts w:asciiTheme="majorBidi" w:hAnsiTheme="majorBidi" w:cstheme="majorBidi"/>
          <w:iCs/>
          <w:sz w:val="24"/>
          <w:szCs w:val="24"/>
        </w:rPr>
        <w:t xml:space="preserve">pasirinkta </w:t>
      </w:r>
      <w:r w:rsidR="0044647F" w:rsidRPr="00034EDF">
        <w:rPr>
          <w:rFonts w:asciiTheme="majorBidi" w:hAnsiTheme="majorBidi" w:cstheme="majorBidi"/>
          <w:iCs/>
          <w:sz w:val="24"/>
          <w:szCs w:val="24"/>
        </w:rPr>
        <w:t xml:space="preserve">teisinių santykių kalba yra anglų kalba. Kita vertus, </w:t>
      </w:r>
      <w:r w:rsidR="0044647F" w:rsidRPr="00034EDF">
        <w:rPr>
          <w:rFonts w:asciiTheme="majorBidi" w:hAnsiTheme="majorBidi" w:cstheme="majorBidi"/>
          <w:sz w:val="24"/>
          <w:szCs w:val="24"/>
        </w:rPr>
        <w:t xml:space="preserve">vien aplinkybė, kad ginčo sprendimas kitoje </w:t>
      </w:r>
      <w:r w:rsidR="00D71E77" w:rsidRPr="00034EDF">
        <w:rPr>
          <w:rFonts w:asciiTheme="majorBidi" w:hAnsiTheme="majorBidi" w:cstheme="majorBidi"/>
          <w:sz w:val="24"/>
          <w:szCs w:val="24"/>
        </w:rPr>
        <w:t>s</w:t>
      </w:r>
      <w:r w:rsidR="0044647F" w:rsidRPr="00034EDF">
        <w:rPr>
          <w:rFonts w:asciiTheme="majorBidi" w:hAnsiTheme="majorBidi" w:cstheme="majorBidi"/>
          <w:sz w:val="24"/>
          <w:szCs w:val="24"/>
        </w:rPr>
        <w:t xml:space="preserve">usitariančiojoje </w:t>
      </w:r>
      <w:r w:rsidR="00D71E77" w:rsidRPr="00034EDF">
        <w:rPr>
          <w:rFonts w:asciiTheme="majorBidi" w:hAnsiTheme="majorBidi" w:cstheme="majorBidi"/>
          <w:sz w:val="24"/>
          <w:szCs w:val="24"/>
        </w:rPr>
        <w:t>v</w:t>
      </w:r>
      <w:r w:rsidR="0044647F" w:rsidRPr="00034EDF">
        <w:rPr>
          <w:rFonts w:asciiTheme="majorBidi" w:hAnsiTheme="majorBidi" w:cstheme="majorBidi"/>
          <w:sz w:val="24"/>
          <w:szCs w:val="24"/>
        </w:rPr>
        <w:t xml:space="preserve">alstybėje pareikalaus didesnių </w:t>
      </w:r>
      <w:r w:rsidR="00A35E20" w:rsidRPr="00034EDF">
        <w:rPr>
          <w:rFonts w:asciiTheme="majorBidi" w:hAnsiTheme="majorBidi" w:cstheme="majorBidi"/>
          <w:sz w:val="24"/>
          <w:szCs w:val="24"/>
        </w:rPr>
        <w:t>išlaidų,</w:t>
      </w:r>
      <w:r w:rsidR="0044647F" w:rsidRPr="00034EDF">
        <w:rPr>
          <w:rFonts w:asciiTheme="majorBidi" w:hAnsiTheme="majorBidi" w:cstheme="majorBidi"/>
          <w:sz w:val="24"/>
          <w:szCs w:val="24"/>
        </w:rPr>
        <w:t xml:space="preserve"> nesudaro pagrindo išvadai, </w:t>
      </w:r>
      <w:r w:rsidR="0004779B" w:rsidRPr="00034EDF">
        <w:rPr>
          <w:rFonts w:asciiTheme="majorBidi" w:hAnsiTheme="majorBidi" w:cstheme="majorBidi"/>
          <w:sz w:val="24"/>
          <w:szCs w:val="24"/>
        </w:rPr>
        <w:t>jog</w:t>
      </w:r>
      <w:r w:rsidR="00A35E20" w:rsidRPr="00034EDF">
        <w:rPr>
          <w:rFonts w:asciiTheme="majorBidi" w:hAnsiTheme="majorBidi" w:cstheme="majorBidi"/>
          <w:sz w:val="24"/>
          <w:szCs w:val="24"/>
        </w:rPr>
        <w:t xml:space="preserve"> </w:t>
      </w:r>
      <w:r w:rsidR="0044647F" w:rsidRPr="00034EDF">
        <w:rPr>
          <w:rFonts w:ascii="Times New Roman" w:hAnsi="Times New Roman"/>
          <w:sz w:val="24"/>
          <w:szCs w:val="24"/>
        </w:rPr>
        <w:t>susitarimo įgyvendinimas akivaizdžiai prieštarautų teisingumui ar Lietuvos Respublikos viešajai tvarkai</w:t>
      </w:r>
      <w:r w:rsidR="0044647F" w:rsidRPr="00034EDF">
        <w:rPr>
          <w:rFonts w:ascii="Times New Roman" w:hAnsi="Times New Roman"/>
        </w:rPr>
        <w:t>.</w:t>
      </w:r>
    </w:p>
    <w:p w14:paraId="3C776A0F" w14:textId="5683DD35" w:rsidR="00880BA5" w:rsidRPr="00034EDF" w:rsidRDefault="00880BA5" w:rsidP="00880BA5">
      <w:pPr>
        <w:pStyle w:val="Sraopastraipa"/>
        <w:numPr>
          <w:ilvl w:val="0"/>
          <w:numId w:val="3"/>
        </w:numPr>
        <w:spacing w:after="120" w:line="240" w:lineRule="auto"/>
        <w:contextualSpacing w:val="0"/>
        <w:jc w:val="both"/>
        <w:rPr>
          <w:rFonts w:ascii="Times New Roman" w:hAnsi="Times New Roman"/>
          <w:iCs/>
          <w:sz w:val="24"/>
          <w:szCs w:val="24"/>
        </w:rPr>
      </w:pPr>
      <w:r w:rsidRPr="00034EDF">
        <w:rPr>
          <w:rFonts w:ascii="Times New Roman" w:hAnsi="Times New Roman"/>
          <w:iCs/>
          <w:sz w:val="24"/>
          <w:szCs w:val="24"/>
        </w:rPr>
        <w:t xml:space="preserve">Taigi, nors ieškovė įrodinėja, kad ginčo sprendimas Anglijos teismuose būtų nepatogus, o ginčas yra susijęs su Lietuva, šie ieškovės argumentai yra atmestini atsižvelgiant tiek į šalių susitarimą, tiek į </w:t>
      </w:r>
      <w:r w:rsidRPr="00034EDF">
        <w:rPr>
          <w:rFonts w:ascii="Times New Roman" w:hAnsi="Times New Roman"/>
          <w:i/>
          <w:sz w:val="24"/>
          <w:szCs w:val="24"/>
        </w:rPr>
        <w:t>forum non conveniens</w:t>
      </w:r>
      <w:r w:rsidRPr="00034EDF">
        <w:rPr>
          <w:rFonts w:ascii="Times New Roman" w:hAnsi="Times New Roman"/>
          <w:iCs/>
          <w:sz w:val="24"/>
          <w:szCs w:val="24"/>
        </w:rPr>
        <w:t xml:space="preserve"> doktrinos esmę.</w:t>
      </w:r>
    </w:p>
    <w:p w14:paraId="73CA8C5B" w14:textId="1D5F145D" w:rsidR="00880BA5" w:rsidRPr="00034EDF" w:rsidRDefault="00325E90" w:rsidP="00880BA5">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034EDF">
        <w:rPr>
          <w:rFonts w:ascii="Times New Roman" w:hAnsi="Times New Roman"/>
          <w:iCs/>
          <w:sz w:val="24"/>
          <w:szCs w:val="24"/>
        </w:rPr>
        <w:t>Papildomai pažymėtina</w:t>
      </w:r>
      <w:r w:rsidR="00880BA5" w:rsidRPr="00034EDF">
        <w:rPr>
          <w:rFonts w:ascii="Times New Roman" w:hAnsi="Times New Roman"/>
          <w:iCs/>
          <w:sz w:val="24"/>
          <w:szCs w:val="24"/>
        </w:rPr>
        <w:t xml:space="preserve">, </w:t>
      </w:r>
      <w:r w:rsidRPr="00034EDF">
        <w:rPr>
          <w:rFonts w:ascii="Times New Roman" w:hAnsi="Times New Roman"/>
          <w:iCs/>
          <w:sz w:val="24"/>
          <w:szCs w:val="24"/>
        </w:rPr>
        <w:t xml:space="preserve">kad </w:t>
      </w:r>
      <w:r w:rsidR="00880BA5" w:rsidRPr="00034EDF">
        <w:rPr>
          <w:rFonts w:ascii="Times New Roman" w:hAnsi="Times New Roman"/>
          <w:iCs/>
          <w:sz w:val="24"/>
          <w:szCs w:val="24"/>
        </w:rPr>
        <w:t xml:space="preserve">ieškovės kasaciniame skunde nurodytas argumentas, </w:t>
      </w:r>
      <w:r w:rsidR="00A35E20" w:rsidRPr="00034EDF">
        <w:rPr>
          <w:rFonts w:ascii="Times New Roman" w:hAnsi="Times New Roman"/>
          <w:iCs/>
          <w:sz w:val="24"/>
          <w:szCs w:val="24"/>
        </w:rPr>
        <w:t>jog</w:t>
      </w:r>
      <w:r w:rsidR="00880BA5" w:rsidRPr="00034EDF">
        <w:rPr>
          <w:rFonts w:ascii="Times New Roman" w:hAnsi="Times New Roman"/>
          <w:iCs/>
          <w:sz w:val="24"/>
          <w:szCs w:val="24"/>
        </w:rPr>
        <w:t xml:space="preserve"> bylą nagrinėję teismai peržengė savo kompetencijos ribas, ieškovės manymu, įvertindami Anglijos teismų jurisdikciją, taip pat yra nepagrįstas.</w:t>
      </w:r>
      <w:r w:rsidR="00C57ED4" w:rsidRPr="00034EDF">
        <w:rPr>
          <w:rFonts w:ascii="Times New Roman" w:hAnsi="Times New Roman"/>
          <w:iCs/>
          <w:sz w:val="24"/>
          <w:szCs w:val="24"/>
        </w:rPr>
        <w:t xml:space="preserve"> </w:t>
      </w:r>
      <w:r w:rsidR="00880BA5" w:rsidRPr="00034EDF">
        <w:rPr>
          <w:rFonts w:ascii="Times New Roman" w:hAnsi="Times New Roman"/>
          <w:iCs/>
          <w:sz w:val="24"/>
          <w:szCs w:val="24"/>
        </w:rPr>
        <w:t xml:space="preserve">Visų pirma, bylą nagrinėjusių teismų nurodymas, kad byla, remiantis Sutarties 37 punktu (šalių susitarimu dėl jurisdikcijos), nagrinėtina Anglijos teismuose, nėra laikytinas Anglijos teismų jurisdikcijos įvertinimu. Antra, ieškovės pozicija yra prieštaringa, kadangi pati ieškovė byloje iš esmės siekė įrodyti, </w:t>
      </w:r>
      <w:r w:rsidR="00D71E77" w:rsidRPr="00034EDF">
        <w:rPr>
          <w:rFonts w:ascii="Times New Roman" w:hAnsi="Times New Roman"/>
          <w:iCs/>
          <w:sz w:val="24"/>
          <w:szCs w:val="24"/>
        </w:rPr>
        <w:t>jog</w:t>
      </w:r>
      <w:r w:rsidR="00880BA5" w:rsidRPr="00034EDF">
        <w:rPr>
          <w:rFonts w:ascii="Times New Roman" w:hAnsi="Times New Roman"/>
          <w:iCs/>
          <w:sz w:val="24"/>
          <w:szCs w:val="24"/>
        </w:rPr>
        <w:t xml:space="preserve"> Anglijos teismai neturi jurisdikcijos nagrinėti ginčą (nes ginčas susijęs ne su Anglija, o su Lietuva), t. y. siekė Anglijos teismų jurisdikcijos įvertinimo Lietuvos teismuose. Vien tai, kad teismų išvada buvo nepalanki ieškovei nukreipiant šalis į jurisdikciniame susitarime nurodytą teismą, nereiškia, kad buvo atliktas Anglijos teismų jurisdikcijos vertinimas. Bylą nagrinėję teismai, spręsdami, kad ginčas nenagrinėtinas Lietuvoje, sprendė būtent dėl Lietuvos teismų jurisdikcijos.</w:t>
      </w:r>
    </w:p>
    <w:p w14:paraId="3213C2A7" w14:textId="0C0B46DC" w:rsidR="00C57ED4" w:rsidRPr="00034EDF" w:rsidRDefault="00C57ED4" w:rsidP="00C57ED4">
      <w:pPr>
        <w:pStyle w:val="Sraopastraipa"/>
        <w:numPr>
          <w:ilvl w:val="0"/>
          <w:numId w:val="3"/>
        </w:numPr>
        <w:spacing w:after="120" w:line="240" w:lineRule="auto"/>
        <w:contextualSpacing w:val="0"/>
        <w:jc w:val="both"/>
        <w:rPr>
          <w:rFonts w:ascii="Times New Roman" w:hAnsi="Times New Roman"/>
          <w:iCs/>
          <w:sz w:val="24"/>
          <w:szCs w:val="24"/>
        </w:rPr>
      </w:pPr>
      <w:r w:rsidRPr="00034EDF">
        <w:rPr>
          <w:rFonts w:ascii="Times New Roman" w:hAnsi="Times New Roman"/>
          <w:iCs/>
          <w:sz w:val="24"/>
          <w:szCs w:val="24"/>
        </w:rPr>
        <w:t>Galiausiai, ieškovė nurodo, kad apeliacinės instancijos teismo nutartis yra iš esmės nemotyvuota. Ieškovė pažymi, kad teismas neatsakė į šiuos jos apeliaciniame skunde nurodytus argumentus: (i)</w:t>
      </w:r>
      <w:r w:rsidR="00A35E20" w:rsidRPr="00034EDF">
        <w:rPr>
          <w:rFonts w:ascii="Times New Roman" w:hAnsi="Times New Roman"/>
          <w:iCs/>
          <w:sz w:val="24"/>
          <w:szCs w:val="24"/>
        </w:rPr>
        <w:t> </w:t>
      </w:r>
      <w:r w:rsidRPr="00034EDF">
        <w:rPr>
          <w:rFonts w:ascii="Times New Roman" w:hAnsi="Times New Roman"/>
          <w:iCs/>
          <w:sz w:val="24"/>
          <w:szCs w:val="24"/>
        </w:rPr>
        <w:t>dėl apribotos ieškovės teisės būti išklausytai, nenustačius termino ieškovei pateikti atsiliepimą į atsakovės prašymą palikti ieškinį nenagrinėtą; (ii) dėl pažeisto dispozityvumo principo, nurodant subjektą, kuriam reikšti ieškinį; (iii) dėl to, kad apeliacinės instancijos teismas nevertino ieškovės argumentų dėl ginčo sąsajos su Lietuva.</w:t>
      </w:r>
    </w:p>
    <w:p w14:paraId="6292BAC3" w14:textId="0EED26EB" w:rsidR="00C57ED4" w:rsidRPr="00034EDF" w:rsidRDefault="00C57ED4" w:rsidP="00C57ED4">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034EDF">
        <w:rPr>
          <w:rFonts w:ascii="Times New Roman" w:hAnsi="Times New Roman"/>
          <w:iCs/>
          <w:sz w:val="24"/>
          <w:szCs w:val="24"/>
        </w:rPr>
        <w:t xml:space="preserve">Teisėjų kolegija pažymi, kad, visų pirma, bylą inicijavusi ieškovė turėjo galimybę nurodyti visus argumentus dėl Lietuvos teismų jurisdikcijos dar ieškinyje. Atsakovei pateikus prašymą palikti </w:t>
      </w:r>
      <w:r w:rsidRPr="00034EDF">
        <w:rPr>
          <w:rFonts w:ascii="Times New Roman" w:hAnsi="Times New Roman"/>
          <w:iCs/>
          <w:sz w:val="24"/>
          <w:szCs w:val="24"/>
        </w:rPr>
        <w:lastRenderedPageBreak/>
        <w:t xml:space="preserve">ieškinį nenagrinėtą ir pirmosios instancijos teismui šį prašymą patenkinus, ieškovė turėjo galimybę pasinaudoti instancine </w:t>
      </w:r>
      <w:r w:rsidR="00325E90" w:rsidRPr="00034EDF">
        <w:rPr>
          <w:rFonts w:ascii="Times New Roman" w:hAnsi="Times New Roman"/>
          <w:iCs/>
          <w:sz w:val="24"/>
          <w:szCs w:val="24"/>
        </w:rPr>
        <w:t xml:space="preserve">sprendimo peržiūrėjimo tvarka </w:t>
      </w:r>
      <w:r w:rsidRPr="00034EDF">
        <w:rPr>
          <w:rFonts w:ascii="Times New Roman" w:hAnsi="Times New Roman"/>
          <w:iCs/>
          <w:sz w:val="24"/>
          <w:szCs w:val="24"/>
        </w:rPr>
        <w:t xml:space="preserve">ir visus argumentus dėl Lietuvos teismų jurisdikcijos išdėstyti atskirajame skunde. Taigi, nors ieškovei nebuvo sudaryta galimybė pateikti atsiliepimą į atsakovės prašymą palikti ieškinį nenagrinėtą pirmosios instancijos teisme, ieškovės argumentai dėl pirmosios instancijos teismo nutarties neteisėtumo buvo įvertinti bylą nagrinėjant apeliacine tvarka. Taigi ieškovė iš esmės įgyvendino savo teisę būti išklausytai, pasinaudodama instancine teismo sprendimo peržiūrėjimo tvarka. Antra, priešingai nei teigiama kasaciniame skunde, teismai nenurodė ieškovei subjekto, kuriam reikšti ieškinį. Teismai, atsižvelgdami į tai, kad ginčas kilęs iš trišalės sutarties, tik nurodė, kad nagrinėjamas ginčas yra susijęs ir su Anglijoje registruotos bendrovės „Contis Financial Services Limited“ teisėmis ir pareigomis. </w:t>
      </w:r>
      <w:r w:rsidR="0004779B" w:rsidRPr="00034EDF">
        <w:rPr>
          <w:rFonts w:ascii="Times New Roman" w:hAnsi="Times New Roman"/>
          <w:iCs/>
          <w:sz w:val="24"/>
          <w:szCs w:val="24"/>
        </w:rPr>
        <w:t>Kaip minėta šios nutarties 28–29 punktuose, esant privalomam procesiniam bendrininkavimui ieškovė turėjo</w:t>
      </w:r>
      <w:r w:rsidRPr="00034EDF">
        <w:rPr>
          <w:rFonts w:ascii="Times New Roman" w:hAnsi="Times New Roman"/>
          <w:iCs/>
          <w:sz w:val="24"/>
          <w:szCs w:val="24"/>
        </w:rPr>
        <w:t xml:space="preserve"> reikšti ieškinį ir minėtam subjektui</w:t>
      </w:r>
      <w:r w:rsidR="0004779B" w:rsidRPr="00034EDF">
        <w:rPr>
          <w:rFonts w:ascii="Times New Roman" w:hAnsi="Times New Roman"/>
          <w:iCs/>
          <w:sz w:val="24"/>
          <w:szCs w:val="24"/>
        </w:rPr>
        <w:t xml:space="preserve"> </w:t>
      </w:r>
      <w:r w:rsidRPr="00034EDF">
        <w:rPr>
          <w:rFonts w:ascii="Times New Roman" w:hAnsi="Times New Roman"/>
          <w:iCs/>
          <w:sz w:val="24"/>
          <w:szCs w:val="24"/>
        </w:rPr>
        <w:t>(CPK 47 straipsnis). Trečia, apeliacinės instancijos teismas pagrįstai nurodė, kad CPK 788</w:t>
      </w:r>
      <w:r w:rsidR="00A35E20" w:rsidRPr="00034EDF">
        <w:rPr>
          <w:rFonts w:ascii="Times New Roman" w:hAnsi="Times New Roman"/>
          <w:iCs/>
          <w:sz w:val="24"/>
          <w:szCs w:val="24"/>
        </w:rPr>
        <w:t> </w:t>
      </w:r>
      <w:r w:rsidRPr="00034EDF">
        <w:rPr>
          <w:rFonts w:ascii="Times New Roman" w:hAnsi="Times New Roman"/>
          <w:iCs/>
          <w:sz w:val="24"/>
          <w:szCs w:val="24"/>
        </w:rPr>
        <w:t xml:space="preserve">straipsnis nenustato atsakovės pareigos įrodinėti ginčo sąsają su Lietuva. Be kita ko, nevertindamas ieškovės argumentų dėl ginčo sąsajos su Lietuva, apeliacinės instancijos teismas nepadarė proceso teisės normų pažeidimo, nes, kaip nurodyta šios nutarties </w:t>
      </w:r>
      <w:r w:rsidR="003A47D9" w:rsidRPr="00034EDF">
        <w:rPr>
          <w:rFonts w:ascii="Times New Roman" w:hAnsi="Times New Roman"/>
          <w:iCs/>
          <w:sz w:val="24"/>
          <w:szCs w:val="24"/>
        </w:rPr>
        <w:t>43</w:t>
      </w:r>
      <w:r w:rsidRPr="00034EDF">
        <w:rPr>
          <w:rFonts w:ascii="Times New Roman" w:hAnsi="Times New Roman"/>
          <w:iCs/>
          <w:sz w:val="24"/>
          <w:szCs w:val="24"/>
        </w:rPr>
        <w:t xml:space="preserve"> punkte, tokio pobūdžio argumentai turėtų būti reiškiami ir vertinami jurisdikciniame susitarime nurodytame teisme.</w:t>
      </w:r>
    </w:p>
    <w:p w14:paraId="1E72091F" w14:textId="0D393B7E" w:rsidR="00AA6A68" w:rsidRPr="00034EDF" w:rsidRDefault="00AA6A68" w:rsidP="009167A2">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034EDF">
        <w:rPr>
          <w:rFonts w:ascii="Times New Roman" w:hAnsi="Times New Roman"/>
          <w:sz w:val="24"/>
          <w:szCs w:val="24"/>
        </w:rPr>
        <w:t xml:space="preserve">Kadangi nagrinėjamu atveju susitarimas dėl jurisdikcijos sudarytas raštu </w:t>
      </w:r>
      <w:r w:rsidR="00A35E20" w:rsidRPr="00034EDF">
        <w:rPr>
          <w:rFonts w:ascii="Times New Roman" w:hAnsi="Times New Roman"/>
          <w:sz w:val="24"/>
          <w:szCs w:val="24"/>
        </w:rPr>
        <w:t>ir yra įtrauktas</w:t>
      </w:r>
      <w:r w:rsidRPr="00034EDF">
        <w:rPr>
          <w:rFonts w:ascii="Times New Roman" w:hAnsi="Times New Roman"/>
          <w:sz w:val="24"/>
          <w:szCs w:val="24"/>
        </w:rPr>
        <w:t xml:space="preserve"> į ginčo </w:t>
      </w:r>
      <w:r w:rsidR="008B53A5" w:rsidRPr="00034EDF">
        <w:rPr>
          <w:rFonts w:ascii="Times New Roman" w:hAnsi="Times New Roman"/>
          <w:sz w:val="24"/>
          <w:szCs w:val="24"/>
        </w:rPr>
        <w:t>s</w:t>
      </w:r>
      <w:r w:rsidRPr="00034EDF">
        <w:rPr>
          <w:rFonts w:ascii="Times New Roman" w:hAnsi="Times New Roman"/>
          <w:sz w:val="24"/>
          <w:szCs w:val="24"/>
        </w:rPr>
        <w:t>utartį</w:t>
      </w:r>
      <w:r w:rsidR="00880BA5" w:rsidRPr="00034EDF">
        <w:rPr>
          <w:rFonts w:ascii="Times New Roman" w:hAnsi="Times New Roman"/>
          <w:sz w:val="24"/>
          <w:szCs w:val="24"/>
        </w:rPr>
        <w:t xml:space="preserve"> (Hagos konvencijos 5 straipsnio c punktas)</w:t>
      </w:r>
      <w:r w:rsidRPr="00034EDF">
        <w:rPr>
          <w:rFonts w:ascii="Times New Roman" w:hAnsi="Times New Roman"/>
          <w:sz w:val="24"/>
          <w:szCs w:val="24"/>
        </w:rPr>
        <w:t xml:space="preserve">, taip pat byloje nesant duomenų, kad toks susitarimas </w:t>
      </w:r>
      <w:r w:rsidR="00880BA5" w:rsidRPr="00034EDF">
        <w:rPr>
          <w:rFonts w:ascii="Times New Roman" w:hAnsi="Times New Roman"/>
          <w:sz w:val="24"/>
          <w:szCs w:val="24"/>
        </w:rPr>
        <w:t xml:space="preserve">galėtų būti nevykdomas dėl Hagos konvencijos 6 straipsnyje nustatytų išimčių, teisėjų kolegija konstatuoja, kad nagrinėjamu atveju teismai, nors </w:t>
      </w:r>
      <w:r w:rsidR="00C57ED4" w:rsidRPr="00034EDF">
        <w:rPr>
          <w:rFonts w:ascii="Times New Roman" w:hAnsi="Times New Roman"/>
          <w:sz w:val="24"/>
          <w:szCs w:val="24"/>
        </w:rPr>
        <w:t xml:space="preserve">ir nepagrįstai </w:t>
      </w:r>
      <w:r w:rsidR="00880BA5" w:rsidRPr="00034EDF">
        <w:rPr>
          <w:rFonts w:ascii="Times New Roman" w:hAnsi="Times New Roman"/>
          <w:sz w:val="24"/>
          <w:szCs w:val="24"/>
        </w:rPr>
        <w:t>remdamiesi nacionalinės teisės normomis esant absoliučiam privaloma</w:t>
      </w:r>
      <w:r w:rsidR="00A35E20" w:rsidRPr="00034EDF">
        <w:rPr>
          <w:rFonts w:ascii="Times New Roman" w:hAnsi="Times New Roman"/>
          <w:sz w:val="24"/>
          <w:szCs w:val="24"/>
        </w:rPr>
        <w:t>ja</w:t>
      </w:r>
      <w:r w:rsidR="00880BA5" w:rsidRPr="00034EDF">
        <w:rPr>
          <w:rFonts w:ascii="Times New Roman" w:hAnsi="Times New Roman"/>
          <w:sz w:val="24"/>
          <w:szCs w:val="24"/>
        </w:rPr>
        <w:t xml:space="preserve">m atsakovų bendrininkavimui, </w:t>
      </w:r>
      <w:r w:rsidR="00C57ED4" w:rsidRPr="00034EDF">
        <w:rPr>
          <w:rFonts w:ascii="Times New Roman" w:hAnsi="Times New Roman"/>
          <w:sz w:val="24"/>
          <w:szCs w:val="24"/>
        </w:rPr>
        <w:t xml:space="preserve">priėmė iš esmės teisingą procesinį sprendimą ir </w:t>
      </w:r>
      <w:r w:rsidR="00880BA5" w:rsidRPr="00034EDF">
        <w:rPr>
          <w:rFonts w:ascii="Times New Roman" w:hAnsi="Times New Roman"/>
          <w:sz w:val="24"/>
          <w:szCs w:val="24"/>
        </w:rPr>
        <w:t>pagrįstai ieškovės ieškinį paliko nenagrinėtą.</w:t>
      </w:r>
    </w:p>
    <w:p w14:paraId="51E4C613" w14:textId="508FB412" w:rsidR="00C57ED4" w:rsidRPr="00034EDF" w:rsidRDefault="00C57ED4" w:rsidP="00C57ED4">
      <w:pPr>
        <w:pStyle w:val="Sraopastraipa"/>
        <w:numPr>
          <w:ilvl w:val="0"/>
          <w:numId w:val="3"/>
        </w:numPr>
        <w:spacing w:after="120" w:line="240" w:lineRule="auto"/>
        <w:contextualSpacing w:val="0"/>
        <w:jc w:val="both"/>
        <w:rPr>
          <w:rFonts w:ascii="Times New Roman" w:hAnsi="Times New Roman"/>
          <w:iCs/>
          <w:sz w:val="24"/>
          <w:szCs w:val="24"/>
        </w:rPr>
      </w:pPr>
      <w:r w:rsidRPr="00034EDF">
        <w:rPr>
          <w:rFonts w:ascii="Times New Roman" w:hAnsi="Times New Roman"/>
          <w:iCs/>
          <w:sz w:val="24"/>
          <w:szCs w:val="24"/>
        </w:rPr>
        <w:t xml:space="preserve">Taigi, remiantis tuo, kas išdėstyta, konstatuotina, kad </w:t>
      </w:r>
      <w:r w:rsidRPr="00034EDF">
        <w:rPr>
          <w:rFonts w:ascii="Times New Roman" w:hAnsi="Times New Roman"/>
          <w:sz w:val="24"/>
          <w:szCs w:val="24"/>
        </w:rPr>
        <w:t>pagrindo panaikinti skundžiamą nutartį, remiantis kasaciniame skunde nurodytais argumentais, nėra.</w:t>
      </w:r>
    </w:p>
    <w:p w14:paraId="33DEB41B" w14:textId="2B6CE56A" w:rsidR="00C57ED4" w:rsidRPr="00034EDF" w:rsidRDefault="00C57ED4" w:rsidP="00C57ED4">
      <w:pPr>
        <w:pStyle w:val="Sraopastraipa"/>
        <w:numPr>
          <w:ilvl w:val="0"/>
          <w:numId w:val="3"/>
        </w:numPr>
        <w:spacing w:after="120" w:line="240" w:lineRule="auto"/>
        <w:contextualSpacing w:val="0"/>
        <w:jc w:val="both"/>
        <w:rPr>
          <w:rFonts w:ascii="Times New Roman" w:hAnsi="Times New Roman"/>
          <w:iCs/>
          <w:sz w:val="24"/>
          <w:szCs w:val="24"/>
        </w:rPr>
      </w:pPr>
      <w:r w:rsidRPr="00034EDF">
        <w:rPr>
          <w:rFonts w:ascii="Times New Roman" w:hAnsi="Times New Roman"/>
          <w:sz w:val="24"/>
          <w:szCs w:val="24"/>
        </w:rPr>
        <w:t>Kiti kasacinio skundo argumentai pripažintini teisiškai nereikšmingais nuoseklios teismų praktikos formavimui ir kitokio sprendimo byloje priėmimui, todėl teisėjų kolegija dėl jų nepasisako.</w:t>
      </w:r>
    </w:p>
    <w:p w14:paraId="2E3BCBE7" w14:textId="39F3B0F0" w:rsidR="00123EE2" w:rsidRPr="00034EDF" w:rsidRDefault="00123EE2">
      <w:pPr>
        <w:pStyle w:val="Sraopastraipa"/>
        <w:spacing w:after="120" w:line="240" w:lineRule="auto"/>
        <w:ind w:left="0" w:firstLine="720"/>
        <w:contextualSpacing w:val="0"/>
        <w:jc w:val="both"/>
        <w:rPr>
          <w:rFonts w:ascii="Times New Roman" w:hAnsi="Times New Roman"/>
          <w:sz w:val="24"/>
          <w:szCs w:val="24"/>
        </w:rPr>
      </w:pPr>
    </w:p>
    <w:p w14:paraId="470A32EF" w14:textId="3F874E55" w:rsidR="00123EE2" w:rsidRPr="00034EDF" w:rsidRDefault="00A80C8A" w:rsidP="004C0197">
      <w:pPr>
        <w:pStyle w:val="Sraopastraipa"/>
        <w:spacing w:after="120" w:line="240" w:lineRule="auto"/>
        <w:ind w:left="0" w:firstLine="720"/>
        <w:contextualSpacing w:val="0"/>
        <w:jc w:val="both"/>
        <w:rPr>
          <w:rFonts w:ascii="Times New Roman" w:hAnsi="Times New Roman"/>
          <w:i/>
          <w:sz w:val="24"/>
          <w:szCs w:val="24"/>
        </w:rPr>
      </w:pPr>
      <w:r w:rsidRPr="00034EDF">
        <w:rPr>
          <w:rFonts w:ascii="Times New Roman" w:hAnsi="Times New Roman"/>
          <w:i/>
          <w:sz w:val="24"/>
          <w:szCs w:val="24"/>
        </w:rPr>
        <w:t>Dėl</w:t>
      </w:r>
      <w:r w:rsidR="00722943" w:rsidRPr="00034EDF">
        <w:rPr>
          <w:rFonts w:ascii="Times New Roman" w:hAnsi="Times New Roman"/>
          <w:i/>
          <w:sz w:val="24"/>
          <w:szCs w:val="24"/>
        </w:rPr>
        <w:t xml:space="preserve"> </w:t>
      </w:r>
      <w:r w:rsidRPr="00034EDF">
        <w:rPr>
          <w:rFonts w:ascii="Times New Roman" w:hAnsi="Times New Roman"/>
          <w:i/>
          <w:sz w:val="24"/>
          <w:szCs w:val="24"/>
        </w:rPr>
        <w:t>bylinėjimosi išlaidų</w:t>
      </w:r>
    </w:p>
    <w:p w14:paraId="6D50E8BE" w14:textId="70E1C012" w:rsidR="00123EE2" w:rsidRPr="00034EDF" w:rsidRDefault="00123EE2">
      <w:pPr>
        <w:pStyle w:val="Sraopastraipa"/>
        <w:spacing w:after="120" w:line="240" w:lineRule="auto"/>
        <w:ind w:left="0" w:firstLine="720"/>
        <w:contextualSpacing w:val="0"/>
        <w:jc w:val="both"/>
        <w:rPr>
          <w:rFonts w:ascii="Times New Roman" w:hAnsi="Times New Roman"/>
          <w:sz w:val="24"/>
          <w:szCs w:val="24"/>
        </w:rPr>
      </w:pPr>
    </w:p>
    <w:p w14:paraId="2B5FC39C" w14:textId="27AA0EF2" w:rsidR="00E15958" w:rsidRPr="00034EDF" w:rsidRDefault="00E15958" w:rsidP="00E15958">
      <w:pPr>
        <w:pStyle w:val="Sraopastraipa"/>
        <w:numPr>
          <w:ilvl w:val="0"/>
          <w:numId w:val="3"/>
        </w:numPr>
        <w:spacing w:after="120" w:line="240" w:lineRule="auto"/>
        <w:contextualSpacing w:val="0"/>
        <w:jc w:val="both"/>
        <w:rPr>
          <w:rFonts w:ascii="Times New Roman" w:hAnsi="Times New Roman"/>
          <w:sz w:val="24"/>
          <w:szCs w:val="24"/>
        </w:rPr>
      </w:pPr>
      <w:r w:rsidRPr="00034EDF">
        <w:rPr>
          <w:rFonts w:ascii="Times New Roman" w:hAnsi="Times New Roman"/>
          <w:sz w:val="24"/>
          <w:szCs w:val="24"/>
        </w:rPr>
        <w:t xml:space="preserve">Šaliai, kurios naudai priimtas sprendimas, jos turėtas bylinėjimosi išlaidas teismas priteisia iš antrosios šalies, nors ši ir būtų atleista nuo bylinėjimosi išlaidų mokėjimo į valstybės biudžetą (CPK 93 straipsnio 1 dalis). </w:t>
      </w:r>
      <w:bookmarkStart w:id="1" w:name="Buk_84"/>
      <w:r w:rsidRPr="00034EDF">
        <w:rPr>
          <w:rFonts w:ascii="Times New Roman" w:hAnsi="Times New Roman"/>
          <w:sz w:val="24"/>
          <w:szCs w:val="24"/>
        </w:rPr>
        <w:t xml:space="preserve">Ieškovės </w:t>
      </w:r>
      <w:bookmarkEnd w:id="1"/>
      <w:r w:rsidRPr="00034EDF">
        <w:rPr>
          <w:rFonts w:ascii="Times New Roman" w:hAnsi="Times New Roman"/>
          <w:sz w:val="24"/>
          <w:szCs w:val="24"/>
        </w:rPr>
        <w:t xml:space="preserve">kasacinį skundą atmetus, teisę į bylinėjimosi išlaidų atlyginimą įgijo atsakovė. Atsakovė </w:t>
      </w:r>
      <w:r w:rsidR="00F90457" w:rsidRPr="00034EDF">
        <w:rPr>
          <w:rFonts w:ascii="Times New Roman" w:hAnsi="Times New Roman"/>
          <w:sz w:val="24"/>
          <w:szCs w:val="24"/>
        </w:rPr>
        <w:t>pateikė duomenis, kad už atsiliepimo į kasacinį skundą parengimą patyrė</w:t>
      </w:r>
      <w:r w:rsidRPr="00034EDF">
        <w:rPr>
          <w:rFonts w:ascii="Times New Roman" w:hAnsi="Times New Roman"/>
          <w:sz w:val="24"/>
          <w:szCs w:val="24"/>
        </w:rPr>
        <w:t xml:space="preserve"> 8450,16 Eur bylinėjimosi išlaidų. Šios išlaidos viršija </w:t>
      </w:r>
      <w:r w:rsidRPr="00034EDF">
        <w:rPr>
          <w:rFonts w:ascii="Times New Roman" w:hAnsi="Times New Roman"/>
          <w:iCs/>
          <w:sz w:val="24"/>
          <w:szCs w:val="24"/>
        </w:rPr>
        <w:t xml:space="preserve">Lietuvos Respublikos teisingumo ministro 2004 m. balandžio 2 d. įsakymu Nr. 1R-85 „Dėl Rekomendacijų dėl civilinėse bylose priteistino užmokesčio už advokato ar advokato padėjėjo teikiamą pagalbą maksimalaus dydžio patvirtinimo“ nustatytą maksimalų už atsiliepimo į kasacinį skundą parengimą atlygintiną dydį, todėl mažinamos iki maksimalios </w:t>
      </w:r>
      <w:r w:rsidR="00F90457" w:rsidRPr="00034EDF">
        <w:rPr>
          <w:rFonts w:ascii="Times New Roman" w:hAnsi="Times New Roman"/>
          <w:iCs/>
          <w:sz w:val="24"/>
          <w:szCs w:val="24"/>
        </w:rPr>
        <w:t xml:space="preserve">3588 </w:t>
      </w:r>
      <w:r w:rsidRPr="00034EDF">
        <w:rPr>
          <w:rFonts w:ascii="Times New Roman" w:hAnsi="Times New Roman"/>
          <w:iCs/>
          <w:sz w:val="24"/>
          <w:szCs w:val="24"/>
        </w:rPr>
        <w:t xml:space="preserve">Eur sumos ir </w:t>
      </w:r>
      <w:r w:rsidR="00BE288B" w:rsidRPr="00034EDF">
        <w:rPr>
          <w:rFonts w:ascii="Times New Roman" w:hAnsi="Times New Roman"/>
          <w:iCs/>
          <w:sz w:val="24"/>
          <w:szCs w:val="24"/>
        </w:rPr>
        <w:t xml:space="preserve">jų atlyginimas </w:t>
      </w:r>
      <w:r w:rsidRPr="00034EDF">
        <w:rPr>
          <w:rFonts w:ascii="Times New Roman" w:hAnsi="Times New Roman"/>
          <w:iCs/>
          <w:sz w:val="24"/>
          <w:szCs w:val="24"/>
        </w:rPr>
        <w:t>priteisiam</w:t>
      </w:r>
      <w:r w:rsidR="00BE288B" w:rsidRPr="00034EDF">
        <w:rPr>
          <w:rFonts w:ascii="Times New Roman" w:hAnsi="Times New Roman"/>
          <w:iCs/>
          <w:sz w:val="24"/>
          <w:szCs w:val="24"/>
        </w:rPr>
        <w:t>a</w:t>
      </w:r>
      <w:r w:rsidRPr="00034EDF">
        <w:rPr>
          <w:rFonts w:ascii="Times New Roman" w:hAnsi="Times New Roman"/>
          <w:iCs/>
          <w:sz w:val="24"/>
          <w:szCs w:val="24"/>
        </w:rPr>
        <w:t>s iš kasacinį skundą pateikusios ieškovės UAB „Paysera“.</w:t>
      </w:r>
    </w:p>
    <w:p w14:paraId="45D9E333" w14:textId="1E72F240" w:rsidR="00123EE2" w:rsidRPr="00034EDF" w:rsidRDefault="00123EE2">
      <w:pPr>
        <w:spacing w:after="120"/>
        <w:ind w:firstLine="720"/>
        <w:jc w:val="both"/>
        <w:rPr>
          <w:i/>
        </w:rPr>
      </w:pPr>
    </w:p>
    <w:p w14:paraId="52EDE901" w14:textId="7581E9F6" w:rsidR="00123EE2" w:rsidRPr="00034EDF" w:rsidRDefault="00A80C8A">
      <w:pPr>
        <w:ind w:firstLine="720"/>
        <w:jc w:val="both"/>
      </w:pPr>
      <w:r w:rsidRPr="00034EDF">
        <w:t xml:space="preserve">Lietuvos Aukščiausiojo Teismo Civilinių bylų skyriaus teisėjų kolegija, vadovaudamasi Lietuvos Respublikos civilinio proceso kodekso 359 straipsnio 1 dalies </w:t>
      </w:r>
      <w:r w:rsidR="002F61C1" w:rsidRPr="00034EDF">
        <w:t>1</w:t>
      </w:r>
      <w:r w:rsidRPr="00034EDF">
        <w:t xml:space="preserve"> punktu, 362 straipsnio 1</w:t>
      </w:r>
      <w:r w:rsidR="00BE288B" w:rsidRPr="00034EDF">
        <w:t> </w:t>
      </w:r>
      <w:r w:rsidRPr="00034EDF">
        <w:t>dalimi,</w:t>
      </w:r>
    </w:p>
    <w:p w14:paraId="0C109E2A" w14:textId="27A0F1DB" w:rsidR="00123EE2" w:rsidRPr="00034EDF" w:rsidRDefault="00123EE2">
      <w:pPr>
        <w:ind w:firstLine="720"/>
        <w:jc w:val="both"/>
      </w:pPr>
    </w:p>
    <w:p w14:paraId="749059B7" w14:textId="77777777" w:rsidR="00123EE2" w:rsidRPr="00034EDF" w:rsidRDefault="00A80C8A">
      <w:pPr>
        <w:jc w:val="both"/>
        <w:rPr>
          <w:b/>
          <w:bCs/>
        </w:rPr>
      </w:pPr>
      <w:r w:rsidRPr="00034EDF">
        <w:t>n u t a r i a :</w:t>
      </w:r>
    </w:p>
    <w:p w14:paraId="60CEC4FA" w14:textId="7C0424E7" w:rsidR="00123EE2" w:rsidRPr="00034EDF" w:rsidRDefault="00123EE2">
      <w:pPr>
        <w:ind w:firstLine="720"/>
        <w:jc w:val="both"/>
      </w:pPr>
    </w:p>
    <w:p w14:paraId="7767A2A1" w14:textId="420C31C5" w:rsidR="00123EE2" w:rsidRPr="00034EDF" w:rsidRDefault="008938CE">
      <w:pPr>
        <w:ind w:firstLine="720"/>
        <w:jc w:val="both"/>
      </w:pPr>
      <w:r w:rsidRPr="00034EDF">
        <w:lastRenderedPageBreak/>
        <w:t>Vilniaus apygardos teismo 2023 m. lapkričio 30 d. nutartį palikti nepakeistą.</w:t>
      </w:r>
    </w:p>
    <w:p w14:paraId="18FA0697" w14:textId="13F9661A" w:rsidR="00F90457" w:rsidRPr="00034EDF" w:rsidRDefault="00F90457">
      <w:pPr>
        <w:ind w:firstLine="720"/>
        <w:jc w:val="both"/>
      </w:pPr>
      <w:r w:rsidRPr="00034EDF">
        <w:t xml:space="preserve">Priteisti atsakovei uždarajai akcinei bendrovei „Finansinės paslaugos „Contis“ (j. a. k. 304406236) iš ieškovės uždarosios akcinės bendrovės „Paysera“ (j. a. k. 300060819) 3588 (trijų tūkstančių penkių šimtų aštuoniasdešimt aštuonių) Eur bylinėjimosi išlaidų, patirtų kasaciniame teisme, atlyginimą. </w:t>
      </w:r>
    </w:p>
    <w:p w14:paraId="5DD6E556" w14:textId="77777777" w:rsidR="00123EE2" w:rsidRPr="00034EDF" w:rsidRDefault="00A80C8A">
      <w:pPr>
        <w:ind w:firstLine="720"/>
        <w:jc w:val="both"/>
      </w:pPr>
      <w:r w:rsidRPr="00034EDF">
        <w:t>Ši Lietuvos Aukščiausiojo Teismo nutartis yra galutinė, neskundžiama ir įsiteisėja nuo priėmimo dienos.</w:t>
      </w:r>
    </w:p>
    <w:p w14:paraId="1828EEFC" w14:textId="77777777" w:rsidR="00123EE2" w:rsidRPr="00034EDF" w:rsidRDefault="00123EE2">
      <w:pPr>
        <w:jc w:val="both"/>
      </w:pPr>
    </w:p>
    <w:p w14:paraId="7564EBBF" w14:textId="77777777" w:rsidR="00123EE2" w:rsidRPr="00034EDF" w:rsidRDefault="00123EE2">
      <w:pPr>
        <w:jc w:val="both"/>
      </w:pPr>
    </w:p>
    <w:p w14:paraId="3BB4F30D" w14:textId="1B89923C" w:rsidR="00123EE2" w:rsidRPr="00034EDF" w:rsidRDefault="00A80C8A">
      <w:pPr>
        <w:tabs>
          <w:tab w:val="left" w:pos="6237"/>
        </w:tabs>
        <w:jc w:val="both"/>
      </w:pPr>
      <w:r w:rsidRPr="00034EDF">
        <w:t>Teisėjai</w:t>
      </w:r>
      <w:r w:rsidRPr="00034EDF">
        <w:tab/>
      </w:r>
      <w:r w:rsidR="008D2DD4" w:rsidRPr="00034EDF">
        <w:t>Danguolė Bublienė</w:t>
      </w:r>
    </w:p>
    <w:p w14:paraId="27DD0C85" w14:textId="77777777" w:rsidR="00123EE2" w:rsidRPr="00034EDF" w:rsidRDefault="00123EE2">
      <w:pPr>
        <w:jc w:val="both"/>
      </w:pPr>
    </w:p>
    <w:p w14:paraId="66361924" w14:textId="77777777" w:rsidR="00123EE2" w:rsidRPr="00034EDF" w:rsidRDefault="00123EE2">
      <w:pPr>
        <w:jc w:val="both"/>
      </w:pPr>
    </w:p>
    <w:p w14:paraId="446F5737" w14:textId="1BE2DEB4" w:rsidR="00123EE2" w:rsidRPr="00034EDF" w:rsidRDefault="00A80C8A">
      <w:pPr>
        <w:tabs>
          <w:tab w:val="left" w:pos="6237"/>
        </w:tabs>
        <w:jc w:val="both"/>
      </w:pPr>
      <w:r w:rsidRPr="00034EDF">
        <w:tab/>
      </w:r>
      <w:r w:rsidR="008D2DD4" w:rsidRPr="00034EDF">
        <w:t>Algirdas Taminskas</w:t>
      </w:r>
    </w:p>
    <w:p w14:paraId="7E71AA59" w14:textId="77777777" w:rsidR="00123EE2" w:rsidRPr="00034EDF" w:rsidRDefault="00123EE2">
      <w:pPr>
        <w:jc w:val="both"/>
      </w:pPr>
    </w:p>
    <w:p w14:paraId="69A12293" w14:textId="77777777" w:rsidR="00123EE2" w:rsidRPr="00034EDF" w:rsidRDefault="00123EE2">
      <w:pPr>
        <w:jc w:val="both"/>
      </w:pPr>
    </w:p>
    <w:p w14:paraId="65B8402F" w14:textId="395A7B74" w:rsidR="00123EE2" w:rsidRDefault="00A80C8A">
      <w:pPr>
        <w:tabs>
          <w:tab w:val="left" w:pos="6237"/>
        </w:tabs>
        <w:jc w:val="both"/>
      </w:pPr>
      <w:r w:rsidRPr="00034EDF">
        <w:tab/>
      </w:r>
      <w:r w:rsidR="008D2DD4" w:rsidRPr="00034EDF">
        <w:t>Agnė Tikniūtė</w:t>
      </w:r>
    </w:p>
    <w:sectPr w:rsidR="00123EE2" w:rsidSect="002319D7">
      <w:headerReference w:type="even" r:id="rId10"/>
      <w:headerReference w:type="defaul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96790F" w14:textId="77777777" w:rsidR="00B968E3" w:rsidRDefault="00B968E3">
      <w:r>
        <w:separator/>
      </w:r>
    </w:p>
  </w:endnote>
  <w:endnote w:type="continuationSeparator" w:id="0">
    <w:p w14:paraId="3F87CCC8" w14:textId="77777777" w:rsidR="00B968E3" w:rsidRDefault="00B968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CB3401" w14:textId="77777777" w:rsidR="00B968E3" w:rsidRDefault="00B968E3">
      <w:r>
        <w:separator/>
      </w:r>
    </w:p>
  </w:footnote>
  <w:footnote w:type="continuationSeparator" w:id="0">
    <w:p w14:paraId="59A9D3FF" w14:textId="77777777" w:rsidR="00B968E3" w:rsidRDefault="00B968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1A04"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BA5EA4" w:rsidRDefault="00BA5E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A091C"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4B3A29">
      <w:rPr>
        <w:rStyle w:val="Puslapionumeris"/>
        <w:noProof/>
      </w:rPr>
      <w:t>2</w:t>
    </w:r>
    <w:r>
      <w:fldChar w:fldCharType="end"/>
    </w:r>
  </w:p>
  <w:p w14:paraId="600C41B9" w14:textId="6AFD196D" w:rsidR="00BA5EA4" w:rsidRDefault="00BA5EA4">
    <w:pPr>
      <w:pStyle w:val="Antrats"/>
      <w:jc w:val="right"/>
      <w:rPr>
        <w:i/>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0FFB4DAD"/>
    <w:multiLevelType w:val="hybridMultilevel"/>
    <w:tmpl w:val="3CC2572E"/>
    <w:lvl w:ilvl="0" w:tplc="A88A426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4" w15:restartNumberingAfterBreak="0">
    <w:nsid w:val="200059F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030831270">
    <w:abstractNumId w:val="2"/>
  </w:num>
  <w:num w:numId="2" w16cid:durableId="1836191773">
    <w:abstractNumId w:val="0"/>
  </w:num>
  <w:num w:numId="3" w16cid:durableId="1325472802">
    <w:abstractNumId w:val="4"/>
  </w:num>
  <w:num w:numId="4" w16cid:durableId="340277553">
    <w:abstractNumId w:val="6"/>
  </w:num>
  <w:num w:numId="5" w16cid:durableId="768742598">
    <w:abstractNumId w:val="5"/>
  </w:num>
  <w:num w:numId="6" w16cid:durableId="1242569935">
    <w:abstractNumId w:val="3"/>
  </w:num>
  <w:num w:numId="7" w16cid:durableId="4395730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39BA"/>
    <w:rsid w:val="00005EBE"/>
    <w:rsid w:val="00007840"/>
    <w:rsid w:val="0001067D"/>
    <w:rsid w:val="00013733"/>
    <w:rsid w:val="000149F2"/>
    <w:rsid w:val="00014B37"/>
    <w:rsid w:val="000201D7"/>
    <w:rsid w:val="00020A3D"/>
    <w:rsid w:val="00024440"/>
    <w:rsid w:val="0002452D"/>
    <w:rsid w:val="00027D8A"/>
    <w:rsid w:val="000308C1"/>
    <w:rsid w:val="00030C59"/>
    <w:rsid w:val="000315AD"/>
    <w:rsid w:val="00032F86"/>
    <w:rsid w:val="00034D76"/>
    <w:rsid w:val="00034EDF"/>
    <w:rsid w:val="00040D3E"/>
    <w:rsid w:val="00041859"/>
    <w:rsid w:val="000441D7"/>
    <w:rsid w:val="00044D97"/>
    <w:rsid w:val="00045F4B"/>
    <w:rsid w:val="00047371"/>
    <w:rsid w:val="0004779B"/>
    <w:rsid w:val="00050763"/>
    <w:rsid w:val="00051CCD"/>
    <w:rsid w:val="00052EE9"/>
    <w:rsid w:val="00057869"/>
    <w:rsid w:val="00061F64"/>
    <w:rsid w:val="000631CB"/>
    <w:rsid w:val="000636D0"/>
    <w:rsid w:val="00064B99"/>
    <w:rsid w:val="0007137C"/>
    <w:rsid w:val="000762CB"/>
    <w:rsid w:val="00077B97"/>
    <w:rsid w:val="000828C5"/>
    <w:rsid w:val="0008625E"/>
    <w:rsid w:val="00086B11"/>
    <w:rsid w:val="00086EBD"/>
    <w:rsid w:val="00086F72"/>
    <w:rsid w:val="00091F04"/>
    <w:rsid w:val="000A1296"/>
    <w:rsid w:val="000A2C25"/>
    <w:rsid w:val="000B0819"/>
    <w:rsid w:val="000B415E"/>
    <w:rsid w:val="000B44BF"/>
    <w:rsid w:val="000C2577"/>
    <w:rsid w:val="000C721B"/>
    <w:rsid w:val="000D0031"/>
    <w:rsid w:val="000D02E1"/>
    <w:rsid w:val="000D03BE"/>
    <w:rsid w:val="000D1252"/>
    <w:rsid w:val="000E0B60"/>
    <w:rsid w:val="000E65F0"/>
    <w:rsid w:val="000E7C73"/>
    <w:rsid w:val="000F2EF6"/>
    <w:rsid w:val="000F34C4"/>
    <w:rsid w:val="000F3643"/>
    <w:rsid w:val="000F3F7B"/>
    <w:rsid w:val="000F4CC7"/>
    <w:rsid w:val="000F4EFD"/>
    <w:rsid w:val="000F5EC5"/>
    <w:rsid w:val="000F7802"/>
    <w:rsid w:val="000F7C66"/>
    <w:rsid w:val="001007CD"/>
    <w:rsid w:val="00100E1B"/>
    <w:rsid w:val="001027A6"/>
    <w:rsid w:val="0010449C"/>
    <w:rsid w:val="001046F5"/>
    <w:rsid w:val="0010479C"/>
    <w:rsid w:val="001064BB"/>
    <w:rsid w:val="001145F9"/>
    <w:rsid w:val="0011765D"/>
    <w:rsid w:val="00123EE2"/>
    <w:rsid w:val="001305F7"/>
    <w:rsid w:val="00134F4C"/>
    <w:rsid w:val="00135270"/>
    <w:rsid w:val="001402C6"/>
    <w:rsid w:val="0014116D"/>
    <w:rsid w:val="00142ACD"/>
    <w:rsid w:val="00142B59"/>
    <w:rsid w:val="00143101"/>
    <w:rsid w:val="00143691"/>
    <w:rsid w:val="00143D48"/>
    <w:rsid w:val="001448DA"/>
    <w:rsid w:val="00145DF1"/>
    <w:rsid w:val="001466F8"/>
    <w:rsid w:val="001474C8"/>
    <w:rsid w:val="00147502"/>
    <w:rsid w:val="00150FAD"/>
    <w:rsid w:val="001521D2"/>
    <w:rsid w:val="001526CC"/>
    <w:rsid w:val="00152CC2"/>
    <w:rsid w:val="00153F92"/>
    <w:rsid w:val="00154CBE"/>
    <w:rsid w:val="00155D9C"/>
    <w:rsid w:val="00156ECF"/>
    <w:rsid w:val="00157334"/>
    <w:rsid w:val="00163988"/>
    <w:rsid w:val="00163EA1"/>
    <w:rsid w:val="00164946"/>
    <w:rsid w:val="00165E24"/>
    <w:rsid w:val="001662FC"/>
    <w:rsid w:val="001663BD"/>
    <w:rsid w:val="00166E8F"/>
    <w:rsid w:val="001766B6"/>
    <w:rsid w:val="00181EF9"/>
    <w:rsid w:val="00182004"/>
    <w:rsid w:val="0018511B"/>
    <w:rsid w:val="00197CC1"/>
    <w:rsid w:val="00197E53"/>
    <w:rsid w:val="001A119B"/>
    <w:rsid w:val="001A1DD2"/>
    <w:rsid w:val="001A1F6F"/>
    <w:rsid w:val="001A2E42"/>
    <w:rsid w:val="001A39F0"/>
    <w:rsid w:val="001A6F0C"/>
    <w:rsid w:val="001B053C"/>
    <w:rsid w:val="001B0729"/>
    <w:rsid w:val="001B153A"/>
    <w:rsid w:val="001B5273"/>
    <w:rsid w:val="001B5C7D"/>
    <w:rsid w:val="001B647B"/>
    <w:rsid w:val="001C0735"/>
    <w:rsid w:val="001C0D78"/>
    <w:rsid w:val="001C0EBD"/>
    <w:rsid w:val="001C264D"/>
    <w:rsid w:val="001C2C3C"/>
    <w:rsid w:val="001C4AFE"/>
    <w:rsid w:val="001C4E92"/>
    <w:rsid w:val="001C50E3"/>
    <w:rsid w:val="001C5E57"/>
    <w:rsid w:val="001D7BE5"/>
    <w:rsid w:val="001E3685"/>
    <w:rsid w:val="001E395D"/>
    <w:rsid w:val="001E6F2D"/>
    <w:rsid w:val="001E7052"/>
    <w:rsid w:val="001E797D"/>
    <w:rsid w:val="001E7D1F"/>
    <w:rsid w:val="001F41C0"/>
    <w:rsid w:val="001F4EDD"/>
    <w:rsid w:val="001F7E23"/>
    <w:rsid w:val="00201BC0"/>
    <w:rsid w:val="00205560"/>
    <w:rsid w:val="002062C3"/>
    <w:rsid w:val="00222066"/>
    <w:rsid w:val="002319D7"/>
    <w:rsid w:val="00232007"/>
    <w:rsid w:val="0023247F"/>
    <w:rsid w:val="002325CA"/>
    <w:rsid w:val="00234776"/>
    <w:rsid w:val="00240200"/>
    <w:rsid w:val="00240735"/>
    <w:rsid w:val="00240C01"/>
    <w:rsid w:val="00241151"/>
    <w:rsid w:val="00242D91"/>
    <w:rsid w:val="00242EC6"/>
    <w:rsid w:val="00243599"/>
    <w:rsid w:val="0024657E"/>
    <w:rsid w:val="0024663B"/>
    <w:rsid w:val="00246D81"/>
    <w:rsid w:val="002524D4"/>
    <w:rsid w:val="00252CE7"/>
    <w:rsid w:val="00253807"/>
    <w:rsid w:val="0025394B"/>
    <w:rsid w:val="002548A9"/>
    <w:rsid w:val="00256959"/>
    <w:rsid w:val="0026169A"/>
    <w:rsid w:val="002619B4"/>
    <w:rsid w:val="002634E4"/>
    <w:rsid w:val="002635D9"/>
    <w:rsid w:val="00267F58"/>
    <w:rsid w:val="00273A5B"/>
    <w:rsid w:val="002740A1"/>
    <w:rsid w:val="002751A8"/>
    <w:rsid w:val="00276A5D"/>
    <w:rsid w:val="00280AC9"/>
    <w:rsid w:val="0028295B"/>
    <w:rsid w:val="00290CD9"/>
    <w:rsid w:val="0029270C"/>
    <w:rsid w:val="002927D5"/>
    <w:rsid w:val="002932FF"/>
    <w:rsid w:val="00293874"/>
    <w:rsid w:val="00295A0C"/>
    <w:rsid w:val="00296E0B"/>
    <w:rsid w:val="00296F53"/>
    <w:rsid w:val="00297377"/>
    <w:rsid w:val="002A0DEF"/>
    <w:rsid w:val="002A122F"/>
    <w:rsid w:val="002A3B59"/>
    <w:rsid w:val="002A3CD9"/>
    <w:rsid w:val="002A5216"/>
    <w:rsid w:val="002A711C"/>
    <w:rsid w:val="002A7DF0"/>
    <w:rsid w:val="002B1592"/>
    <w:rsid w:val="002B2A44"/>
    <w:rsid w:val="002C2713"/>
    <w:rsid w:val="002C4514"/>
    <w:rsid w:val="002C65DD"/>
    <w:rsid w:val="002C6785"/>
    <w:rsid w:val="002D0E0C"/>
    <w:rsid w:val="002D30C7"/>
    <w:rsid w:val="002D590E"/>
    <w:rsid w:val="002D5EF1"/>
    <w:rsid w:val="002E1C94"/>
    <w:rsid w:val="002E25CA"/>
    <w:rsid w:val="002E2D5C"/>
    <w:rsid w:val="002E588B"/>
    <w:rsid w:val="002E705C"/>
    <w:rsid w:val="002F082A"/>
    <w:rsid w:val="002F2DE1"/>
    <w:rsid w:val="002F3C7A"/>
    <w:rsid w:val="002F3D57"/>
    <w:rsid w:val="002F61C1"/>
    <w:rsid w:val="00300342"/>
    <w:rsid w:val="003044C1"/>
    <w:rsid w:val="00304536"/>
    <w:rsid w:val="00306327"/>
    <w:rsid w:val="0031408E"/>
    <w:rsid w:val="00315477"/>
    <w:rsid w:val="00315C82"/>
    <w:rsid w:val="00316D2A"/>
    <w:rsid w:val="00316EFA"/>
    <w:rsid w:val="003173A4"/>
    <w:rsid w:val="003211AF"/>
    <w:rsid w:val="00322AE5"/>
    <w:rsid w:val="00325E90"/>
    <w:rsid w:val="0032660F"/>
    <w:rsid w:val="00327FD5"/>
    <w:rsid w:val="00337FD0"/>
    <w:rsid w:val="00343CD2"/>
    <w:rsid w:val="00347690"/>
    <w:rsid w:val="00350E23"/>
    <w:rsid w:val="00354039"/>
    <w:rsid w:val="00357488"/>
    <w:rsid w:val="00363776"/>
    <w:rsid w:val="00364515"/>
    <w:rsid w:val="00366941"/>
    <w:rsid w:val="00374822"/>
    <w:rsid w:val="00375C6C"/>
    <w:rsid w:val="00375F90"/>
    <w:rsid w:val="003813DC"/>
    <w:rsid w:val="00385288"/>
    <w:rsid w:val="00390368"/>
    <w:rsid w:val="003914EE"/>
    <w:rsid w:val="003932F5"/>
    <w:rsid w:val="00393FF6"/>
    <w:rsid w:val="00395C41"/>
    <w:rsid w:val="003A36FF"/>
    <w:rsid w:val="003A47D9"/>
    <w:rsid w:val="003A712E"/>
    <w:rsid w:val="003A78FF"/>
    <w:rsid w:val="003B098D"/>
    <w:rsid w:val="003B17D6"/>
    <w:rsid w:val="003B3CB9"/>
    <w:rsid w:val="003B493D"/>
    <w:rsid w:val="003B64D3"/>
    <w:rsid w:val="003B6FB4"/>
    <w:rsid w:val="003C2B0C"/>
    <w:rsid w:val="003C7322"/>
    <w:rsid w:val="003C74B4"/>
    <w:rsid w:val="003C7D5E"/>
    <w:rsid w:val="003D32BB"/>
    <w:rsid w:val="003D384E"/>
    <w:rsid w:val="003D7F8C"/>
    <w:rsid w:val="003E1E29"/>
    <w:rsid w:val="003E2EA5"/>
    <w:rsid w:val="003E4334"/>
    <w:rsid w:val="003E4D60"/>
    <w:rsid w:val="003F2A37"/>
    <w:rsid w:val="003F33C2"/>
    <w:rsid w:val="003F3782"/>
    <w:rsid w:val="003F3BDD"/>
    <w:rsid w:val="003F6075"/>
    <w:rsid w:val="004006F0"/>
    <w:rsid w:val="00403B98"/>
    <w:rsid w:val="0040714D"/>
    <w:rsid w:val="0041083C"/>
    <w:rsid w:val="00411A86"/>
    <w:rsid w:val="00413840"/>
    <w:rsid w:val="00414A8B"/>
    <w:rsid w:val="0041677B"/>
    <w:rsid w:val="00420F58"/>
    <w:rsid w:val="004222B2"/>
    <w:rsid w:val="00422A50"/>
    <w:rsid w:val="00424A1E"/>
    <w:rsid w:val="00425AD4"/>
    <w:rsid w:val="00427372"/>
    <w:rsid w:val="004274FB"/>
    <w:rsid w:val="0043266E"/>
    <w:rsid w:val="0043432D"/>
    <w:rsid w:val="00434671"/>
    <w:rsid w:val="0043632D"/>
    <w:rsid w:val="0043787E"/>
    <w:rsid w:val="004441F2"/>
    <w:rsid w:val="0044446A"/>
    <w:rsid w:val="0044647F"/>
    <w:rsid w:val="00453FA0"/>
    <w:rsid w:val="0045431D"/>
    <w:rsid w:val="004546D5"/>
    <w:rsid w:val="00455138"/>
    <w:rsid w:val="00457AA8"/>
    <w:rsid w:val="00457C74"/>
    <w:rsid w:val="00460278"/>
    <w:rsid w:val="00464EA3"/>
    <w:rsid w:val="00464FB5"/>
    <w:rsid w:val="004678AC"/>
    <w:rsid w:val="004726C6"/>
    <w:rsid w:val="00474215"/>
    <w:rsid w:val="00476340"/>
    <w:rsid w:val="00480E0A"/>
    <w:rsid w:val="004847B0"/>
    <w:rsid w:val="004866F9"/>
    <w:rsid w:val="004915E2"/>
    <w:rsid w:val="004917CD"/>
    <w:rsid w:val="004A1639"/>
    <w:rsid w:val="004A1753"/>
    <w:rsid w:val="004A46D2"/>
    <w:rsid w:val="004A47A9"/>
    <w:rsid w:val="004A62A5"/>
    <w:rsid w:val="004A6F50"/>
    <w:rsid w:val="004B0CBB"/>
    <w:rsid w:val="004B1C78"/>
    <w:rsid w:val="004B1F6A"/>
    <w:rsid w:val="004B3A29"/>
    <w:rsid w:val="004B745B"/>
    <w:rsid w:val="004C0197"/>
    <w:rsid w:val="004C0E6D"/>
    <w:rsid w:val="004C0ECF"/>
    <w:rsid w:val="004C1DF0"/>
    <w:rsid w:val="004C2083"/>
    <w:rsid w:val="004C34DD"/>
    <w:rsid w:val="004C4EC6"/>
    <w:rsid w:val="004C5E84"/>
    <w:rsid w:val="004C64E2"/>
    <w:rsid w:val="004C74F5"/>
    <w:rsid w:val="004C7ECE"/>
    <w:rsid w:val="004D10A1"/>
    <w:rsid w:val="004D706C"/>
    <w:rsid w:val="004D760B"/>
    <w:rsid w:val="004E0AF6"/>
    <w:rsid w:val="004E2281"/>
    <w:rsid w:val="004F08D3"/>
    <w:rsid w:val="004F3C48"/>
    <w:rsid w:val="004F4178"/>
    <w:rsid w:val="004F7753"/>
    <w:rsid w:val="004F7B4D"/>
    <w:rsid w:val="005021E5"/>
    <w:rsid w:val="00502E93"/>
    <w:rsid w:val="00504962"/>
    <w:rsid w:val="00506047"/>
    <w:rsid w:val="00506D0C"/>
    <w:rsid w:val="00507AA4"/>
    <w:rsid w:val="005127A3"/>
    <w:rsid w:val="00512F5F"/>
    <w:rsid w:val="0051503F"/>
    <w:rsid w:val="00515C61"/>
    <w:rsid w:val="0052191E"/>
    <w:rsid w:val="0052274E"/>
    <w:rsid w:val="0052474A"/>
    <w:rsid w:val="00526686"/>
    <w:rsid w:val="005302A2"/>
    <w:rsid w:val="00535243"/>
    <w:rsid w:val="00541DE6"/>
    <w:rsid w:val="00543BD5"/>
    <w:rsid w:val="00544A5B"/>
    <w:rsid w:val="00551643"/>
    <w:rsid w:val="0055702D"/>
    <w:rsid w:val="00557F7F"/>
    <w:rsid w:val="0056326C"/>
    <w:rsid w:val="00563BE0"/>
    <w:rsid w:val="00565B94"/>
    <w:rsid w:val="0056608F"/>
    <w:rsid w:val="00566386"/>
    <w:rsid w:val="00566B69"/>
    <w:rsid w:val="00567FB9"/>
    <w:rsid w:val="00570B3B"/>
    <w:rsid w:val="00572C97"/>
    <w:rsid w:val="00574983"/>
    <w:rsid w:val="00575621"/>
    <w:rsid w:val="00577BF1"/>
    <w:rsid w:val="0058319B"/>
    <w:rsid w:val="0058341E"/>
    <w:rsid w:val="00585499"/>
    <w:rsid w:val="00587BF9"/>
    <w:rsid w:val="00594B3C"/>
    <w:rsid w:val="005952FA"/>
    <w:rsid w:val="00595745"/>
    <w:rsid w:val="005A3F98"/>
    <w:rsid w:val="005A473B"/>
    <w:rsid w:val="005A48D3"/>
    <w:rsid w:val="005A5153"/>
    <w:rsid w:val="005B06C5"/>
    <w:rsid w:val="005B19FB"/>
    <w:rsid w:val="005B4D97"/>
    <w:rsid w:val="005B545D"/>
    <w:rsid w:val="005B590D"/>
    <w:rsid w:val="005C0C74"/>
    <w:rsid w:val="005C239B"/>
    <w:rsid w:val="005C4DDB"/>
    <w:rsid w:val="005C6267"/>
    <w:rsid w:val="005C64CC"/>
    <w:rsid w:val="005C7053"/>
    <w:rsid w:val="005D50E5"/>
    <w:rsid w:val="005E0656"/>
    <w:rsid w:val="005E4E97"/>
    <w:rsid w:val="005F412E"/>
    <w:rsid w:val="005F4160"/>
    <w:rsid w:val="005F60F5"/>
    <w:rsid w:val="005F7B9E"/>
    <w:rsid w:val="00601626"/>
    <w:rsid w:val="00604220"/>
    <w:rsid w:val="00607E0B"/>
    <w:rsid w:val="0061164E"/>
    <w:rsid w:val="00614B3E"/>
    <w:rsid w:val="00615D70"/>
    <w:rsid w:val="00622D25"/>
    <w:rsid w:val="006249B8"/>
    <w:rsid w:val="006304C2"/>
    <w:rsid w:val="00631394"/>
    <w:rsid w:val="006322A9"/>
    <w:rsid w:val="00632F77"/>
    <w:rsid w:val="00636FCA"/>
    <w:rsid w:val="006437CA"/>
    <w:rsid w:val="00652BA8"/>
    <w:rsid w:val="006562D2"/>
    <w:rsid w:val="00662A4E"/>
    <w:rsid w:val="006646A9"/>
    <w:rsid w:val="006654BA"/>
    <w:rsid w:val="006663D8"/>
    <w:rsid w:val="00670086"/>
    <w:rsid w:val="00670D27"/>
    <w:rsid w:val="00672C68"/>
    <w:rsid w:val="00676A04"/>
    <w:rsid w:val="00677572"/>
    <w:rsid w:val="006819A4"/>
    <w:rsid w:val="006941E3"/>
    <w:rsid w:val="006A1B5F"/>
    <w:rsid w:val="006A2212"/>
    <w:rsid w:val="006A6145"/>
    <w:rsid w:val="006A6889"/>
    <w:rsid w:val="006A691D"/>
    <w:rsid w:val="006A6D7E"/>
    <w:rsid w:val="006B0D9A"/>
    <w:rsid w:val="006B12F7"/>
    <w:rsid w:val="006B26B7"/>
    <w:rsid w:val="006B62E4"/>
    <w:rsid w:val="006B7AE5"/>
    <w:rsid w:val="006C2E87"/>
    <w:rsid w:val="006C3487"/>
    <w:rsid w:val="006C561A"/>
    <w:rsid w:val="006C6069"/>
    <w:rsid w:val="006D3A4A"/>
    <w:rsid w:val="006E15A1"/>
    <w:rsid w:val="006E2670"/>
    <w:rsid w:val="006E3194"/>
    <w:rsid w:val="006E38C8"/>
    <w:rsid w:val="006E48E1"/>
    <w:rsid w:val="006E631C"/>
    <w:rsid w:val="006E7AC9"/>
    <w:rsid w:val="006E7F9B"/>
    <w:rsid w:val="006F161B"/>
    <w:rsid w:val="006F3F47"/>
    <w:rsid w:val="006F5EBA"/>
    <w:rsid w:val="006F5F20"/>
    <w:rsid w:val="006F7F0A"/>
    <w:rsid w:val="00701762"/>
    <w:rsid w:val="007040C2"/>
    <w:rsid w:val="007042C6"/>
    <w:rsid w:val="00704493"/>
    <w:rsid w:val="00704E9A"/>
    <w:rsid w:val="0070632F"/>
    <w:rsid w:val="00706A73"/>
    <w:rsid w:val="00707517"/>
    <w:rsid w:val="00710BE3"/>
    <w:rsid w:val="0072066B"/>
    <w:rsid w:val="00721AD0"/>
    <w:rsid w:val="00722760"/>
    <w:rsid w:val="00722943"/>
    <w:rsid w:val="00722A6E"/>
    <w:rsid w:val="00722FDE"/>
    <w:rsid w:val="00723BCD"/>
    <w:rsid w:val="0072408D"/>
    <w:rsid w:val="00725969"/>
    <w:rsid w:val="00725FC6"/>
    <w:rsid w:val="007267D8"/>
    <w:rsid w:val="007268BF"/>
    <w:rsid w:val="0072691E"/>
    <w:rsid w:val="007275C1"/>
    <w:rsid w:val="00733B02"/>
    <w:rsid w:val="00733E8E"/>
    <w:rsid w:val="007371F2"/>
    <w:rsid w:val="00737239"/>
    <w:rsid w:val="00741B3A"/>
    <w:rsid w:val="00742A1B"/>
    <w:rsid w:val="00745356"/>
    <w:rsid w:val="007466A7"/>
    <w:rsid w:val="00763247"/>
    <w:rsid w:val="0076368B"/>
    <w:rsid w:val="00765D05"/>
    <w:rsid w:val="007731C9"/>
    <w:rsid w:val="00774FD3"/>
    <w:rsid w:val="007750C7"/>
    <w:rsid w:val="00776370"/>
    <w:rsid w:val="00782C43"/>
    <w:rsid w:val="00790E86"/>
    <w:rsid w:val="007943CE"/>
    <w:rsid w:val="007944A0"/>
    <w:rsid w:val="00796250"/>
    <w:rsid w:val="007A0808"/>
    <w:rsid w:val="007A216A"/>
    <w:rsid w:val="007A3C88"/>
    <w:rsid w:val="007A5837"/>
    <w:rsid w:val="007A7AE5"/>
    <w:rsid w:val="007B0362"/>
    <w:rsid w:val="007B3A31"/>
    <w:rsid w:val="007B4113"/>
    <w:rsid w:val="007B5453"/>
    <w:rsid w:val="007B6665"/>
    <w:rsid w:val="007C0366"/>
    <w:rsid w:val="007C0904"/>
    <w:rsid w:val="007D7A9F"/>
    <w:rsid w:val="007E25F7"/>
    <w:rsid w:val="007E3F41"/>
    <w:rsid w:val="007E46F7"/>
    <w:rsid w:val="007E4B57"/>
    <w:rsid w:val="007E4FC1"/>
    <w:rsid w:val="007F3EAD"/>
    <w:rsid w:val="008014DB"/>
    <w:rsid w:val="00802E59"/>
    <w:rsid w:val="008036D5"/>
    <w:rsid w:val="0080495E"/>
    <w:rsid w:val="00807D42"/>
    <w:rsid w:val="008104FC"/>
    <w:rsid w:val="00810B7F"/>
    <w:rsid w:val="00812DA0"/>
    <w:rsid w:val="00813B30"/>
    <w:rsid w:val="00816FCD"/>
    <w:rsid w:val="008173E0"/>
    <w:rsid w:val="0083141C"/>
    <w:rsid w:val="00837414"/>
    <w:rsid w:val="00837895"/>
    <w:rsid w:val="0083791C"/>
    <w:rsid w:val="008412B1"/>
    <w:rsid w:val="00842E6B"/>
    <w:rsid w:val="00844DE0"/>
    <w:rsid w:val="00850136"/>
    <w:rsid w:val="00850EFE"/>
    <w:rsid w:val="00854ADB"/>
    <w:rsid w:val="00855A04"/>
    <w:rsid w:val="00856384"/>
    <w:rsid w:val="008579D0"/>
    <w:rsid w:val="00860900"/>
    <w:rsid w:val="0087390F"/>
    <w:rsid w:val="00874128"/>
    <w:rsid w:val="00880AC3"/>
    <w:rsid w:val="00880BA5"/>
    <w:rsid w:val="008837D7"/>
    <w:rsid w:val="00883A86"/>
    <w:rsid w:val="008849A1"/>
    <w:rsid w:val="008919CB"/>
    <w:rsid w:val="00891AF8"/>
    <w:rsid w:val="00892387"/>
    <w:rsid w:val="008938CE"/>
    <w:rsid w:val="00896268"/>
    <w:rsid w:val="00897CAB"/>
    <w:rsid w:val="008A01A7"/>
    <w:rsid w:val="008A6FEC"/>
    <w:rsid w:val="008A717E"/>
    <w:rsid w:val="008A7E9B"/>
    <w:rsid w:val="008B0382"/>
    <w:rsid w:val="008B1C04"/>
    <w:rsid w:val="008B3355"/>
    <w:rsid w:val="008B4FBA"/>
    <w:rsid w:val="008B53A5"/>
    <w:rsid w:val="008B5A3B"/>
    <w:rsid w:val="008B719F"/>
    <w:rsid w:val="008B74A3"/>
    <w:rsid w:val="008C08A6"/>
    <w:rsid w:val="008C0B0F"/>
    <w:rsid w:val="008C1A16"/>
    <w:rsid w:val="008C221E"/>
    <w:rsid w:val="008C5FF5"/>
    <w:rsid w:val="008D008D"/>
    <w:rsid w:val="008D2DD4"/>
    <w:rsid w:val="008D3A24"/>
    <w:rsid w:val="008D3A60"/>
    <w:rsid w:val="008D6D6E"/>
    <w:rsid w:val="008D7CBF"/>
    <w:rsid w:val="008E06D9"/>
    <w:rsid w:val="008E4EE3"/>
    <w:rsid w:val="008E6AC4"/>
    <w:rsid w:val="008E7CB3"/>
    <w:rsid w:val="008F1AE5"/>
    <w:rsid w:val="008F264D"/>
    <w:rsid w:val="008F5C8D"/>
    <w:rsid w:val="009005DA"/>
    <w:rsid w:val="00900C59"/>
    <w:rsid w:val="0090341D"/>
    <w:rsid w:val="00905C13"/>
    <w:rsid w:val="0091017C"/>
    <w:rsid w:val="00911E1E"/>
    <w:rsid w:val="00913A3F"/>
    <w:rsid w:val="0091435B"/>
    <w:rsid w:val="009167A2"/>
    <w:rsid w:val="00916DBD"/>
    <w:rsid w:val="00917DC9"/>
    <w:rsid w:val="00921446"/>
    <w:rsid w:val="0092295A"/>
    <w:rsid w:val="00924D04"/>
    <w:rsid w:val="00926E8D"/>
    <w:rsid w:val="009275B4"/>
    <w:rsid w:val="00930364"/>
    <w:rsid w:val="0093127C"/>
    <w:rsid w:val="00932BB8"/>
    <w:rsid w:val="009336B5"/>
    <w:rsid w:val="00933C07"/>
    <w:rsid w:val="00934ECA"/>
    <w:rsid w:val="0093502F"/>
    <w:rsid w:val="009365D0"/>
    <w:rsid w:val="0094323D"/>
    <w:rsid w:val="00944296"/>
    <w:rsid w:val="00951481"/>
    <w:rsid w:val="00952575"/>
    <w:rsid w:val="00953558"/>
    <w:rsid w:val="00955CC1"/>
    <w:rsid w:val="009642D1"/>
    <w:rsid w:val="00967A9C"/>
    <w:rsid w:val="00971257"/>
    <w:rsid w:val="00972AC3"/>
    <w:rsid w:val="0097325D"/>
    <w:rsid w:val="009735A6"/>
    <w:rsid w:val="00974D57"/>
    <w:rsid w:val="0097609A"/>
    <w:rsid w:val="00981E8B"/>
    <w:rsid w:val="0098649F"/>
    <w:rsid w:val="009865A7"/>
    <w:rsid w:val="009878F5"/>
    <w:rsid w:val="009958FC"/>
    <w:rsid w:val="00995A32"/>
    <w:rsid w:val="0099628A"/>
    <w:rsid w:val="009A4947"/>
    <w:rsid w:val="009A499C"/>
    <w:rsid w:val="009A6D32"/>
    <w:rsid w:val="009B2CA0"/>
    <w:rsid w:val="009B317C"/>
    <w:rsid w:val="009B39A9"/>
    <w:rsid w:val="009B3FCE"/>
    <w:rsid w:val="009B4A32"/>
    <w:rsid w:val="009B6B1A"/>
    <w:rsid w:val="009C078F"/>
    <w:rsid w:val="009C0EDC"/>
    <w:rsid w:val="009C2396"/>
    <w:rsid w:val="009C5624"/>
    <w:rsid w:val="009C64D1"/>
    <w:rsid w:val="009C7B96"/>
    <w:rsid w:val="009D258E"/>
    <w:rsid w:val="009E32E2"/>
    <w:rsid w:val="009E57BC"/>
    <w:rsid w:val="009E69C8"/>
    <w:rsid w:val="009E69DD"/>
    <w:rsid w:val="009E792D"/>
    <w:rsid w:val="009E7AA5"/>
    <w:rsid w:val="009F0505"/>
    <w:rsid w:val="009F159B"/>
    <w:rsid w:val="009F39E7"/>
    <w:rsid w:val="009F4D31"/>
    <w:rsid w:val="009F4DF7"/>
    <w:rsid w:val="009F65E5"/>
    <w:rsid w:val="009F6F36"/>
    <w:rsid w:val="009F7782"/>
    <w:rsid w:val="009F7EA2"/>
    <w:rsid w:val="00A0144A"/>
    <w:rsid w:val="00A016C6"/>
    <w:rsid w:val="00A069B5"/>
    <w:rsid w:val="00A107BE"/>
    <w:rsid w:val="00A1117C"/>
    <w:rsid w:val="00A1389C"/>
    <w:rsid w:val="00A157FD"/>
    <w:rsid w:val="00A167B6"/>
    <w:rsid w:val="00A16CA2"/>
    <w:rsid w:val="00A23B2D"/>
    <w:rsid w:val="00A2687C"/>
    <w:rsid w:val="00A26A18"/>
    <w:rsid w:val="00A3047C"/>
    <w:rsid w:val="00A30C15"/>
    <w:rsid w:val="00A32C93"/>
    <w:rsid w:val="00A332F9"/>
    <w:rsid w:val="00A34161"/>
    <w:rsid w:val="00A34DFF"/>
    <w:rsid w:val="00A35E20"/>
    <w:rsid w:val="00A43F7D"/>
    <w:rsid w:val="00A44C4C"/>
    <w:rsid w:val="00A45460"/>
    <w:rsid w:val="00A47EB9"/>
    <w:rsid w:val="00A47FBB"/>
    <w:rsid w:val="00A535EC"/>
    <w:rsid w:val="00A57545"/>
    <w:rsid w:val="00A619A5"/>
    <w:rsid w:val="00A624AC"/>
    <w:rsid w:val="00A6271C"/>
    <w:rsid w:val="00A63115"/>
    <w:rsid w:val="00A63B12"/>
    <w:rsid w:val="00A65CCB"/>
    <w:rsid w:val="00A665E4"/>
    <w:rsid w:val="00A72A19"/>
    <w:rsid w:val="00A72C1F"/>
    <w:rsid w:val="00A763BE"/>
    <w:rsid w:val="00A808E6"/>
    <w:rsid w:val="00A80C8A"/>
    <w:rsid w:val="00A8324F"/>
    <w:rsid w:val="00A86B69"/>
    <w:rsid w:val="00A8725B"/>
    <w:rsid w:val="00A87884"/>
    <w:rsid w:val="00A93754"/>
    <w:rsid w:val="00A94A8A"/>
    <w:rsid w:val="00AA2930"/>
    <w:rsid w:val="00AA618C"/>
    <w:rsid w:val="00AA6A68"/>
    <w:rsid w:val="00AA73C7"/>
    <w:rsid w:val="00AB047B"/>
    <w:rsid w:val="00AB3712"/>
    <w:rsid w:val="00AB4B1D"/>
    <w:rsid w:val="00AB54CB"/>
    <w:rsid w:val="00AC2604"/>
    <w:rsid w:val="00AC57A7"/>
    <w:rsid w:val="00AC77A1"/>
    <w:rsid w:val="00AD3531"/>
    <w:rsid w:val="00AD5154"/>
    <w:rsid w:val="00AD7520"/>
    <w:rsid w:val="00AE2F90"/>
    <w:rsid w:val="00AE495D"/>
    <w:rsid w:val="00AE54D6"/>
    <w:rsid w:val="00AE6FEF"/>
    <w:rsid w:val="00AE70B7"/>
    <w:rsid w:val="00AE7BFB"/>
    <w:rsid w:val="00AF3594"/>
    <w:rsid w:val="00AF5C81"/>
    <w:rsid w:val="00B00997"/>
    <w:rsid w:val="00B0486C"/>
    <w:rsid w:val="00B07440"/>
    <w:rsid w:val="00B12011"/>
    <w:rsid w:val="00B1302D"/>
    <w:rsid w:val="00B143FC"/>
    <w:rsid w:val="00B17C04"/>
    <w:rsid w:val="00B17FA4"/>
    <w:rsid w:val="00B2119B"/>
    <w:rsid w:val="00B22915"/>
    <w:rsid w:val="00B246F2"/>
    <w:rsid w:val="00B24A0C"/>
    <w:rsid w:val="00B30192"/>
    <w:rsid w:val="00B30538"/>
    <w:rsid w:val="00B31624"/>
    <w:rsid w:val="00B3760E"/>
    <w:rsid w:val="00B40AB1"/>
    <w:rsid w:val="00B414E5"/>
    <w:rsid w:val="00B4277C"/>
    <w:rsid w:val="00B4533D"/>
    <w:rsid w:val="00B46E2B"/>
    <w:rsid w:val="00B509E4"/>
    <w:rsid w:val="00B55273"/>
    <w:rsid w:val="00B55C94"/>
    <w:rsid w:val="00B60582"/>
    <w:rsid w:val="00B612A0"/>
    <w:rsid w:val="00B61FC8"/>
    <w:rsid w:val="00B624FE"/>
    <w:rsid w:val="00B62BAD"/>
    <w:rsid w:val="00B62F0A"/>
    <w:rsid w:val="00B63489"/>
    <w:rsid w:val="00B71C91"/>
    <w:rsid w:val="00B7201B"/>
    <w:rsid w:val="00B745E6"/>
    <w:rsid w:val="00B8194D"/>
    <w:rsid w:val="00B81B41"/>
    <w:rsid w:val="00B85131"/>
    <w:rsid w:val="00B87160"/>
    <w:rsid w:val="00B87442"/>
    <w:rsid w:val="00B87B85"/>
    <w:rsid w:val="00B905CF"/>
    <w:rsid w:val="00B906D0"/>
    <w:rsid w:val="00B94883"/>
    <w:rsid w:val="00B94EE0"/>
    <w:rsid w:val="00B963B9"/>
    <w:rsid w:val="00B968E3"/>
    <w:rsid w:val="00B9767A"/>
    <w:rsid w:val="00BA023D"/>
    <w:rsid w:val="00BA44C8"/>
    <w:rsid w:val="00BA5EA4"/>
    <w:rsid w:val="00BB2292"/>
    <w:rsid w:val="00BB3C06"/>
    <w:rsid w:val="00BB47F5"/>
    <w:rsid w:val="00BB7736"/>
    <w:rsid w:val="00BB79E2"/>
    <w:rsid w:val="00BC0BD3"/>
    <w:rsid w:val="00BC0C71"/>
    <w:rsid w:val="00BC1805"/>
    <w:rsid w:val="00BC4661"/>
    <w:rsid w:val="00BC5406"/>
    <w:rsid w:val="00BC6429"/>
    <w:rsid w:val="00BC64B5"/>
    <w:rsid w:val="00BC6BB6"/>
    <w:rsid w:val="00BC7CB9"/>
    <w:rsid w:val="00BD46F8"/>
    <w:rsid w:val="00BE1396"/>
    <w:rsid w:val="00BE288B"/>
    <w:rsid w:val="00BE45C5"/>
    <w:rsid w:val="00BE496A"/>
    <w:rsid w:val="00BE6F73"/>
    <w:rsid w:val="00BE7ACD"/>
    <w:rsid w:val="00BF34C6"/>
    <w:rsid w:val="00BF6503"/>
    <w:rsid w:val="00BF68F1"/>
    <w:rsid w:val="00BF6A3D"/>
    <w:rsid w:val="00BF6E6B"/>
    <w:rsid w:val="00C00DA3"/>
    <w:rsid w:val="00C056B0"/>
    <w:rsid w:val="00C05FB5"/>
    <w:rsid w:val="00C11588"/>
    <w:rsid w:val="00C12913"/>
    <w:rsid w:val="00C1585B"/>
    <w:rsid w:val="00C15F72"/>
    <w:rsid w:val="00C165A5"/>
    <w:rsid w:val="00C1798F"/>
    <w:rsid w:val="00C2138D"/>
    <w:rsid w:val="00C22BAF"/>
    <w:rsid w:val="00C24F5E"/>
    <w:rsid w:val="00C25DA9"/>
    <w:rsid w:val="00C26C34"/>
    <w:rsid w:val="00C26C71"/>
    <w:rsid w:val="00C26FB4"/>
    <w:rsid w:val="00C306F3"/>
    <w:rsid w:val="00C349DB"/>
    <w:rsid w:val="00C45B7E"/>
    <w:rsid w:val="00C46CFB"/>
    <w:rsid w:val="00C51544"/>
    <w:rsid w:val="00C52553"/>
    <w:rsid w:val="00C528EE"/>
    <w:rsid w:val="00C5315D"/>
    <w:rsid w:val="00C57ED4"/>
    <w:rsid w:val="00C60537"/>
    <w:rsid w:val="00C612A9"/>
    <w:rsid w:val="00C6138F"/>
    <w:rsid w:val="00C64C7F"/>
    <w:rsid w:val="00C66682"/>
    <w:rsid w:val="00C673F2"/>
    <w:rsid w:val="00C72DBC"/>
    <w:rsid w:val="00C73136"/>
    <w:rsid w:val="00C75161"/>
    <w:rsid w:val="00C76227"/>
    <w:rsid w:val="00C7690E"/>
    <w:rsid w:val="00C81260"/>
    <w:rsid w:val="00C86C19"/>
    <w:rsid w:val="00C878E4"/>
    <w:rsid w:val="00C91F88"/>
    <w:rsid w:val="00C92DBB"/>
    <w:rsid w:val="00C93B82"/>
    <w:rsid w:val="00C94373"/>
    <w:rsid w:val="00C95413"/>
    <w:rsid w:val="00CA30AF"/>
    <w:rsid w:val="00CA584C"/>
    <w:rsid w:val="00CB1688"/>
    <w:rsid w:val="00CB263A"/>
    <w:rsid w:val="00CB33AB"/>
    <w:rsid w:val="00CB6452"/>
    <w:rsid w:val="00CC4884"/>
    <w:rsid w:val="00CC7803"/>
    <w:rsid w:val="00CD177B"/>
    <w:rsid w:val="00CD17B7"/>
    <w:rsid w:val="00CD2485"/>
    <w:rsid w:val="00CD4CA0"/>
    <w:rsid w:val="00CD4DEE"/>
    <w:rsid w:val="00CD5DDB"/>
    <w:rsid w:val="00CE0A03"/>
    <w:rsid w:val="00CE4665"/>
    <w:rsid w:val="00CE4EC0"/>
    <w:rsid w:val="00CE59F8"/>
    <w:rsid w:val="00CE7FE3"/>
    <w:rsid w:val="00CF0F8A"/>
    <w:rsid w:val="00CF106A"/>
    <w:rsid w:val="00CF2DC5"/>
    <w:rsid w:val="00CF4DAE"/>
    <w:rsid w:val="00CF5C33"/>
    <w:rsid w:val="00CF6FD6"/>
    <w:rsid w:val="00CF7667"/>
    <w:rsid w:val="00CF7E6C"/>
    <w:rsid w:val="00D01F7A"/>
    <w:rsid w:val="00D03D01"/>
    <w:rsid w:val="00D0484E"/>
    <w:rsid w:val="00D057BF"/>
    <w:rsid w:val="00D1032B"/>
    <w:rsid w:val="00D1153B"/>
    <w:rsid w:val="00D13D37"/>
    <w:rsid w:val="00D141F5"/>
    <w:rsid w:val="00D14FBB"/>
    <w:rsid w:val="00D15007"/>
    <w:rsid w:val="00D151A3"/>
    <w:rsid w:val="00D1577C"/>
    <w:rsid w:val="00D159AE"/>
    <w:rsid w:val="00D15C7B"/>
    <w:rsid w:val="00D16F2A"/>
    <w:rsid w:val="00D25FEB"/>
    <w:rsid w:val="00D26ECC"/>
    <w:rsid w:val="00D2778B"/>
    <w:rsid w:val="00D30010"/>
    <w:rsid w:val="00D307C9"/>
    <w:rsid w:val="00D30938"/>
    <w:rsid w:val="00D3296E"/>
    <w:rsid w:val="00D36B7E"/>
    <w:rsid w:val="00D40E0C"/>
    <w:rsid w:val="00D4155F"/>
    <w:rsid w:val="00D41810"/>
    <w:rsid w:val="00D42120"/>
    <w:rsid w:val="00D438C1"/>
    <w:rsid w:val="00D50037"/>
    <w:rsid w:val="00D524BE"/>
    <w:rsid w:val="00D53889"/>
    <w:rsid w:val="00D54F78"/>
    <w:rsid w:val="00D57612"/>
    <w:rsid w:val="00D60B32"/>
    <w:rsid w:val="00D61F4E"/>
    <w:rsid w:val="00D65C57"/>
    <w:rsid w:val="00D662BB"/>
    <w:rsid w:val="00D71E77"/>
    <w:rsid w:val="00D72C35"/>
    <w:rsid w:val="00D737EB"/>
    <w:rsid w:val="00D76A91"/>
    <w:rsid w:val="00D8015D"/>
    <w:rsid w:val="00D81B9C"/>
    <w:rsid w:val="00D8592B"/>
    <w:rsid w:val="00D86EF4"/>
    <w:rsid w:val="00D93233"/>
    <w:rsid w:val="00D93B8D"/>
    <w:rsid w:val="00D94292"/>
    <w:rsid w:val="00D94330"/>
    <w:rsid w:val="00D954EB"/>
    <w:rsid w:val="00DA0554"/>
    <w:rsid w:val="00DA3913"/>
    <w:rsid w:val="00DA4714"/>
    <w:rsid w:val="00DA4D5C"/>
    <w:rsid w:val="00DA5885"/>
    <w:rsid w:val="00DB1E27"/>
    <w:rsid w:val="00DB5ACE"/>
    <w:rsid w:val="00DC0458"/>
    <w:rsid w:val="00DC26B2"/>
    <w:rsid w:val="00DC3C97"/>
    <w:rsid w:val="00DD02BA"/>
    <w:rsid w:val="00DD0F82"/>
    <w:rsid w:val="00DD22D6"/>
    <w:rsid w:val="00DD4378"/>
    <w:rsid w:val="00DD47EA"/>
    <w:rsid w:val="00DE0F45"/>
    <w:rsid w:val="00DE3F7F"/>
    <w:rsid w:val="00DE5B97"/>
    <w:rsid w:val="00DE648E"/>
    <w:rsid w:val="00DE64F4"/>
    <w:rsid w:val="00DE65F0"/>
    <w:rsid w:val="00DF2A32"/>
    <w:rsid w:val="00DF35DA"/>
    <w:rsid w:val="00DF4D02"/>
    <w:rsid w:val="00DF56AC"/>
    <w:rsid w:val="00E01980"/>
    <w:rsid w:val="00E02D04"/>
    <w:rsid w:val="00E047FE"/>
    <w:rsid w:val="00E06786"/>
    <w:rsid w:val="00E15958"/>
    <w:rsid w:val="00E16038"/>
    <w:rsid w:val="00E16B20"/>
    <w:rsid w:val="00E22319"/>
    <w:rsid w:val="00E2695E"/>
    <w:rsid w:val="00E27AA7"/>
    <w:rsid w:val="00E3233E"/>
    <w:rsid w:val="00E32C54"/>
    <w:rsid w:val="00E343E9"/>
    <w:rsid w:val="00E369CE"/>
    <w:rsid w:val="00E40086"/>
    <w:rsid w:val="00E401DC"/>
    <w:rsid w:val="00E4104F"/>
    <w:rsid w:val="00E41629"/>
    <w:rsid w:val="00E41A4E"/>
    <w:rsid w:val="00E42F98"/>
    <w:rsid w:val="00E4468E"/>
    <w:rsid w:val="00E4476E"/>
    <w:rsid w:val="00E44B64"/>
    <w:rsid w:val="00E47866"/>
    <w:rsid w:val="00E47970"/>
    <w:rsid w:val="00E51089"/>
    <w:rsid w:val="00E52326"/>
    <w:rsid w:val="00E52654"/>
    <w:rsid w:val="00E53411"/>
    <w:rsid w:val="00E56B66"/>
    <w:rsid w:val="00E56C6D"/>
    <w:rsid w:val="00E60C5C"/>
    <w:rsid w:val="00E61F0E"/>
    <w:rsid w:val="00E6739E"/>
    <w:rsid w:val="00E72AF3"/>
    <w:rsid w:val="00E74692"/>
    <w:rsid w:val="00E755F5"/>
    <w:rsid w:val="00E808B7"/>
    <w:rsid w:val="00E80A39"/>
    <w:rsid w:val="00E8191A"/>
    <w:rsid w:val="00E81C51"/>
    <w:rsid w:val="00E822DA"/>
    <w:rsid w:val="00E93C58"/>
    <w:rsid w:val="00E96168"/>
    <w:rsid w:val="00E96352"/>
    <w:rsid w:val="00EA0229"/>
    <w:rsid w:val="00EA0C5D"/>
    <w:rsid w:val="00EA24F9"/>
    <w:rsid w:val="00EA40A6"/>
    <w:rsid w:val="00EA5092"/>
    <w:rsid w:val="00EA6B49"/>
    <w:rsid w:val="00EB0162"/>
    <w:rsid w:val="00EC489F"/>
    <w:rsid w:val="00EC60BB"/>
    <w:rsid w:val="00ED02AB"/>
    <w:rsid w:val="00ED163D"/>
    <w:rsid w:val="00ED44E2"/>
    <w:rsid w:val="00ED55BF"/>
    <w:rsid w:val="00ED7C66"/>
    <w:rsid w:val="00EE0C07"/>
    <w:rsid w:val="00EE1AA9"/>
    <w:rsid w:val="00EE38CF"/>
    <w:rsid w:val="00EE66FC"/>
    <w:rsid w:val="00EE692C"/>
    <w:rsid w:val="00EF1533"/>
    <w:rsid w:val="00EF4A12"/>
    <w:rsid w:val="00EF7D8F"/>
    <w:rsid w:val="00F04F0E"/>
    <w:rsid w:val="00F10E63"/>
    <w:rsid w:val="00F11A1D"/>
    <w:rsid w:val="00F11DBD"/>
    <w:rsid w:val="00F1338B"/>
    <w:rsid w:val="00F16349"/>
    <w:rsid w:val="00F20E36"/>
    <w:rsid w:val="00F21DFF"/>
    <w:rsid w:val="00F22B8E"/>
    <w:rsid w:val="00F2594C"/>
    <w:rsid w:val="00F308F1"/>
    <w:rsid w:val="00F31AD6"/>
    <w:rsid w:val="00F3295A"/>
    <w:rsid w:val="00F3536D"/>
    <w:rsid w:val="00F4623D"/>
    <w:rsid w:val="00F4720A"/>
    <w:rsid w:val="00F472B8"/>
    <w:rsid w:val="00F47AC3"/>
    <w:rsid w:val="00F505E2"/>
    <w:rsid w:val="00F54266"/>
    <w:rsid w:val="00F60F17"/>
    <w:rsid w:val="00F6156D"/>
    <w:rsid w:val="00F631EF"/>
    <w:rsid w:val="00F63809"/>
    <w:rsid w:val="00F63E8C"/>
    <w:rsid w:val="00F66DD0"/>
    <w:rsid w:val="00F7044F"/>
    <w:rsid w:val="00F70BD3"/>
    <w:rsid w:val="00F7165D"/>
    <w:rsid w:val="00F723FC"/>
    <w:rsid w:val="00F758E0"/>
    <w:rsid w:val="00F76526"/>
    <w:rsid w:val="00F834B9"/>
    <w:rsid w:val="00F90457"/>
    <w:rsid w:val="00F91F2E"/>
    <w:rsid w:val="00F924CD"/>
    <w:rsid w:val="00F92FCA"/>
    <w:rsid w:val="00F96055"/>
    <w:rsid w:val="00FA03B3"/>
    <w:rsid w:val="00FA1C91"/>
    <w:rsid w:val="00FA28C4"/>
    <w:rsid w:val="00FA5113"/>
    <w:rsid w:val="00FB0D6A"/>
    <w:rsid w:val="00FB2181"/>
    <w:rsid w:val="00FB46D5"/>
    <w:rsid w:val="00FC03EF"/>
    <w:rsid w:val="00FC05B7"/>
    <w:rsid w:val="00FC4BC8"/>
    <w:rsid w:val="00FC7847"/>
    <w:rsid w:val="00FD2AE3"/>
    <w:rsid w:val="00FD7E12"/>
    <w:rsid w:val="00FE0B39"/>
    <w:rsid w:val="00FE1C42"/>
    <w:rsid w:val="00FE3F40"/>
    <w:rsid w:val="00FE51D6"/>
    <w:rsid w:val="00FF03A1"/>
    <w:rsid w:val="00FF04A2"/>
    <w:rsid w:val="00FF1CD0"/>
    <w:rsid w:val="00FF254C"/>
    <w:rsid w:val="00FF3A2C"/>
    <w:rsid w:val="00FF46C8"/>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765AC452-B408-4F14-ABD8-DD00DE1CA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link w:val="Sraopastraipa"/>
    <w:uiPriority w:val="34"/>
    <w:qFormat/>
    <w:locked/>
    <w:rsid w:val="008D3A24"/>
    <w:rPr>
      <w:rFonts w:ascii="Calibri" w:hAnsi="Calibri"/>
      <w:sz w:val="22"/>
      <w:szCs w:val="22"/>
    </w:rPr>
  </w:style>
  <w:style w:type="paragraph" w:customStyle="1" w:styleId="taltipfb">
    <w:name w:val="taltipfb"/>
    <w:basedOn w:val="prastasis"/>
    <w:rsid w:val="00296E0B"/>
    <w:pPr>
      <w:spacing w:before="100" w:beforeAutospacing="1" w:after="100" w:afterAutospacing="1"/>
    </w:pPr>
  </w:style>
  <w:style w:type="paragraph" w:customStyle="1" w:styleId="tajtip">
    <w:name w:val="tajtip"/>
    <w:basedOn w:val="prastasis"/>
    <w:rsid w:val="00296E0B"/>
    <w:pPr>
      <w:spacing w:before="100" w:beforeAutospacing="1" w:after="100" w:afterAutospacing="1"/>
    </w:pPr>
  </w:style>
  <w:style w:type="paragraph" w:customStyle="1" w:styleId="Default">
    <w:name w:val="Default"/>
    <w:rsid w:val="00951481"/>
    <w:pPr>
      <w:autoSpaceDE w:val="0"/>
      <w:autoSpaceDN w:val="0"/>
      <w:adjustRightInd w:val="0"/>
    </w:pPr>
    <w:rPr>
      <w:color w:val="000000"/>
      <w:sz w:val="24"/>
      <w:szCs w:val="24"/>
    </w:rPr>
  </w:style>
  <w:style w:type="character" w:styleId="Hipersaitas">
    <w:name w:val="Hyperlink"/>
    <w:basedOn w:val="Numatytasispastraiposriftas"/>
    <w:unhideWhenUsed/>
    <w:rsid w:val="00951481"/>
    <w:rPr>
      <w:color w:val="0563C1" w:themeColor="hyperlink"/>
      <w:u w:val="single"/>
    </w:rPr>
  </w:style>
  <w:style w:type="character" w:styleId="Neapdorotaspaminjimas">
    <w:name w:val="Unresolved Mention"/>
    <w:basedOn w:val="Numatytasispastraiposriftas"/>
    <w:uiPriority w:val="99"/>
    <w:semiHidden/>
    <w:unhideWhenUsed/>
    <w:rsid w:val="00951481"/>
    <w:rPr>
      <w:color w:val="605E5C"/>
      <w:shd w:val="clear" w:color="auto" w:fill="E1DFDD"/>
    </w:rPr>
  </w:style>
  <w:style w:type="character" w:styleId="Perirtashipersaitas">
    <w:name w:val="FollowedHyperlink"/>
    <w:basedOn w:val="Numatytasispastraiposriftas"/>
    <w:semiHidden/>
    <w:unhideWhenUsed/>
    <w:rsid w:val="003F607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415597">
      <w:bodyDiv w:val="1"/>
      <w:marLeft w:val="0"/>
      <w:marRight w:val="0"/>
      <w:marTop w:val="0"/>
      <w:marBottom w:val="0"/>
      <w:divBdr>
        <w:top w:val="none" w:sz="0" w:space="0" w:color="auto"/>
        <w:left w:val="none" w:sz="0" w:space="0" w:color="auto"/>
        <w:bottom w:val="none" w:sz="0" w:space="0" w:color="auto"/>
        <w:right w:val="none" w:sz="0" w:space="0" w:color="auto"/>
      </w:divBdr>
    </w:div>
    <w:div w:id="246773457">
      <w:bodyDiv w:val="1"/>
      <w:marLeft w:val="0"/>
      <w:marRight w:val="0"/>
      <w:marTop w:val="0"/>
      <w:marBottom w:val="0"/>
      <w:divBdr>
        <w:top w:val="none" w:sz="0" w:space="0" w:color="auto"/>
        <w:left w:val="none" w:sz="0" w:space="0" w:color="auto"/>
        <w:bottom w:val="none" w:sz="0" w:space="0" w:color="auto"/>
        <w:right w:val="none" w:sz="0" w:space="0" w:color="auto"/>
      </w:divBdr>
    </w:div>
    <w:div w:id="390470466">
      <w:bodyDiv w:val="1"/>
      <w:marLeft w:val="0"/>
      <w:marRight w:val="0"/>
      <w:marTop w:val="0"/>
      <w:marBottom w:val="0"/>
      <w:divBdr>
        <w:top w:val="none" w:sz="0" w:space="0" w:color="auto"/>
        <w:left w:val="none" w:sz="0" w:space="0" w:color="auto"/>
        <w:bottom w:val="none" w:sz="0" w:space="0" w:color="auto"/>
        <w:right w:val="none" w:sz="0" w:space="0" w:color="auto"/>
      </w:divBdr>
    </w:div>
    <w:div w:id="862129197">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63729528">
      <w:bodyDiv w:val="1"/>
      <w:marLeft w:val="0"/>
      <w:marRight w:val="0"/>
      <w:marTop w:val="0"/>
      <w:marBottom w:val="0"/>
      <w:divBdr>
        <w:top w:val="none" w:sz="0" w:space="0" w:color="auto"/>
        <w:left w:val="none" w:sz="0" w:space="0" w:color="auto"/>
        <w:bottom w:val="none" w:sz="0" w:space="0" w:color="auto"/>
        <w:right w:val="none" w:sz="0" w:space="0" w:color="auto"/>
      </w:divBdr>
    </w:div>
    <w:div w:id="1234704281">
      <w:bodyDiv w:val="1"/>
      <w:marLeft w:val="0"/>
      <w:marRight w:val="0"/>
      <w:marTop w:val="0"/>
      <w:marBottom w:val="0"/>
      <w:divBdr>
        <w:top w:val="none" w:sz="0" w:space="0" w:color="auto"/>
        <w:left w:val="none" w:sz="0" w:space="0" w:color="auto"/>
        <w:bottom w:val="none" w:sz="0" w:space="0" w:color="auto"/>
        <w:right w:val="none" w:sz="0" w:space="0" w:color="auto"/>
      </w:divBdr>
    </w:div>
    <w:div w:id="1490750880">
      <w:bodyDiv w:val="1"/>
      <w:marLeft w:val="0"/>
      <w:marRight w:val="0"/>
      <w:marTop w:val="0"/>
      <w:marBottom w:val="0"/>
      <w:divBdr>
        <w:top w:val="none" w:sz="0" w:space="0" w:color="auto"/>
        <w:left w:val="none" w:sz="0" w:space="0" w:color="auto"/>
        <w:bottom w:val="none" w:sz="0" w:space="0" w:color="auto"/>
        <w:right w:val="none" w:sz="0" w:space="0" w:color="auto"/>
      </w:divBdr>
    </w:div>
    <w:div w:id="1543400594">
      <w:bodyDiv w:val="1"/>
      <w:marLeft w:val="0"/>
      <w:marRight w:val="0"/>
      <w:marTop w:val="0"/>
      <w:marBottom w:val="0"/>
      <w:divBdr>
        <w:top w:val="none" w:sz="0" w:space="0" w:color="auto"/>
        <w:left w:val="none" w:sz="0" w:space="0" w:color="auto"/>
        <w:bottom w:val="none" w:sz="0" w:space="0" w:color="auto"/>
        <w:right w:val="none" w:sz="0" w:space="0" w:color="auto"/>
      </w:divBdr>
    </w:div>
    <w:div w:id="1565216738">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833763969">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hcch.net/en/instruments/conventions/status-table/?cid=98"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092411-FC52-42E3-BF21-0AC8CC97C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15</Pages>
  <Words>8506</Words>
  <Characters>48488</Characters>
  <Application>Microsoft Office Word</Application>
  <DocSecurity>0</DocSecurity>
  <PresentationFormat/>
  <Lines>404</Lines>
  <Paragraphs>113</Paragraphs>
  <Slides>0</Slides>
  <Notes>0</Notes>
  <HiddenSlides>0</HiddenSlides>
  <MMClips>0</MMClip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PASTABA: D</vt:lpstr>
      <vt:lpstr>PASTABA: D</vt:lpstr>
    </vt:vector>
  </TitlesOfParts>
  <Company/>
  <LinksUpToDate>false</LinksUpToDate>
  <CharactersWithSpaces>56881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Justina Zokaitė</cp:lastModifiedBy>
  <cp:revision>2</cp:revision>
  <cp:lastPrinted>2024-07-04T09:00:00Z</cp:lastPrinted>
  <dcterms:created xsi:type="dcterms:W3CDTF">2024-09-30T12:11:00Z</dcterms:created>
  <dcterms:modified xsi:type="dcterms:W3CDTF">2024-10-02T08:23:00Z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ies>
</file>