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5268E" w14:textId="35936900" w:rsidR="00A30CAC" w:rsidRPr="00B504D7" w:rsidRDefault="00000000">
      <w:pPr>
        <w:ind w:left="4320" w:firstLine="720"/>
        <w:rPr>
          <w:rFonts w:cs="Times New Roman"/>
          <w:lang w:val="lt-LT"/>
        </w:rPr>
      </w:pPr>
      <w:r w:rsidRPr="00B504D7">
        <w:rPr>
          <w:rFonts w:cs="Times New Roman"/>
          <w:lang w:val="lt-LT"/>
        </w:rPr>
        <w:t>Baudžiamoji byla Nr. 2K-</w:t>
      </w:r>
      <w:r w:rsidR="00D22FCC" w:rsidRPr="00B504D7">
        <w:rPr>
          <w:rFonts w:cs="Times New Roman"/>
          <w:lang w:val="lt-LT"/>
        </w:rPr>
        <w:t>7</w:t>
      </w:r>
      <w:r w:rsidRPr="00B504D7">
        <w:rPr>
          <w:rFonts w:cs="Times New Roman"/>
          <w:lang w:val="lt-LT"/>
        </w:rPr>
        <w:t>-</w:t>
      </w:r>
      <w:r w:rsidR="00D22FCC" w:rsidRPr="00B504D7">
        <w:rPr>
          <w:rFonts w:cs="Times New Roman"/>
          <w:lang w:val="lt-LT"/>
        </w:rPr>
        <w:t>29-</w:t>
      </w:r>
      <w:r w:rsidR="00BD715D" w:rsidRPr="00B504D7">
        <w:rPr>
          <w:rFonts w:cs="Times New Roman"/>
          <w:lang w:val="lt-LT"/>
        </w:rPr>
        <w:t>594</w:t>
      </w:r>
      <w:r w:rsidRPr="00B504D7">
        <w:rPr>
          <w:rFonts w:cs="Times New Roman"/>
          <w:lang w:val="lt-LT"/>
        </w:rPr>
        <w:t>/202</w:t>
      </w:r>
      <w:r w:rsidR="00D22FCC" w:rsidRPr="00B504D7">
        <w:rPr>
          <w:rFonts w:cs="Times New Roman"/>
          <w:lang w:val="lt-LT"/>
        </w:rPr>
        <w:t>5</w:t>
      </w:r>
    </w:p>
    <w:p w14:paraId="3344DA25" w14:textId="07640693" w:rsidR="00A30CAC" w:rsidRPr="00B504D7" w:rsidRDefault="00000000">
      <w:pPr>
        <w:ind w:left="5040"/>
        <w:rPr>
          <w:rFonts w:cs="Times New Roman"/>
          <w:lang w:val="lt-LT"/>
        </w:rPr>
      </w:pPr>
      <w:r w:rsidRPr="00B504D7">
        <w:rPr>
          <w:rFonts w:cs="Times New Roman"/>
          <w:lang w:val="lt-LT"/>
        </w:rPr>
        <w:t xml:space="preserve">Teisminio proceso Nr. </w:t>
      </w:r>
      <w:r w:rsidR="00BD715D" w:rsidRPr="00B504D7">
        <w:rPr>
          <w:rFonts w:cs="Times New Roman"/>
          <w:lang w:val="lt-LT"/>
        </w:rPr>
        <w:t>1-03-7-00001-2022-8</w:t>
      </w:r>
    </w:p>
    <w:p w14:paraId="3239640A" w14:textId="77777777" w:rsidR="004F1F30" w:rsidRDefault="00000000" w:rsidP="004F1F30">
      <w:pPr>
        <w:ind w:left="5040"/>
        <w:jc w:val="both"/>
        <w:rPr>
          <w:rStyle w:val="NoneA"/>
          <w:rFonts w:cs="Times New Roman"/>
          <w:color w:val="auto"/>
          <w:lang w:val="lt-LT"/>
        </w:rPr>
      </w:pPr>
      <w:r w:rsidRPr="00B504D7">
        <w:rPr>
          <w:rFonts w:cs="Times New Roman"/>
          <w:lang w:val="lt-LT"/>
        </w:rPr>
        <w:t xml:space="preserve">Procesinio sprendimo </w:t>
      </w:r>
      <w:r w:rsidRPr="00B504D7">
        <w:rPr>
          <w:rFonts w:cs="Times New Roman"/>
          <w:color w:val="auto"/>
          <w:lang w:val="lt-LT"/>
        </w:rPr>
        <w:t>kategorij</w:t>
      </w:r>
      <w:r w:rsidR="00900172" w:rsidRPr="00B504D7">
        <w:rPr>
          <w:rFonts w:cs="Times New Roman"/>
          <w:color w:val="auto"/>
          <w:lang w:val="lt-LT"/>
        </w:rPr>
        <w:t xml:space="preserve">os: </w:t>
      </w:r>
      <w:r w:rsidR="000425CA" w:rsidRPr="00B504D7">
        <w:rPr>
          <w:rFonts w:cs="Times New Roman"/>
          <w:color w:val="auto"/>
          <w:lang w:val="lt-LT"/>
        </w:rPr>
        <w:t>1.1.8.12; 1.1.8.1.2</w:t>
      </w:r>
    </w:p>
    <w:p w14:paraId="68ED8981" w14:textId="05FF67AF" w:rsidR="00A30CAC" w:rsidRDefault="004F1F30" w:rsidP="004F1F30">
      <w:pPr>
        <w:ind w:left="5040"/>
        <w:jc w:val="both"/>
        <w:rPr>
          <w:rFonts w:cs="Times New Roman"/>
          <w:color w:val="auto"/>
          <w:lang w:val="lt-LT"/>
        </w:rPr>
      </w:pPr>
      <w:r>
        <w:rPr>
          <w:rFonts w:cs="Times New Roman"/>
          <w:color w:val="auto"/>
          <w:lang w:val="lt-LT"/>
        </w:rPr>
        <w:t xml:space="preserve">(S) </w:t>
      </w:r>
    </w:p>
    <w:p w14:paraId="2C2ABF17" w14:textId="77777777" w:rsidR="004F1F30" w:rsidRPr="00B504D7" w:rsidRDefault="004F1F30">
      <w:pPr>
        <w:ind w:left="5340"/>
        <w:rPr>
          <w:rFonts w:cs="Times New Roman"/>
          <w:color w:val="auto"/>
          <w:lang w:val="lt-LT"/>
        </w:rPr>
      </w:pPr>
    </w:p>
    <w:p w14:paraId="7BC11737" w14:textId="77777777" w:rsidR="00A30CAC" w:rsidRPr="00B504D7" w:rsidRDefault="00000000">
      <w:pPr>
        <w:jc w:val="center"/>
        <w:rPr>
          <w:rFonts w:cs="Times New Roman"/>
          <w:color w:val="auto"/>
          <w:lang w:val="lt-LT"/>
        </w:rPr>
      </w:pPr>
      <w:r w:rsidRPr="00B504D7">
        <w:rPr>
          <w:rFonts w:cs="Times New Roman"/>
          <w:noProof/>
          <w:color w:val="auto"/>
          <w:lang w:val="lt-LT"/>
        </w:rPr>
        <w:drawing>
          <wp:inline distT="0" distB="0" distL="0" distR="0" wp14:anchorId="20B5B10F" wp14:editId="75564C6F">
            <wp:extent cx="676910" cy="694691"/>
            <wp:effectExtent l="0" t="0" r="0" b="0"/>
            <wp:docPr id="1073741825" name="officeArt object" descr="Paveikslėlis 1"/>
            <wp:cNvGraphicFramePr/>
            <a:graphic xmlns:a="http://schemas.openxmlformats.org/drawingml/2006/main">
              <a:graphicData uri="http://schemas.openxmlformats.org/drawingml/2006/picture">
                <pic:pic xmlns:pic="http://schemas.openxmlformats.org/drawingml/2006/picture">
                  <pic:nvPicPr>
                    <pic:cNvPr id="1073741825" name="Paveikslėlis 1" descr="Paveikslėlis 1"/>
                    <pic:cNvPicPr>
                      <a:picLocks noChangeAspect="1"/>
                    </pic:cNvPicPr>
                  </pic:nvPicPr>
                  <pic:blipFill>
                    <a:blip r:embed="rId8"/>
                    <a:stretch>
                      <a:fillRect/>
                    </a:stretch>
                  </pic:blipFill>
                  <pic:spPr>
                    <a:xfrm>
                      <a:off x="0" y="0"/>
                      <a:ext cx="676910" cy="694691"/>
                    </a:xfrm>
                    <a:prstGeom prst="rect">
                      <a:avLst/>
                    </a:prstGeom>
                    <a:ln w="12700" cap="flat">
                      <a:noFill/>
                      <a:miter lim="400000"/>
                    </a:ln>
                    <a:effectLst/>
                  </pic:spPr>
                </pic:pic>
              </a:graphicData>
            </a:graphic>
          </wp:inline>
        </w:drawing>
      </w:r>
    </w:p>
    <w:p w14:paraId="39A494C3" w14:textId="77777777" w:rsidR="00A30CAC" w:rsidRPr="00B504D7" w:rsidRDefault="00A30CAC">
      <w:pPr>
        <w:jc w:val="center"/>
        <w:rPr>
          <w:rFonts w:cs="Times New Roman"/>
          <w:color w:val="auto"/>
          <w:lang w:val="lt-LT"/>
        </w:rPr>
      </w:pPr>
    </w:p>
    <w:p w14:paraId="79EBD960" w14:textId="77777777" w:rsidR="00A30CAC" w:rsidRPr="00B504D7" w:rsidRDefault="00000000">
      <w:pPr>
        <w:keepNext/>
        <w:jc w:val="center"/>
        <w:outlineLvl w:val="0"/>
        <w:rPr>
          <w:rFonts w:cs="Times New Roman"/>
          <w:b/>
          <w:bCs/>
          <w:sz w:val="32"/>
          <w:szCs w:val="32"/>
          <w:lang w:val="lt-LT"/>
        </w:rPr>
      </w:pPr>
      <w:r w:rsidRPr="00B504D7">
        <w:rPr>
          <w:rFonts w:cs="Times New Roman"/>
          <w:b/>
          <w:bCs/>
          <w:sz w:val="32"/>
          <w:szCs w:val="32"/>
          <w:lang w:val="lt-LT"/>
        </w:rPr>
        <w:t>LIETUVOS AUKŠČIAUSIASIS TEISMAS</w:t>
      </w:r>
    </w:p>
    <w:p w14:paraId="67FF1E3A" w14:textId="77777777" w:rsidR="00A30CAC" w:rsidRPr="00B504D7" w:rsidRDefault="00A30CAC">
      <w:pPr>
        <w:keepNext/>
        <w:outlineLvl w:val="0"/>
        <w:rPr>
          <w:rFonts w:cs="Times New Roman"/>
          <w:b/>
          <w:bCs/>
          <w:sz w:val="32"/>
          <w:szCs w:val="32"/>
          <w:lang w:val="lt-LT"/>
        </w:rPr>
      </w:pPr>
    </w:p>
    <w:p w14:paraId="413775B4" w14:textId="77777777" w:rsidR="00A30CAC" w:rsidRPr="00B504D7" w:rsidRDefault="00000000">
      <w:pPr>
        <w:keepNext/>
        <w:jc w:val="center"/>
        <w:outlineLvl w:val="0"/>
        <w:rPr>
          <w:rFonts w:cs="Times New Roman"/>
          <w:b/>
          <w:bCs/>
          <w:sz w:val="32"/>
          <w:szCs w:val="32"/>
          <w:lang w:val="lt-LT"/>
        </w:rPr>
      </w:pPr>
      <w:r w:rsidRPr="00B504D7">
        <w:rPr>
          <w:rFonts w:cs="Times New Roman"/>
          <w:b/>
          <w:bCs/>
          <w:sz w:val="32"/>
          <w:szCs w:val="32"/>
          <w:lang w:val="lt-LT"/>
        </w:rPr>
        <w:t>N U T A R T I S</w:t>
      </w:r>
    </w:p>
    <w:p w14:paraId="07AB640B" w14:textId="77777777" w:rsidR="00A30CAC" w:rsidRPr="00B504D7" w:rsidRDefault="00000000">
      <w:pPr>
        <w:keepNext/>
        <w:jc w:val="center"/>
        <w:outlineLvl w:val="1"/>
        <w:rPr>
          <w:rFonts w:cs="Times New Roman"/>
          <w:sz w:val="28"/>
          <w:szCs w:val="28"/>
          <w:lang w:val="lt-LT"/>
        </w:rPr>
      </w:pPr>
      <w:r w:rsidRPr="00B504D7">
        <w:rPr>
          <w:rFonts w:cs="Times New Roman"/>
          <w:lang w:val="lt-LT"/>
        </w:rPr>
        <w:t>LIETUVOS RESPUBLIKOS VARDU</w:t>
      </w:r>
    </w:p>
    <w:p w14:paraId="5529B1D1" w14:textId="77777777" w:rsidR="00A30CAC" w:rsidRPr="00B504D7" w:rsidRDefault="00A30CAC">
      <w:pPr>
        <w:rPr>
          <w:rFonts w:cs="Times New Roman"/>
          <w:lang w:val="lt-LT"/>
        </w:rPr>
      </w:pPr>
    </w:p>
    <w:p w14:paraId="3B978521" w14:textId="69335BF1" w:rsidR="00A30CAC" w:rsidRPr="00B504D7" w:rsidRDefault="00000000">
      <w:pPr>
        <w:keepNext/>
        <w:jc w:val="center"/>
        <w:outlineLvl w:val="0"/>
        <w:rPr>
          <w:rFonts w:cs="Times New Roman"/>
          <w:lang w:val="lt-LT"/>
        </w:rPr>
      </w:pPr>
      <w:r w:rsidRPr="00B504D7">
        <w:rPr>
          <w:rFonts w:cs="Times New Roman"/>
          <w:lang w:val="lt-LT"/>
        </w:rPr>
        <w:t>202</w:t>
      </w:r>
      <w:r w:rsidR="005557CD" w:rsidRPr="00B504D7">
        <w:rPr>
          <w:rFonts w:cs="Times New Roman"/>
          <w:lang w:val="lt-LT"/>
        </w:rPr>
        <w:t>5</w:t>
      </w:r>
      <w:r w:rsidRPr="00B504D7">
        <w:rPr>
          <w:rFonts w:cs="Times New Roman"/>
          <w:lang w:val="lt-LT"/>
        </w:rPr>
        <w:t xml:space="preserve"> </w:t>
      </w:r>
      <w:r w:rsidRPr="00B504D7">
        <w:rPr>
          <w:rFonts w:cs="Times New Roman"/>
          <w:color w:val="auto"/>
          <w:lang w:val="lt-LT"/>
        </w:rPr>
        <w:t xml:space="preserve">m. </w:t>
      </w:r>
      <w:r w:rsidR="00D22FCC" w:rsidRPr="00B504D7">
        <w:rPr>
          <w:rFonts w:cs="Times New Roman"/>
          <w:color w:val="auto"/>
          <w:lang w:val="lt-LT"/>
        </w:rPr>
        <w:t xml:space="preserve">kovo </w:t>
      </w:r>
      <w:r w:rsidR="002D3CFF" w:rsidRPr="00B504D7">
        <w:rPr>
          <w:rFonts w:cs="Times New Roman"/>
          <w:color w:val="auto"/>
          <w:lang w:val="lt-LT"/>
        </w:rPr>
        <w:t xml:space="preserve">6 </w:t>
      </w:r>
      <w:r w:rsidRPr="00B504D7">
        <w:rPr>
          <w:rFonts w:cs="Times New Roman"/>
          <w:color w:val="auto"/>
          <w:lang w:val="lt-LT"/>
        </w:rPr>
        <w:t>d.</w:t>
      </w:r>
    </w:p>
    <w:p w14:paraId="3EDB1389" w14:textId="77777777" w:rsidR="00A30CAC" w:rsidRPr="00B504D7" w:rsidRDefault="00000000">
      <w:pPr>
        <w:jc w:val="center"/>
        <w:rPr>
          <w:rFonts w:cs="Times New Roman"/>
          <w:lang w:val="lt-LT"/>
        </w:rPr>
      </w:pPr>
      <w:r w:rsidRPr="00B504D7">
        <w:rPr>
          <w:rFonts w:cs="Times New Roman"/>
          <w:lang w:val="lt-LT"/>
        </w:rPr>
        <w:t>Vilnius</w:t>
      </w:r>
    </w:p>
    <w:p w14:paraId="758952B9" w14:textId="77777777" w:rsidR="00A30CAC" w:rsidRPr="00B504D7" w:rsidRDefault="00A30CAC">
      <w:pPr>
        <w:rPr>
          <w:rFonts w:cs="Times New Roman"/>
          <w:lang w:val="lt-LT"/>
        </w:rPr>
      </w:pPr>
    </w:p>
    <w:p w14:paraId="7BE392D5" w14:textId="2464755C" w:rsidR="005763B8" w:rsidRPr="00B504D7" w:rsidRDefault="005763B8" w:rsidP="005763B8">
      <w:pPr>
        <w:ind w:firstLine="720"/>
        <w:jc w:val="both"/>
        <w:rPr>
          <w:rFonts w:cs="Times New Roman"/>
          <w:lang w:val="lt-LT"/>
        </w:rPr>
      </w:pPr>
      <w:r w:rsidRPr="00B504D7">
        <w:rPr>
          <w:rFonts w:cs="Times New Roman"/>
          <w:lang w:val="lt-LT"/>
        </w:rPr>
        <w:t xml:space="preserve">Lietuvos Aukščiausiojo Teismo Baudžiamųjų bylų skyriaus išplėstinė septynių teisėjų kolegija, susidedanti iš teisėjų Daivos </w:t>
      </w:r>
      <w:proofErr w:type="spellStart"/>
      <w:r w:rsidRPr="00B504D7">
        <w:rPr>
          <w:rFonts w:cs="Times New Roman"/>
          <w:lang w:val="lt-LT"/>
        </w:rPr>
        <w:t>Pranytės-Zalieckienės</w:t>
      </w:r>
      <w:proofErr w:type="spellEnd"/>
      <w:r w:rsidRPr="00B504D7">
        <w:rPr>
          <w:rFonts w:cs="Times New Roman"/>
          <w:lang w:val="lt-LT"/>
        </w:rPr>
        <w:t xml:space="preserve"> (kolegijos pirmininkė), Rimos</w:t>
      </w:r>
      <w:r w:rsidR="00FD22A1" w:rsidRPr="00B504D7">
        <w:rPr>
          <w:rFonts w:cs="Times New Roman"/>
          <w:lang w:val="lt-LT"/>
        </w:rPr>
        <w:t> </w:t>
      </w:r>
      <w:r w:rsidRPr="00B504D7">
        <w:rPr>
          <w:rFonts w:cs="Times New Roman"/>
          <w:lang w:val="lt-LT"/>
        </w:rPr>
        <w:t xml:space="preserve">Ažubalytės, Olego </w:t>
      </w:r>
      <w:proofErr w:type="spellStart"/>
      <w:r w:rsidRPr="00B504D7">
        <w:rPr>
          <w:rFonts w:cs="Times New Roman"/>
          <w:lang w:val="lt-LT"/>
        </w:rPr>
        <w:t>Fedosiuko</w:t>
      </w:r>
      <w:proofErr w:type="spellEnd"/>
      <w:r w:rsidRPr="00B504D7">
        <w:rPr>
          <w:rFonts w:cs="Times New Roman"/>
          <w:lang w:val="lt-LT"/>
        </w:rPr>
        <w:t xml:space="preserve">, Artūro </w:t>
      </w:r>
      <w:proofErr w:type="spellStart"/>
      <w:r w:rsidRPr="00B504D7">
        <w:rPr>
          <w:rFonts w:cs="Times New Roman"/>
          <w:lang w:val="lt-LT"/>
        </w:rPr>
        <w:t>Pažarskio</w:t>
      </w:r>
      <w:proofErr w:type="spellEnd"/>
      <w:r w:rsidRPr="00B504D7">
        <w:rPr>
          <w:rFonts w:cs="Times New Roman"/>
          <w:lang w:val="lt-LT"/>
        </w:rPr>
        <w:t xml:space="preserve">, </w:t>
      </w:r>
      <w:r w:rsidR="007C7C82" w:rsidRPr="00B504D7">
        <w:rPr>
          <w:rFonts w:cs="Times New Roman"/>
          <w:lang w:val="lt-LT"/>
        </w:rPr>
        <w:t xml:space="preserve">Aleno </w:t>
      </w:r>
      <w:proofErr w:type="spellStart"/>
      <w:r w:rsidR="007C7C82" w:rsidRPr="00B504D7">
        <w:rPr>
          <w:rFonts w:cs="Times New Roman"/>
          <w:lang w:val="lt-LT"/>
        </w:rPr>
        <w:t>Piesliako</w:t>
      </w:r>
      <w:proofErr w:type="spellEnd"/>
      <w:r w:rsidR="007C7C82" w:rsidRPr="00B504D7">
        <w:rPr>
          <w:rFonts w:cs="Times New Roman"/>
          <w:lang w:val="lt-LT"/>
        </w:rPr>
        <w:t xml:space="preserve">, </w:t>
      </w:r>
      <w:r w:rsidRPr="00B504D7">
        <w:rPr>
          <w:rFonts w:cs="Times New Roman"/>
          <w:lang w:val="lt-LT"/>
        </w:rPr>
        <w:t xml:space="preserve">Tomo </w:t>
      </w:r>
      <w:proofErr w:type="spellStart"/>
      <w:r w:rsidRPr="00B504D7">
        <w:rPr>
          <w:rFonts w:cs="Times New Roman"/>
          <w:lang w:val="lt-LT"/>
        </w:rPr>
        <w:t>Šeškausko</w:t>
      </w:r>
      <w:proofErr w:type="spellEnd"/>
      <w:r w:rsidR="007C7C82" w:rsidRPr="00B504D7">
        <w:rPr>
          <w:rFonts w:cs="Times New Roman"/>
          <w:lang w:val="lt-LT"/>
        </w:rPr>
        <w:t xml:space="preserve"> </w:t>
      </w:r>
      <w:r w:rsidRPr="00B504D7">
        <w:rPr>
          <w:rFonts w:cs="Times New Roman"/>
          <w:lang w:val="lt-LT"/>
        </w:rPr>
        <w:t>ir Albino</w:t>
      </w:r>
      <w:r w:rsidR="001B16DB" w:rsidRPr="00B504D7">
        <w:rPr>
          <w:rFonts w:cs="Times New Roman"/>
          <w:lang w:val="lt-LT"/>
        </w:rPr>
        <w:t> </w:t>
      </w:r>
      <w:r w:rsidRPr="00B504D7">
        <w:rPr>
          <w:rFonts w:cs="Times New Roman"/>
          <w:lang w:val="lt-LT"/>
        </w:rPr>
        <w:t>Antanaičio (pranešėjas),</w:t>
      </w:r>
    </w:p>
    <w:p w14:paraId="37F929CB" w14:textId="30A4B384" w:rsidR="00B94F2E" w:rsidRPr="00B504D7" w:rsidRDefault="00B94F2E" w:rsidP="00B94F2E">
      <w:pPr>
        <w:jc w:val="both"/>
        <w:rPr>
          <w:rFonts w:cs="Times New Roman"/>
          <w:lang w:val="lt-LT"/>
        </w:rPr>
      </w:pPr>
      <w:r w:rsidRPr="00B504D7">
        <w:rPr>
          <w:rFonts w:cs="Times New Roman"/>
          <w:lang w:val="lt-LT"/>
        </w:rPr>
        <w:t xml:space="preserve">sekretoriaujant Daivai Kučinskienei, </w:t>
      </w:r>
      <w:r w:rsidR="00956385" w:rsidRPr="00B504D7">
        <w:rPr>
          <w:rFonts w:cs="Times New Roman"/>
          <w:lang w:val="lt-LT"/>
        </w:rPr>
        <w:t xml:space="preserve">Agatai </w:t>
      </w:r>
      <w:proofErr w:type="spellStart"/>
      <w:r w:rsidR="00956385" w:rsidRPr="00B504D7">
        <w:rPr>
          <w:rFonts w:cs="Times New Roman"/>
          <w:lang w:val="lt-LT"/>
        </w:rPr>
        <w:t>Minkel</w:t>
      </w:r>
      <w:proofErr w:type="spellEnd"/>
      <w:r w:rsidR="00956385" w:rsidRPr="00B504D7">
        <w:rPr>
          <w:rFonts w:cs="Times New Roman"/>
          <w:lang w:val="lt-LT"/>
        </w:rPr>
        <w:t>,</w:t>
      </w:r>
    </w:p>
    <w:p w14:paraId="6CC52CAE" w14:textId="77777777" w:rsidR="00B94F2E" w:rsidRPr="00B504D7" w:rsidRDefault="00B94F2E" w:rsidP="00B94F2E">
      <w:pPr>
        <w:jc w:val="both"/>
        <w:rPr>
          <w:rFonts w:cs="Times New Roman"/>
          <w:lang w:val="lt-LT"/>
        </w:rPr>
      </w:pPr>
      <w:r w:rsidRPr="00B504D7">
        <w:rPr>
          <w:rFonts w:cs="Times New Roman"/>
          <w:lang w:val="lt-LT"/>
        </w:rPr>
        <w:t xml:space="preserve">dalyvaujant prokurorui Artūrui </w:t>
      </w:r>
      <w:proofErr w:type="spellStart"/>
      <w:r w:rsidRPr="00B504D7">
        <w:rPr>
          <w:rFonts w:cs="Times New Roman"/>
          <w:lang w:val="lt-LT"/>
        </w:rPr>
        <w:t>Urbeliui</w:t>
      </w:r>
      <w:proofErr w:type="spellEnd"/>
      <w:r w:rsidRPr="00B504D7">
        <w:rPr>
          <w:rFonts w:cs="Times New Roman"/>
          <w:lang w:val="lt-LT"/>
        </w:rPr>
        <w:t xml:space="preserve">, </w:t>
      </w:r>
    </w:p>
    <w:p w14:paraId="63500A8B" w14:textId="77BB704F" w:rsidR="00B94F2E" w:rsidRPr="00B504D7" w:rsidRDefault="00B94F2E" w:rsidP="00B94F2E">
      <w:pPr>
        <w:jc w:val="both"/>
        <w:rPr>
          <w:rFonts w:cs="Times New Roman"/>
          <w:lang w:val="lt-LT"/>
        </w:rPr>
      </w:pPr>
      <w:r w:rsidRPr="00B504D7">
        <w:rPr>
          <w:rFonts w:cs="Times New Roman"/>
          <w:lang w:val="lt-LT"/>
        </w:rPr>
        <w:t xml:space="preserve">nuteistajam </w:t>
      </w:r>
      <w:bookmarkStart w:id="0" w:name="Buk_121"/>
      <w:r w:rsidR="004F1F30" w:rsidRPr="004F1F30">
        <w:rPr>
          <w:rFonts w:cs="Times New Roman"/>
          <w:color w:val="auto"/>
          <w:lang w:val="lt-LT"/>
        </w:rPr>
        <w:t xml:space="preserve">V. Š. </w:t>
      </w:r>
      <w:bookmarkEnd w:id="0"/>
      <w:r w:rsidRPr="00B504D7">
        <w:rPr>
          <w:rFonts w:cs="Times New Roman"/>
          <w:lang w:val="lt-LT"/>
        </w:rPr>
        <w:t>(</w:t>
      </w:r>
      <w:r w:rsidR="00956385" w:rsidRPr="00B504D7">
        <w:rPr>
          <w:rFonts w:cs="Times New Roman"/>
          <w:lang w:val="lt-LT"/>
        </w:rPr>
        <w:t>nuotoliniu būdu</w:t>
      </w:r>
      <w:r w:rsidRPr="00B504D7">
        <w:rPr>
          <w:rFonts w:cs="Times New Roman"/>
          <w:lang w:val="lt-LT"/>
        </w:rPr>
        <w:t xml:space="preserve">) ir jo gynėjui advokatui </w:t>
      </w:r>
      <w:r w:rsidRPr="00B504D7">
        <w:rPr>
          <w:rFonts w:eastAsia="Times New Roman" w:cs="Times New Roman"/>
          <w:lang w:val="lt-LT"/>
        </w:rPr>
        <w:t xml:space="preserve">Ruslanui </w:t>
      </w:r>
      <w:proofErr w:type="spellStart"/>
      <w:r w:rsidRPr="00B504D7">
        <w:rPr>
          <w:rFonts w:eastAsia="Times New Roman" w:cs="Times New Roman"/>
          <w:lang w:val="lt-LT"/>
        </w:rPr>
        <w:t>Boiko</w:t>
      </w:r>
      <w:proofErr w:type="spellEnd"/>
      <w:r w:rsidRPr="00B504D7">
        <w:rPr>
          <w:rFonts w:eastAsia="Times New Roman" w:cs="Times New Roman"/>
          <w:lang w:val="lt-LT"/>
        </w:rPr>
        <w:t xml:space="preserve"> (</w:t>
      </w:r>
      <w:proofErr w:type="spellStart"/>
      <w:r w:rsidRPr="00B504D7">
        <w:rPr>
          <w:rFonts w:eastAsia="Times New Roman" w:cs="Times New Roman"/>
          <w:lang w:val="lt-LT"/>
        </w:rPr>
        <w:t>Ruslan</w:t>
      </w:r>
      <w:proofErr w:type="spellEnd"/>
      <w:r w:rsidR="00FD22A1" w:rsidRPr="00B504D7">
        <w:rPr>
          <w:rFonts w:eastAsia="Times New Roman" w:cs="Times New Roman"/>
          <w:lang w:val="lt-LT"/>
        </w:rPr>
        <w:t> </w:t>
      </w:r>
      <w:proofErr w:type="spellStart"/>
      <w:r w:rsidRPr="00B504D7">
        <w:rPr>
          <w:rFonts w:eastAsia="Times New Roman" w:cs="Times New Roman"/>
          <w:lang w:val="lt-LT"/>
        </w:rPr>
        <w:t>Boiko</w:t>
      </w:r>
      <w:proofErr w:type="spellEnd"/>
      <w:r w:rsidRPr="00B504D7">
        <w:rPr>
          <w:rFonts w:eastAsia="Times New Roman" w:cs="Times New Roman"/>
          <w:lang w:val="lt-LT"/>
        </w:rPr>
        <w:t>)</w:t>
      </w:r>
      <w:r w:rsidRPr="00B504D7">
        <w:rPr>
          <w:rFonts w:cs="Times New Roman"/>
          <w:lang w:val="lt-LT"/>
        </w:rPr>
        <w:t>,</w:t>
      </w:r>
    </w:p>
    <w:p w14:paraId="10B14FBD" w14:textId="11773F64" w:rsidR="00B94F2E" w:rsidRPr="00B504D7" w:rsidRDefault="00B94F2E" w:rsidP="00B94F2E">
      <w:pPr>
        <w:ind w:firstLine="720"/>
        <w:jc w:val="both"/>
        <w:rPr>
          <w:rFonts w:eastAsiaTheme="minorHAnsi" w:cs="Times New Roman"/>
          <w:lang w:val="lt-LT"/>
        </w:rPr>
      </w:pPr>
      <w:r w:rsidRPr="00B504D7">
        <w:rPr>
          <w:rFonts w:cs="Times New Roman"/>
          <w:lang w:val="lt-LT"/>
        </w:rPr>
        <w:t>viešame</w:t>
      </w:r>
      <w:r w:rsidRPr="00B504D7">
        <w:rPr>
          <w:rFonts w:cs="Times New Roman"/>
          <w:i/>
          <w:iCs/>
          <w:lang w:val="lt-LT"/>
        </w:rPr>
        <w:t xml:space="preserve"> </w:t>
      </w:r>
      <w:r w:rsidRPr="00B504D7">
        <w:rPr>
          <w:rFonts w:cs="Times New Roman"/>
          <w:lang w:val="lt-LT"/>
        </w:rPr>
        <w:t xml:space="preserve">teismo posėdyje kasacine žodinio proceso tvarka išnagrinėjo baudžiamąją bylą pagal </w:t>
      </w:r>
      <w:r w:rsidRPr="00B504D7">
        <w:rPr>
          <w:b/>
          <w:bCs/>
          <w:lang w:val="lt-LT"/>
        </w:rPr>
        <w:t xml:space="preserve">Lietuvos Respublikos generalinės prokuratūros Organizuotų nusikaltimų ir korupcijos tyrimo departamento vyriausiojo prokuroro Artūro </w:t>
      </w:r>
      <w:proofErr w:type="spellStart"/>
      <w:r w:rsidRPr="00B504D7">
        <w:rPr>
          <w:b/>
          <w:bCs/>
          <w:lang w:val="lt-LT"/>
        </w:rPr>
        <w:t>Urbelio</w:t>
      </w:r>
      <w:proofErr w:type="spellEnd"/>
      <w:r w:rsidRPr="00B504D7">
        <w:rPr>
          <w:b/>
          <w:lang w:val="lt-LT"/>
        </w:rPr>
        <w:t xml:space="preserve"> </w:t>
      </w:r>
      <w:r w:rsidRPr="00B504D7">
        <w:rPr>
          <w:lang w:val="lt-LT"/>
        </w:rPr>
        <w:t>ir</w:t>
      </w:r>
      <w:r w:rsidRPr="00B504D7">
        <w:rPr>
          <w:iCs/>
          <w:lang w:val="lt-LT"/>
        </w:rPr>
        <w:t xml:space="preserve"> </w:t>
      </w:r>
      <w:r w:rsidRPr="00B504D7">
        <w:rPr>
          <w:b/>
          <w:bCs/>
          <w:lang w:val="lt-LT"/>
        </w:rPr>
        <w:t xml:space="preserve">nuteistojo </w:t>
      </w:r>
      <w:bookmarkStart w:id="1" w:name="Buk_69"/>
      <w:r w:rsidR="004F1F30" w:rsidRPr="004F1F30">
        <w:rPr>
          <w:b/>
          <w:bCs/>
          <w:color w:val="auto"/>
          <w:lang w:val="lt-LT"/>
        </w:rPr>
        <w:t xml:space="preserve">V. Š. </w:t>
      </w:r>
      <w:bookmarkEnd w:id="1"/>
      <w:r w:rsidRPr="00B504D7">
        <w:rPr>
          <w:b/>
          <w:bCs/>
          <w:lang w:val="lt-LT"/>
        </w:rPr>
        <w:t xml:space="preserve">gynėjo advokato Ruslano </w:t>
      </w:r>
      <w:proofErr w:type="spellStart"/>
      <w:r w:rsidRPr="00B504D7">
        <w:rPr>
          <w:b/>
          <w:bCs/>
          <w:lang w:val="lt-LT"/>
        </w:rPr>
        <w:t>Boiko</w:t>
      </w:r>
      <w:proofErr w:type="spellEnd"/>
      <w:r w:rsidRPr="00B504D7">
        <w:rPr>
          <w:lang w:val="lt-LT"/>
        </w:rPr>
        <w:t xml:space="preserve"> </w:t>
      </w:r>
      <w:r w:rsidRPr="00B504D7">
        <w:rPr>
          <w:rFonts w:cs="Times New Roman"/>
          <w:lang w:val="lt-LT"/>
        </w:rPr>
        <w:t xml:space="preserve">kasacinius skundus dėl Lietuvos apeliacinio teismo Baudžiamųjų bylų skyriaus teisėjų kolegijos 2024 m. vasario 28 d. </w:t>
      </w:r>
      <w:r w:rsidRPr="00B504D7">
        <w:rPr>
          <w:rFonts w:cs="Times New Roman"/>
          <w:lang w:val="lt-LT" w:bidi="lt-LT"/>
        </w:rPr>
        <w:t xml:space="preserve">nuosprendžio, </w:t>
      </w:r>
      <w:r w:rsidRPr="00B504D7">
        <w:rPr>
          <w:lang w:val="lt-LT" w:bidi="lt-LT"/>
        </w:rPr>
        <w:t xml:space="preserve">kuriuo buvo pakeistas </w:t>
      </w:r>
      <w:r w:rsidRPr="00B504D7">
        <w:rPr>
          <w:rFonts w:eastAsiaTheme="minorHAnsi" w:cs="Times New Roman"/>
          <w:lang w:val="lt-LT"/>
        </w:rPr>
        <w:t xml:space="preserve">Kauno apygardos teismo </w:t>
      </w:r>
      <w:r w:rsidRPr="00B504D7">
        <w:rPr>
          <w:rFonts w:eastAsia="Times New Roman" w:cs="Times New Roman"/>
          <w:szCs w:val="20"/>
          <w:lang w:val="lt-LT"/>
        </w:rPr>
        <w:t>2023 m. lapkričio 6 d.</w:t>
      </w:r>
      <w:r w:rsidRPr="00B504D7">
        <w:rPr>
          <w:rFonts w:eastAsiaTheme="minorHAnsi" w:cs="Times New Roman"/>
          <w:lang w:val="lt-LT"/>
        </w:rPr>
        <w:t xml:space="preserve"> nuosprend</w:t>
      </w:r>
      <w:r w:rsidRPr="00B504D7">
        <w:rPr>
          <w:rFonts w:eastAsiaTheme="minorHAnsi"/>
          <w:lang w:val="lt-LT"/>
        </w:rPr>
        <w:t>is</w:t>
      </w:r>
      <w:r w:rsidRPr="00B504D7">
        <w:rPr>
          <w:rFonts w:eastAsiaTheme="minorHAnsi" w:cs="Times New Roman"/>
          <w:lang w:val="lt-LT"/>
        </w:rPr>
        <w:t>.</w:t>
      </w:r>
    </w:p>
    <w:p w14:paraId="7D4CC5F2" w14:textId="7BDBFE8E" w:rsidR="00B94F2E" w:rsidRPr="00B504D7" w:rsidRDefault="00B94F2E" w:rsidP="00B94F2E">
      <w:pPr>
        <w:ind w:firstLine="720"/>
        <w:jc w:val="both"/>
        <w:rPr>
          <w:rFonts w:cs="Times New Roman"/>
          <w:shd w:val="clear" w:color="auto" w:fill="FFFFFF"/>
          <w:lang w:val="lt-LT"/>
        </w:rPr>
      </w:pPr>
      <w:r w:rsidRPr="00B504D7">
        <w:rPr>
          <w:rFonts w:eastAsiaTheme="minorHAnsi" w:cs="Times New Roman"/>
          <w:lang w:val="lt-LT"/>
        </w:rPr>
        <w:t xml:space="preserve">Kauno apygardos teismo </w:t>
      </w:r>
      <w:r w:rsidRPr="00B504D7">
        <w:rPr>
          <w:rFonts w:eastAsia="Times New Roman" w:cs="Times New Roman"/>
          <w:szCs w:val="20"/>
          <w:lang w:val="lt-LT"/>
        </w:rPr>
        <w:t>2023 m. lapkričio 6 d.</w:t>
      </w:r>
      <w:r w:rsidRPr="00B504D7">
        <w:rPr>
          <w:rFonts w:eastAsiaTheme="minorHAnsi" w:cs="Times New Roman"/>
          <w:lang w:val="lt-LT"/>
        </w:rPr>
        <w:t xml:space="preserve"> nuosprendžiu </w:t>
      </w:r>
      <w:bookmarkStart w:id="2" w:name="Buk_34"/>
      <w:r w:rsidR="004F1F30" w:rsidRPr="004F1F30">
        <w:rPr>
          <w:rFonts w:cs="Times New Roman"/>
          <w:b/>
          <w:bCs/>
          <w:color w:val="auto"/>
          <w:lang w:val="lt-LT"/>
        </w:rPr>
        <w:t xml:space="preserve">V. Š. </w:t>
      </w:r>
      <w:bookmarkEnd w:id="2"/>
      <w:r w:rsidRPr="00B504D7">
        <w:rPr>
          <w:rFonts w:cs="Times New Roman"/>
          <w:lang w:val="lt-LT"/>
        </w:rPr>
        <w:t xml:space="preserve">nuteistas pagal Lietuvos Respublikos baudžiamojo kodekso (toliau – BK) 225 straipsnio 3 dalį, pritaikius BK 54 straipsnio 3 dalį, 2100 MGL (105 000 Eur) </w:t>
      </w:r>
      <w:r w:rsidRPr="00B504D7">
        <w:rPr>
          <w:rFonts w:cs="Times New Roman"/>
          <w:shd w:val="clear" w:color="auto" w:fill="FFFFFF"/>
          <w:lang w:val="lt-LT"/>
        </w:rPr>
        <w:t>dydžio bauda</w:t>
      </w:r>
      <w:r w:rsidRPr="00B504D7">
        <w:rPr>
          <w:rFonts w:cs="Times New Roman"/>
          <w:lang w:val="lt-LT"/>
        </w:rPr>
        <w:t>.</w:t>
      </w:r>
      <w:r w:rsidRPr="00B504D7">
        <w:rPr>
          <w:rFonts w:eastAsia="Times New Roman" w:cs="Times New Roman"/>
          <w:lang w:val="lt-LT"/>
        </w:rPr>
        <w:t xml:space="preserve"> Vadovaujantis BK 64</w:t>
      </w:r>
      <w:r w:rsidRPr="00B504D7">
        <w:rPr>
          <w:rFonts w:eastAsia="Times New Roman" w:cs="Times New Roman"/>
          <w:vertAlign w:val="superscript"/>
          <w:lang w:val="lt-LT"/>
        </w:rPr>
        <w:t>1</w:t>
      </w:r>
      <w:r w:rsidRPr="00B504D7">
        <w:rPr>
          <w:rFonts w:eastAsia="Times New Roman" w:cs="Times New Roman"/>
          <w:lang w:val="lt-LT"/>
        </w:rPr>
        <w:t xml:space="preserve"> straipsniu, paskirta bausmė sumažinta vienu trečdaliu ir jam paskirta galutinė bausmė – 1400 MGL (70 000 Eur) dydžio bauda. </w:t>
      </w:r>
    </w:p>
    <w:p w14:paraId="0552CF47" w14:textId="6A090933" w:rsidR="00B94F2E" w:rsidRPr="00B504D7" w:rsidRDefault="00B94F2E" w:rsidP="00B94F2E">
      <w:pPr>
        <w:ind w:firstLine="720"/>
        <w:jc w:val="both"/>
        <w:rPr>
          <w:rFonts w:cs="Times New Roman"/>
          <w:shd w:val="clear" w:color="auto" w:fill="FFFFFF"/>
          <w:lang w:val="lt-LT"/>
        </w:rPr>
      </w:pPr>
      <w:bookmarkStart w:id="3" w:name="_Hlk184192562"/>
      <w:r w:rsidRPr="00B504D7">
        <w:rPr>
          <w:rFonts w:cs="Times New Roman"/>
          <w:lang w:val="lt-LT"/>
        </w:rPr>
        <w:t xml:space="preserve">Lietuvos apeliacinio teismo Baudžiamųjų bylų skyriaus teisėjų kolegija 2024 m. vasario </w:t>
      </w:r>
      <w:r w:rsidRPr="00B504D7">
        <w:rPr>
          <w:lang w:val="lt-LT"/>
        </w:rPr>
        <w:t>28 d</w:t>
      </w:r>
      <w:r w:rsidRPr="00B504D7">
        <w:rPr>
          <w:rFonts w:cs="Times New Roman"/>
          <w:lang w:val="lt-LT"/>
        </w:rPr>
        <w:t xml:space="preserve">. </w:t>
      </w:r>
      <w:r w:rsidRPr="00B504D7">
        <w:rPr>
          <w:rFonts w:cs="Times New Roman"/>
          <w:lang w:val="lt-LT" w:bidi="lt-LT"/>
        </w:rPr>
        <w:t xml:space="preserve">nuosprendžiu nuteistojo gynėjo </w:t>
      </w:r>
      <w:r w:rsidR="00751850" w:rsidRPr="00B504D7">
        <w:rPr>
          <w:rFonts w:cs="Times New Roman"/>
          <w:lang w:val="lt-LT" w:bidi="lt-LT"/>
        </w:rPr>
        <w:t>apeliacinį</w:t>
      </w:r>
      <w:r w:rsidRPr="00B504D7">
        <w:rPr>
          <w:rFonts w:cs="Times New Roman"/>
          <w:lang w:val="lt-LT" w:bidi="lt-LT"/>
        </w:rPr>
        <w:t xml:space="preserve"> skundą atmetė, o prokuroro </w:t>
      </w:r>
      <w:r w:rsidR="00751850" w:rsidRPr="00B504D7">
        <w:rPr>
          <w:rFonts w:cs="Times New Roman"/>
          <w:lang w:val="lt-LT" w:bidi="lt-LT"/>
        </w:rPr>
        <w:t>apeliacinį</w:t>
      </w:r>
      <w:r w:rsidRPr="00B504D7">
        <w:rPr>
          <w:rFonts w:cs="Times New Roman"/>
          <w:lang w:val="lt-LT" w:bidi="lt-LT"/>
        </w:rPr>
        <w:t xml:space="preserve"> skundą tenkino iš dalies ir pakeitė </w:t>
      </w:r>
      <w:r w:rsidRPr="00B504D7">
        <w:rPr>
          <w:rFonts w:eastAsiaTheme="minorHAnsi" w:cs="Times New Roman"/>
          <w:lang w:val="lt-LT"/>
        </w:rPr>
        <w:t xml:space="preserve">Kauno apygardos teismo </w:t>
      </w:r>
      <w:r w:rsidRPr="00B504D7">
        <w:rPr>
          <w:rFonts w:eastAsia="Times New Roman" w:cs="Times New Roman"/>
          <w:szCs w:val="20"/>
          <w:lang w:val="lt-LT"/>
        </w:rPr>
        <w:t>2023 m. lapkričio 6 d.</w:t>
      </w:r>
      <w:r w:rsidRPr="00B504D7">
        <w:rPr>
          <w:rFonts w:eastAsiaTheme="minorHAnsi" w:cs="Times New Roman"/>
          <w:lang w:val="lt-LT"/>
        </w:rPr>
        <w:t xml:space="preserve"> nuosprendį – </w:t>
      </w:r>
      <w:r w:rsidRPr="00B504D7">
        <w:rPr>
          <w:rFonts w:cs="Times New Roman"/>
          <w:lang w:val="lt-LT"/>
        </w:rPr>
        <w:t xml:space="preserve">pašalino atsakomybę lengvinančią aplinkybę, nurodytą BK 59 straipsnio 1 dalies 2 punkte, ir </w:t>
      </w:r>
      <w:bookmarkStart w:id="4" w:name="Buk_122"/>
      <w:r w:rsidR="004F1F30" w:rsidRPr="004F1F30">
        <w:rPr>
          <w:rFonts w:cs="Times New Roman"/>
          <w:b/>
          <w:bCs/>
          <w:color w:val="auto"/>
          <w:lang w:val="lt-LT"/>
        </w:rPr>
        <w:t xml:space="preserve">V. Š. </w:t>
      </w:r>
      <w:bookmarkEnd w:id="4"/>
      <w:r w:rsidRPr="00B504D7">
        <w:rPr>
          <w:rFonts w:cs="Times New Roman"/>
          <w:lang w:val="lt-LT"/>
        </w:rPr>
        <w:t>paskyrė laisvės atėmimo bausmę penkeriems metams. Vadovaujantis BK 64</w:t>
      </w:r>
      <w:r w:rsidRPr="00B504D7">
        <w:rPr>
          <w:rFonts w:cs="Times New Roman"/>
          <w:vertAlign w:val="superscript"/>
          <w:lang w:val="lt-LT"/>
        </w:rPr>
        <w:t>1</w:t>
      </w:r>
      <w:r w:rsidRPr="00B504D7">
        <w:rPr>
          <w:rFonts w:cs="Times New Roman"/>
          <w:lang w:val="lt-LT"/>
        </w:rPr>
        <w:t xml:space="preserve"> straipsniu, paskirta bausmė sumažinta vienu trečdaliu ir nuteistajam </w:t>
      </w:r>
      <w:bookmarkStart w:id="5" w:name="Buk_123"/>
      <w:r w:rsidR="004F1F30" w:rsidRPr="004F1F30">
        <w:rPr>
          <w:rFonts w:cs="Times New Roman"/>
          <w:color w:val="auto"/>
          <w:lang w:val="lt-LT"/>
        </w:rPr>
        <w:t xml:space="preserve">V. Š. </w:t>
      </w:r>
      <w:bookmarkEnd w:id="5"/>
      <w:r w:rsidRPr="00B504D7">
        <w:rPr>
          <w:rFonts w:cs="Times New Roman"/>
          <w:lang w:val="lt-LT"/>
        </w:rPr>
        <w:t xml:space="preserve">paskirta laisvės atėmimo bausmė trejiems metams keturiems mėnesiams. </w:t>
      </w:r>
      <w:bookmarkEnd w:id="3"/>
    </w:p>
    <w:p w14:paraId="54E67BBB" w14:textId="77777777" w:rsidR="00B94F2E" w:rsidRPr="00B504D7" w:rsidRDefault="00B94F2E" w:rsidP="00B94F2E">
      <w:pPr>
        <w:jc w:val="both"/>
        <w:rPr>
          <w:rFonts w:cs="Times New Roman"/>
          <w:lang w:val="lt-LT"/>
        </w:rPr>
      </w:pPr>
    </w:p>
    <w:p w14:paraId="2925A3D4" w14:textId="4C0BA549" w:rsidR="00B94F2E" w:rsidRPr="00B504D7" w:rsidRDefault="00B94F2E" w:rsidP="00B94F2E">
      <w:pPr>
        <w:jc w:val="both"/>
        <w:rPr>
          <w:rFonts w:cs="Times New Roman"/>
          <w:lang w:val="lt-LT"/>
        </w:rPr>
      </w:pPr>
      <w:r w:rsidRPr="00B504D7">
        <w:rPr>
          <w:rFonts w:cs="Times New Roman"/>
          <w:lang w:val="lt-LT"/>
        </w:rPr>
        <w:tab/>
      </w:r>
      <w:r w:rsidR="005763B8" w:rsidRPr="00B504D7">
        <w:rPr>
          <w:rFonts w:cs="Times New Roman"/>
          <w:lang w:val="lt-LT"/>
        </w:rPr>
        <w:t>Išplėstinė septynių teisėjų kolegija</w:t>
      </w:r>
      <w:r w:rsidRPr="00B504D7">
        <w:rPr>
          <w:rFonts w:cs="Times New Roman"/>
          <w:lang w:val="lt-LT"/>
        </w:rPr>
        <w:t xml:space="preserve">, išnagrinėjusi bylą ir išklausiusi prokuroro, prašiusio jo kasacinį skundą tenkinti, o nuteistojo gynėjo advokato – atmesti, nuteistojo ir jo gynėjo advokato, prašiusių nuteistojo gynėjo kasacinį skundą tenkinti, o prokuroro – atmesti, paaiškinimų, </w:t>
      </w:r>
    </w:p>
    <w:p w14:paraId="403756C3" w14:textId="2FFEEE98" w:rsidR="00A30CAC" w:rsidRPr="00B504D7" w:rsidRDefault="00A30CAC">
      <w:pPr>
        <w:jc w:val="both"/>
        <w:rPr>
          <w:rFonts w:cs="Times New Roman"/>
          <w:lang w:val="lt-LT"/>
        </w:rPr>
      </w:pPr>
    </w:p>
    <w:p w14:paraId="26085600" w14:textId="77777777" w:rsidR="00A30CAC" w:rsidRPr="00B504D7" w:rsidRDefault="00000000">
      <w:pPr>
        <w:jc w:val="both"/>
        <w:rPr>
          <w:rFonts w:cs="Times New Roman"/>
          <w:b/>
          <w:bCs/>
          <w:lang w:val="lt-LT"/>
        </w:rPr>
      </w:pPr>
      <w:r w:rsidRPr="00B504D7">
        <w:rPr>
          <w:rFonts w:cs="Times New Roman"/>
          <w:b/>
          <w:bCs/>
          <w:lang w:val="lt-LT"/>
        </w:rPr>
        <w:tab/>
      </w:r>
    </w:p>
    <w:p w14:paraId="28D80BB4" w14:textId="77777777" w:rsidR="00A30CAC" w:rsidRPr="00B504D7" w:rsidRDefault="00000000">
      <w:pPr>
        <w:jc w:val="both"/>
        <w:rPr>
          <w:rFonts w:cs="Times New Roman"/>
          <w:lang w:val="lt-LT"/>
        </w:rPr>
      </w:pPr>
      <w:r w:rsidRPr="00B504D7">
        <w:rPr>
          <w:rFonts w:cs="Times New Roman"/>
          <w:lang w:val="lt-LT"/>
        </w:rPr>
        <w:t>n u s t a t ė :</w:t>
      </w:r>
    </w:p>
    <w:p w14:paraId="0345B9BB" w14:textId="77777777" w:rsidR="00A30CAC" w:rsidRPr="00B504D7" w:rsidRDefault="00000000">
      <w:pPr>
        <w:jc w:val="both"/>
        <w:rPr>
          <w:rFonts w:cs="Times New Roman"/>
          <w:lang w:val="lt-LT"/>
        </w:rPr>
      </w:pPr>
      <w:r w:rsidRPr="00B504D7">
        <w:rPr>
          <w:rFonts w:cs="Times New Roman"/>
          <w:lang w:val="lt-LT"/>
        </w:rPr>
        <w:tab/>
      </w:r>
    </w:p>
    <w:p w14:paraId="24F2FD66" w14:textId="77777777" w:rsidR="00A30CAC" w:rsidRPr="00B504D7" w:rsidRDefault="00000000">
      <w:pPr>
        <w:pStyle w:val="Pagrindinistekstas"/>
        <w:ind w:left="3958" w:firstLine="357"/>
        <w:rPr>
          <w:rFonts w:cs="Times New Roman"/>
          <w:lang w:val="lt-LT"/>
        </w:rPr>
      </w:pPr>
      <w:r w:rsidRPr="00B504D7">
        <w:rPr>
          <w:rFonts w:cs="Times New Roman"/>
          <w:lang w:val="lt-LT"/>
        </w:rPr>
        <w:lastRenderedPageBreak/>
        <w:t>I. Bylos esmė</w:t>
      </w:r>
    </w:p>
    <w:p w14:paraId="18EFE9F5" w14:textId="77777777" w:rsidR="00A30CAC" w:rsidRPr="00B504D7" w:rsidRDefault="00A30CAC">
      <w:pPr>
        <w:pStyle w:val="Pagrindinistekstas"/>
        <w:ind w:left="714"/>
        <w:jc w:val="center"/>
        <w:rPr>
          <w:rFonts w:cs="Times New Roman"/>
          <w:lang w:val="lt-LT"/>
        </w:rPr>
      </w:pPr>
    </w:p>
    <w:p w14:paraId="6C9E2B48" w14:textId="52B6CF1E" w:rsidR="005A3DAF" w:rsidRPr="00B504D7" w:rsidRDefault="004F1F30" w:rsidP="005A3DAF">
      <w:pPr>
        <w:numPr>
          <w:ilvl w:val="0"/>
          <w:numId w:val="2"/>
        </w:numPr>
        <w:jc w:val="both"/>
        <w:rPr>
          <w:rFonts w:cs="Times New Roman"/>
          <w:lang w:val="lt-LT"/>
        </w:rPr>
      </w:pPr>
      <w:bookmarkStart w:id="6" w:name="Buk_35"/>
      <w:r w:rsidRPr="004F1F30">
        <w:rPr>
          <w:rFonts w:cs="Times New Roman"/>
          <w:color w:val="auto"/>
          <w:lang w:val="lt-LT"/>
          <w14:textOutline w14:w="12700" w14:cap="flat" w14:cmpd="sng" w14:algn="ctr">
            <w14:noFill/>
            <w14:prstDash w14:val="solid"/>
            <w14:miter w14:lim="400000"/>
          </w14:textOutline>
        </w:rPr>
        <w:t xml:space="preserve">V. Š. </w:t>
      </w:r>
      <w:bookmarkEnd w:id="6"/>
      <w:r w:rsidR="00603A70" w:rsidRPr="00B504D7">
        <w:rPr>
          <w:rFonts w:cs="Times New Roman"/>
          <w:lang w:val="lt-LT"/>
          <w14:textOutline w14:w="12700" w14:cap="flat" w14:cmpd="sng" w14:algn="ctr">
            <w14:noFill/>
            <w14:prstDash w14:val="solid"/>
            <w14:miter w14:lim="400000"/>
          </w14:textOutline>
        </w:rPr>
        <w:t xml:space="preserve">nuteistas </w:t>
      </w:r>
      <w:r w:rsidR="00603A70" w:rsidRPr="00B504D7">
        <w:rPr>
          <w:rFonts w:cs="Times New Roman"/>
          <w:lang w:val="lt-LT"/>
        </w:rPr>
        <w:t>pagal BK 225 straipsnio 3 dalį už tai, kad</w:t>
      </w:r>
      <w:bookmarkStart w:id="7" w:name="_Hlk132809012"/>
      <w:r w:rsidR="00603A70" w:rsidRPr="00B504D7">
        <w:rPr>
          <w:rFonts w:cs="Times New Roman"/>
          <w:lang w:val="lt-LT"/>
        </w:rPr>
        <w:t xml:space="preserve"> </w:t>
      </w:r>
      <w:bookmarkEnd w:id="7"/>
      <w:r w:rsidR="00603A70" w:rsidRPr="00B504D7">
        <w:rPr>
          <w:rFonts w:cs="Times New Roman"/>
          <w:lang w:val="lt-LT" w:bidi="lt-LT"/>
        </w:rPr>
        <w:t xml:space="preserve">jis, </w:t>
      </w:r>
      <w:r w:rsidR="00603A70" w:rsidRPr="00B504D7">
        <w:rPr>
          <w:lang w:val="lt-LT"/>
        </w:rPr>
        <w:t>būdamas valstybės tarnautojas – Kauno miesto savivaldybės administracijos direktorius, laikotarpiu nuo 2021 m. pradžios, tiksliau nenustatytu laiku, iki 2022 m. kovo 27 d. savo naudai tiesiogiai dalimis reikalavo kyšio iš UAB</w:t>
      </w:r>
      <w:r w:rsidR="006F41C0">
        <w:rPr>
          <w:lang w:val="lt-LT"/>
        </w:rPr>
        <w:t> </w:t>
      </w:r>
      <w:r w:rsidR="00603A70" w:rsidRPr="00B504D7">
        <w:rPr>
          <w:lang w:val="lt-LT"/>
        </w:rPr>
        <w:t>„</w:t>
      </w:r>
      <w:proofErr w:type="spellStart"/>
      <w:r w:rsidR="00603A70" w:rsidRPr="00B504D7">
        <w:rPr>
          <w:lang w:val="lt-LT"/>
        </w:rPr>
        <w:t>Autokausta</w:t>
      </w:r>
      <w:proofErr w:type="spellEnd"/>
      <w:r w:rsidR="00603A70" w:rsidRPr="00B504D7">
        <w:rPr>
          <w:lang w:val="lt-LT"/>
        </w:rPr>
        <w:t xml:space="preserve">“ direktoriaus </w:t>
      </w:r>
      <w:bookmarkStart w:id="8" w:name="Buk_9"/>
      <w:r w:rsidRPr="004F1F30">
        <w:rPr>
          <w:color w:val="auto"/>
          <w:lang w:val="lt-LT"/>
        </w:rPr>
        <w:t xml:space="preserve">J. K. </w:t>
      </w:r>
      <w:bookmarkEnd w:id="8"/>
      <w:r w:rsidR="00603A70" w:rsidRPr="00B504D7">
        <w:rPr>
          <w:lang w:val="lt-LT"/>
        </w:rPr>
        <w:t>už savo (</w:t>
      </w:r>
      <w:bookmarkStart w:id="9" w:name="Buk_70"/>
      <w:r w:rsidRPr="004F1F30">
        <w:rPr>
          <w:color w:val="auto"/>
          <w:lang w:val="lt-LT"/>
        </w:rPr>
        <w:t>V. Š.</w:t>
      </w:r>
      <w:bookmarkEnd w:id="9"/>
      <w:r w:rsidR="00603A70" w:rsidRPr="00B504D7">
        <w:rPr>
          <w:lang w:val="lt-LT"/>
        </w:rPr>
        <w:t>) palankumą ateityje ir teisėtą savo veikimą vykdant įgaliojimus, nustatytus Lietuvos Respublikos vietos savivaldos įstatymo 29 straipsnio 8</w:t>
      </w:r>
      <w:r w:rsidR="0048295E">
        <w:rPr>
          <w:lang w:val="lt-LT"/>
        </w:rPr>
        <w:t> </w:t>
      </w:r>
      <w:r w:rsidR="00603A70" w:rsidRPr="00B504D7">
        <w:rPr>
          <w:lang w:val="lt-LT"/>
        </w:rPr>
        <w:t>dalies 3, 4 ir 5 punktuose, kuriuose įtvirtinta savivaldybės administracijos direktoriaus pareiga organizuoti savivaldybės administracijos darbą, administruoti savivaldybės asignavimus, kitus piniginius išteklius ir turtą, priimant sprendimus, susijusius su Kauno miesto savivaldybės ir UAB</w:t>
      </w:r>
      <w:r w:rsidR="0048295E">
        <w:rPr>
          <w:lang w:val="lt-LT"/>
        </w:rPr>
        <w:t> </w:t>
      </w:r>
      <w:r w:rsidR="00603A70" w:rsidRPr="00B504D7">
        <w:rPr>
          <w:lang w:val="lt-LT"/>
        </w:rPr>
        <w:t>„</w:t>
      </w:r>
      <w:proofErr w:type="spellStart"/>
      <w:r w:rsidR="00603A70" w:rsidRPr="00B504D7">
        <w:rPr>
          <w:lang w:val="lt-LT"/>
        </w:rPr>
        <w:t>Autokausta</w:t>
      </w:r>
      <w:proofErr w:type="spellEnd"/>
      <w:r w:rsidR="00603A70" w:rsidRPr="00B504D7">
        <w:rPr>
          <w:lang w:val="lt-LT"/>
        </w:rPr>
        <w:t>“ sutarčių vykdymu ir jų administravimu, ir dalimis priėmė didesnės negu 250</w:t>
      </w:r>
      <w:r w:rsidR="005911B0">
        <w:rPr>
          <w:lang w:val="lt-LT"/>
        </w:rPr>
        <w:t> </w:t>
      </w:r>
      <w:r w:rsidR="00603A70" w:rsidRPr="00B504D7">
        <w:rPr>
          <w:lang w:val="lt-LT"/>
        </w:rPr>
        <w:t>MGL vertės – 260 000 Eur dydžio kyšį.</w:t>
      </w:r>
    </w:p>
    <w:p w14:paraId="4E4E6FA7" w14:textId="77777777" w:rsidR="00A30CAC" w:rsidRPr="00B504D7" w:rsidRDefault="00A30CAC" w:rsidP="004B070F">
      <w:pPr>
        <w:tabs>
          <w:tab w:val="left" w:pos="567"/>
          <w:tab w:val="left" w:pos="709"/>
        </w:tabs>
        <w:jc w:val="both"/>
        <w:rPr>
          <w:rFonts w:cs="Times New Roman"/>
          <w:lang w:val="lt-LT"/>
        </w:rPr>
      </w:pPr>
    </w:p>
    <w:p w14:paraId="027D2175" w14:textId="15793DDA" w:rsidR="006C7596" w:rsidRPr="00B504D7" w:rsidRDefault="006C7596" w:rsidP="006C7596">
      <w:pPr>
        <w:pStyle w:val="Sraopastraipa"/>
        <w:tabs>
          <w:tab w:val="left" w:pos="780"/>
        </w:tabs>
        <w:ind w:left="357"/>
        <w:jc w:val="center"/>
        <w:rPr>
          <w:rFonts w:cs="Times New Roman"/>
          <w:lang w:val="lt-LT"/>
          <w14:textOutline w14:w="12700" w14:cap="flat" w14:cmpd="sng" w14:algn="ctr">
            <w14:noFill/>
            <w14:prstDash w14:val="solid"/>
            <w14:miter w14:lim="400000"/>
          </w14:textOutline>
        </w:rPr>
      </w:pPr>
      <w:r w:rsidRPr="00B504D7">
        <w:rPr>
          <w:rFonts w:cs="Times New Roman"/>
          <w:lang w:val="lt-LT"/>
          <w14:textOutline w14:w="12700" w14:cap="flat" w14:cmpd="sng" w14:algn="ctr">
            <w14:noFill/>
            <w14:prstDash w14:val="solid"/>
            <w14:miter w14:lim="400000"/>
          </w14:textOutline>
        </w:rPr>
        <w:t>II. Apeliacinės instancijos teismo nuosprendžio esmė</w:t>
      </w:r>
    </w:p>
    <w:p w14:paraId="1B3992D9" w14:textId="77777777" w:rsidR="006C7596" w:rsidRPr="00B504D7" w:rsidRDefault="006C7596" w:rsidP="006C7596">
      <w:pPr>
        <w:pStyle w:val="Sraopastraipa"/>
        <w:tabs>
          <w:tab w:val="left" w:pos="780"/>
        </w:tabs>
        <w:ind w:left="357"/>
        <w:jc w:val="center"/>
        <w:rPr>
          <w:rFonts w:cs="Times New Roman"/>
          <w:lang w:val="lt-LT"/>
          <w14:textOutline w14:w="12700" w14:cap="flat" w14:cmpd="sng" w14:algn="ctr">
            <w14:noFill/>
            <w14:prstDash w14:val="solid"/>
            <w14:miter w14:lim="400000"/>
          </w14:textOutline>
        </w:rPr>
      </w:pPr>
    </w:p>
    <w:p w14:paraId="709AECC1" w14:textId="41D1BBA8" w:rsidR="00E61899" w:rsidRPr="00B504D7" w:rsidRDefault="00E61899" w:rsidP="00E61899">
      <w:pPr>
        <w:pStyle w:val="Sraopastraipa"/>
        <w:numPr>
          <w:ilvl w:val="0"/>
          <w:numId w:val="2"/>
        </w:numPr>
        <w:tabs>
          <w:tab w:val="left" w:pos="780"/>
        </w:tabs>
        <w:spacing w:after="120"/>
        <w:jc w:val="both"/>
        <w:rPr>
          <w:rFonts w:cs="Times New Roman"/>
          <w:lang w:val="lt-LT"/>
          <w14:textOutline w14:w="12700" w14:cap="flat" w14:cmpd="sng" w14:algn="ctr">
            <w14:noFill/>
            <w14:prstDash w14:val="solid"/>
            <w14:miter w14:lim="400000"/>
          </w14:textOutline>
        </w:rPr>
      </w:pPr>
      <w:r w:rsidRPr="00B504D7">
        <w:rPr>
          <w:rFonts w:cs="Times New Roman"/>
          <w:lang w:val="lt-LT"/>
        </w:rPr>
        <w:t xml:space="preserve">Lietuvos apeliacinio teismo Baudžiamųjų bylų skyriaus teisėjų kolegija iš pirmosios instancijos teismo nuosprendžio pašalino </w:t>
      </w:r>
      <w:bookmarkStart w:id="10" w:name="Buk_71"/>
      <w:r w:rsidR="004F1F30" w:rsidRPr="004F1F30">
        <w:rPr>
          <w:rFonts w:cs="Times New Roman"/>
          <w:color w:val="auto"/>
          <w:lang w:val="lt-LT"/>
        </w:rPr>
        <w:t xml:space="preserve">V. Š. </w:t>
      </w:r>
      <w:bookmarkEnd w:id="10"/>
      <w:r w:rsidRPr="00B504D7">
        <w:rPr>
          <w:rFonts w:cs="Times New Roman"/>
          <w:lang w:val="lt-LT"/>
        </w:rPr>
        <w:t xml:space="preserve">atsakomybę lengvinančią aplinkybę, nurodytą BK 59 straipsnio 1 dalies 2 punkte. Teismas nurodė, kad vien prisipažinimo nepakanka BK 59 straipsnio 1 dalies 2 punkte nurodytai atsakomybę lengvinančiai aplinkybei nustatyti. </w:t>
      </w:r>
      <w:bookmarkStart w:id="11" w:name="Buk_36"/>
      <w:r w:rsidR="004F1F30" w:rsidRPr="004F1F30">
        <w:rPr>
          <w:rFonts w:cs="Times New Roman"/>
          <w:color w:val="auto"/>
          <w:lang w:val="lt-LT"/>
        </w:rPr>
        <w:t>V.</w:t>
      </w:r>
      <w:r w:rsidR="00E15A0C">
        <w:rPr>
          <w:rFonts w:cs="Times New Roman"/>
          <w:color w:val="auto"/>
          <w:lang w:val="lt-LT"/>
        </w:rPr>
        <w:t> </w:t>
      </w:r>
      <w:r w:rsidR="004F1F30" w:rsidRPr="004F1F30">
        <w:rPr>
          <w:rFonts w:cs="Times New Roman"/>
          <w:color w:val="auto"/>
          <w:lang w:val="lt-LT"/>
        </w:rPr>
        <w:t xml:space="preserve">Š. </w:t>
      </w:r>
      <w:bookmarkEnd w:id="11"/>
      <w:r w:rsidRPr="00B504D7">
        <w:rPr>
          <w:rFonts w:cs="Times New Roman"/>
          <w:lang w:val="lt-LT"/>
        </w:rPr>
        <w:t xml:space="preserve">viso proceso metu minimizavo savo vaidmenį, vengė išsamiai atskleisti nusikaltimo faktines aplinkybes, nepripažino dalies inkriminuotų aplinkybių (kyšio reikalavimo), savo parodymus derino prie byloje objektyviai nustatytų aplinkybių, kaltę pripažino tik surinkus jo kaltę pagrindžiančius duomenis. Akivaizdu, kad </w:t>
      </w:r>
      <w:bookmarkStart w:id="12" w:name="Buk_37"/>
      <w:r w:rsidR="004F1F30" w:rsidRPr="004F1F30">
        <w:rPr>
          <w:rFonts w:cs="Times New Roman"/>
          <w:color w:val="auto"/>
          <w:lang w:val="lt-LT"/>
        </w:rPr>
        <w:t xml:space="preserve">V. Š. </w:t>
      </w:r>
      <w:bookmarkEnd w:id="12"/>
      <w:r w:rsidRPr="00B504D7">
        <w:rPr>
          <w:rFonts w:cs="Times New Roman"/>
          <w:lang w:val="lt-LT"/>
        </w:rPr>
        <w:t>gailisi dėl šiuo metu jam ir jo šeimai susidariusios neigiamos situacijos, o ne dėl to, kokią žalą jis padarė sukeldamas visuomenės nepasitikėjimą valdžios institucijomis, jų atstovų priimtais sprendimais.</w:t>
      </w:r>
    </w:p>
    <w:p w14:paraId="659EDA63" w14:textId="23B79F0D" w:rsidR="004D2655" w:rsidRPr="00B504D7" w:rsidRDefault="00E61899" w:rsidP="00E61899">
      <w:pPr>
        <w:pStyle w:val="Sraopastraipa"/>
        <w:numPr>
          <w:ilvl w:val="0"/>
          <w:numId w:val="2"/>
        </w:numPr>
        <w:tabs>
          <w:tab w:val="left" w:pos="780"/>
        </w:tabs>
        <w:jc w:val="both"/>
        <w:rPr>
          <w:rFonts w:cs="Times New Roman"/>
          <w:lang w:val="lt-LT"/>
          <w14:textOutline w14:w="12700" w14:cap="flat" w14:cmpd="sng" w14:algn="ctr">
            <w14:noFill/>
            <w14:prstDash w14:val="solid"/>
            <w14:miter w14:lim="400000"/>
          </w14:textOutline>
        </w:rPr>
      </w:pPr>
      <w:r w:rsidRPr="00B504D7">
        <w:rPr>
          <w:rFonts w:cs="Times New Roman"/>
          <w:lang w:val="lt-LT"/>
        </w:rPr>
        <w:t xml:space="preserve">Apeliacinės instancijos teismo vertinimu, pirmosios instancijos teismo </w:t>
      </w:r>
      <w:bookmarkStart w:id="13" w:name="Buk_124"/>
      <w:r w:rsidR="004F1F30" w:rsidRPr="004F1F30">
        <w:rPr>
          <w:rFonts w:cs="Times New Roman"/>
          <w:color w:val="auto"/>
          <w:lang w:val="lt-LT"/>
        </w:rPr>
        <w:t xml:space="preserve">V. Š. </w:t>
      </w:r>
      <w:bookmarkEnd w:id="13"/>
      <w:r w:rsidRPr="00B504D7">
        <w:rPr>
          <w:rFonts w:cs="Times New Roman"/>
          <w:lang w:val="lt-LT"/>
        </w:rPr>
        <w:t xml:space="preserve">paskirta bausmė – bauda nėra teisinga, nes jis nubaustas aiškiai per švelnia bausme, paskirta bausmė individualizuota nepakankamai įsigilinus į </w:t>
      </w:r>
      <w:bookmarkStart w:id="14" w:name="Buk_72"/>
      <w:r w:rsidR="004F1F30" w:rsidRPr="004F1F30">
        <w:rPr>
          <w:rFonts w:cs="Times New Roman"/>
          <w:color w:val="auto"/>
          <w:lang w:val="lt-LT"/>
        </w:rPr>
        <w:t xml:space="preserve">V. Š. </w:t>
      </w:r>
      <w:bookmarkEnd w:id="14"/>
      <w:r w:rsidRPr="00B504D7">
        <w:rPr>
          <w:rFonts w:cs="Times New Roman"/>
          <w:lang w:val="lt-LT"/>
        </w:rPr>
        <w:t xml:space="preserve">padaryto nusikaltimo pavojingumą, bausmės paskirtį, jos prevencinius tikslus, nepagrįstai taikyta BK 54 straipsnio 3 dalis. Nenustatyta kokių nors išimtinių su </w:t>
      </w:r>
      <w:bookmarkStart w:id="15" w:name="Buk_73"/>
      <w:r w:rsidR="004F1F30" w:rsidRPr="004F1F30">
        <w:rPr>
          <w:rFonts w:cs="Times New Roman"/>
          <w:color w:val="auto"/>
          <w:lang w:val="lt-LT"/>
        </w:rPr>
        <w:t xml:space="preserve">V. Š. </w:t>
      </w:r>
      <w:bookmarkEnd w:id="15"/>
      <w:r w:rsidRPr="00B504D7">
        <w:rPr>
          <w:rFonts w:cs="Times New Roman"/>
          <w:lang w:val="lt-LT"/>
        </w:rPr>
        <w:t xml:space="preserve">padaryta nusikalstama veika, jo elgesiu proceso metu susijusių aplinkybių, kurių pagrindu būtų galima daryti išvadą, jog BK 225 straipsnio 3 dalies sankcijoje nustatytos laisvės atėmimo bausmės paskyrimas aiškiai prieštarautų teisingumo principui. </w:t>
      </w:r>
      <w:bookmarkStart w:id="16" w:name="Buk_74"/>
      <w:r w:rsidR="004F1F30" w:rsidRPr="004F1F30">
        <w:rPr>
          <w:rFonts w:cs="Times New Roman"/>
          <w:color w:val="auto"/>
          <w:lang w:val="lt-LT"/>
        </w:rPr>
        <w:t xml:space="preserve">V. Š. </w:t>
      </w:r>
      <w:bookmarkEnd w:id="16"/>
      <w:r w:rsidRPr="00B504D7">
        <w:rPr>
          <w:rFonts w:cs="Times New Roman"/>
          <w:lang w:val="lt-LT"/>
        </w:rPr>
        <w:t xml:space="preserve">nusikalstamas elgesys nebuvo atsitiktinis, o buvo gerai suplanuotas, jis buvo nusikaltimo iniciatorius, nustatydavo, kada ir kokią pinigų sumą turi pristatyti </w:t>
      </w:r>
      <w:bookmarkStart w:id="17" w:name="Buk_3"/>
      <w:r w:rsidR="004F1F30" w:rsidRPr="004F1F30">
        <w:rPr>
          <w:rFonts w:cs="Times New Roman"/>
          <w:color w:val="auto"/>
          <w:lang w:val="lt-LT"/>
        </w:rPr>
        <w:t>J. K.</w:t>
      </w:r>
      <w:bookmarkEnd w:id="17"/>
      <w:r w:rsidRPr="00B504D7">
        <w:rPr>
          <w:rFonts w:cs="Times New Roman"/>
          <w:lang w:val="lt-LT"/>
        </w:rPr>
        <w:t>. Be to, turi būti įvertinta ir tai, kad buvo paimtas 260 000 Eur dydžio kyšis, tai yra daugiau nei 20 kartų didesnis kyšis nei įstatymo nustatytas minimalus dydis, kuriam esant kyla atsakomybė pagal BK 225 straipsnio 3</w:t>
      </w:r>
      <w:r w:rsidR="00E15A0C">
        <w:rPr>
          <w:rFonts w:cs="Times New Roman"/>
          <w:lang w:val="lt-LT"/>
        </w:rPr>
        <w:t> </w:t>
      </w:r>
      <w:r w:rsidRPr="00B504D7">
        <w:rPr>
          <w:rFonts w:cs="Times New Roman"/>
          <w:lang w:val="lt-LT"/>
        </w:rPr>
        <w:t xml:space="preserve">dalį. Ši aplinkybė neabejotinai patvirtina didesnį </w:t>
      </w:r>
      <w:bookmarkStart w:id="18" w:name="Buk_75"/>
      <w:r w:rsidR="004F1F30" w:rsidRPr="004F1F30">
        <w:rPr>
          <w:rFonts w:cs="Times New Roman"/>
          <w:color w:val="auto"/>
          <w:lang w:val="lt-LT"/>
        </w:rPr>
        <w:t xml:space="preserve">V. Š. </w:t>
      </w:r>
      <w:bookmarkEnd w:id="18"/>
      <w:r w:rsidRPr="00B504D7">
        <w:rPr>
          <w:rFonts w:cs="Times New Roman"/>
          <w:lang w:val="lt-LT"/>
        </w:rPr>
        <w:t xml:space="preserve">padarytos nusikalstamos veikos pavojingumo laipsnį. Vieno didžiausių kyšių Lietuvoje reikalavimas ir paėmimas nesudaro pagrindo skirti nepagrįstai švelnią bausmę už šį sunkų nusikaltimą, kurį padaręs </w:t>
      </w:r>
      <w:bookmarkStart w:id="19" w:name="Buk_38"/>
      <w:r w:rsidR="004F1F30" w:rsidRPr="004F1F30">
        <w:rPr>
          <w:rFonts w:cs="Times New Roman"/>
          <w:color w:val="auto"/>
          <w:lang w:val="lt-LT"/>
        </w:rPr>
        <w:t xml:space="preserve">V. Š. </w:t>
      </w:r>
      <w:bookmarkEnd w:id="19"/>
      <w:r w:rsidRPr="00B504D7">
        <w:rPr>
          <w:rFonts w:cs="Times New Roman"/>
          <w:lang w:val="lt-LT"/>
        </w:rPr>
        <w:t>prisipažino tik tada, kai buvo surinkti visi jo kaltę pagrindžiantys duomenys.</w:t>
      </w:r>
    </w:p>
    <w:p w14:paraId="14D5850E" w14:textId="77777777" w:rsidR="004D2655" w:rsidRPr="00B504D7" w:rsidRDefault="004D2655" w:rsidP="004D2655">
      <w:pPr>
        <w:pStyle w:val="Sraopastraipa"/>
        <w:tabs>
          <w:tab w:val="left" w:pos="780"/>
        </w:tabs>
        <w:ind w:left="357"/>
        <w:jc w:val="both"/>
        <w:rPr>
          <w:rFonts w:cs="Times New Roman"/>
          <w:lang w:val="lt-LT"/>
          <w14:textOutline w14:w="12700" w14:cap="flat" w14:cmpd="sng" w14:algn="ctr">
            <w14:noFill/>
            <w14:prstDash w14:val="solid"/>
            <w14:miter w14:lim="400000"/>
          </w14:textOutline>
        </w:rPr>
      </w:pPr>
    </w:p>
    <w:p w14:paraId="321E3BC0" w14:textId="0AC345FC" w:rsidR="00A30CAC" w:rsidRPr="00B504D7" w:rsidRDefault="00000000" w:rsidP="00204DFC">
      <w:pPr>
        <w:tabs>
          <w:tab w:val="left" w:pos="780"/>
        </w:tabs>
        <w:jc w:val="center"/>
        <w:rPr>
          <w:rFonts w:cs="Times New Roman"/>
          <w:lang w:val="lt-LT"/>
        </w:rPr>
      </w:pPr>
      <w:r w:rsidRPr="00B504D7">
        <w:rPr>
          <w:rFonts w:cs="Times New Roman"/>
          <w:lang w:val="lt-LT"/>
        </w:rPr>
        <w:t>II</w:t>
      </w:r>
      <w:r w:rsidR="006C7596" w:rsidRPr="00B504D7">
        <w:rPr>
          <w:rFonts w:cs="Times New Roman"/>
          <w:lang w:val="lt-LT"/>
        </w:rPr>
        <w:t>I</w:t>
      </w:r>
      <w:r w:rsidRPr="00B504D7">
        <w:rPr>
          <w:rFonts w:cs="Times New Roman"/>
          <w:lang w:val="lt-LT"/>
        </w:rPr>
        <w:t>. Kasacini</w:t>
      </w:r>
      <w:r w:rsidR="00D92848" w:rsidRPr="00B504D7">
        <w:rPr>
          <w:rFonts w:cs="Times New Roman"/>
          <w:lang w:val="lt-LT"/>
        </w:rPr>
        <w:t>ų</w:t>
      </w:r>
      <w:r w:rsidRPr="00B504D7">
        <w:rPr>
          <w:rFonts w:cs="Times New Roman"/>
          <w:lang w:val="lt-LT"/>
        </w:rPr>
        <w:t xml:space="preserve"> skund</w:t>
      </w:r>
      <w:r w:rsidR="00D92848" w:rsidRPr="00B504D7">
        <w:rPr>
          <w:rFonts w:cs="Times New Roman"/>
          <w:lang w:val="lt-LT"/>
        </w:rPr>
        <w:t>ų</w:t>
      </w:r>
      <w:r w:rsidRPr="00B504D7">
        <w:rPr>
          <w:rFonts w:cs="Times New Roman"/>
          <w:lang w:val="lt-LT"/>
        </w:rPr>
        <w:t xml:space="preserve"> argumentai</w:t>
      </w:r>
    </w:p>
    <w:p w14:paraId="4CE705AC" w14:textId="77777777" w:rsidR="00A30CAC" w:rsidRPr="00B504D7" w:rsidRDefault="00A30CAC" w:rsidP="004B070F">
      <w:pPr>
        <w:tabs>
          <w:tab w:val="left" w:pos="780"/>
        </w:tabs>
        <w:jc w:val="center"/>
        <w:rPr>
          <w:rFonts w:cs="Times New Roman"/>
          <w:lang w:val="lt-LT"/>
        </w:rPr>
      </w:pPr>
    </w:p>
    <w:p w14:paraId="55D177EB" w14:textId="537E5C9F" w:rsidR="00A30CAC" w:rsidRPr="00B504D7" w:rsidRDefault="006B3A3C" w:rsidP="00AD33F9">
      <w:pPr>
        <w:pStyle w:val="Sraopastraipa"/>
        <w:numPr>
          <w:ilvl w:val="0"/>
          <w:numId w:val="2"/>
        </w:numPr>
        <w:tabs>
          <w:tab w:val="left" w:pos="780"/>
        </w:tabs>
        <w:spacing w:after="120"/>
        <w:jc w:val="both"/>
        <w:rPr>
          <w:rFonts w:cs="Times New Roman"/>
          <w:lang w:val="lt-LT"/>
        </w:rPr>
      </w:pPr>
      <w:r w:rsidRPr="00B504D7">
        <w:rPr>
          <w:rFonts w:cs="Times New Roman"/>
          <w:lang w:val="lt-LT"/>
          <w14:textOutline w14:w="12700" w14:cap="flat" w14:cmpd="sng" w14:algn="ctr">
            <w14:noFill/>
            <w14:prstDash w14:val="solid"/>
            <w14:miter w14:lim="400000"/>
          </w14:textOutline>
        </w:rPr>
        <w:t xml:space="preserve">Kasaciniu skundu </w:t>
      </w:r>
      <w:r w:rsidRPr="00B504D7">
        <w:rPr>
          <w:lang w:val="lt-LT"/>
        </w:rPr>
        <w:t xml:space="preserve">Lietuvos Respublikos generalinės prokuratūros Organizuotų nusikaltimų ir korupcijos tyrimo departamento vyriausiasis prokuroras A. </w:t>
      </w:r>
      <w:proofErr w:type="spellStart"/>
      <w:r w:rsidRPr="00B504D7">
        <w:rPr>
          <w:lang w:val="lt-LT"/>
        </w:rPr>
        <w:t>Urbelis</w:t>
      </w:r>
      <w:proofErr w:type="spellEnd"/>
      <w:r w:rsidRPr="00B504D7">
        <w:rPr>
          <w:lang w:val="lt-LT"/>
        </w:rPr>
        <w:t xml:space="preserve"> </w:t>
      </w:r>
      <w:r w:rsidRPr="00B504D7">
        <w:rPr>
          <w:rFonts w:cs="Times New Roman"/>
          <w:lang w:val="lt-LT"/>
          <w14:textOutline w14:w="12700" w14:cap="flat" w14:cmpd="sng" w14:algn="ctr">
            <w14:noFill/>
            <w14:prstDash w14:val="solid"/>
            <w14:miter w14:lim="400000"/>
          </w14:textOutline>
        </w:rPr>
        <w:t xml:space="preserve">prašo pakeisti </w:t>
      </w:r>
      <w:r w:rsidRPr="00B504D7">
        <w:rPr>
          <w:lang w:val="lt-LT" w:bidi="lt-LT"/>
        </w:rPr>
        <w:t>Lietuvos apeliacinio teismo Baudžiamųjų bylų skyriaus teisėjų kolegijos 2024 m. vasario 28 d. nuosprendį – panaikinti Lietuvos apeliacinio teismo Baudžiamųjų bylų skyriaus teisėjų kolegijos 2024 m. vasario 28 d. nuosprendžio dalį, kuria, pritaikius BK 64</w:t>
      </w:r>
      <w:r w:rsidRPr="00B504D7">
        <w:rPr>
          <w:vertAlign w:val="superscript"/>
          <w:lang w:val="lt-LT" w:bidi="lt-LT"/>
        </w:rPr>
        <w:t>1</w:t>
      </w:r>
      <w:r w:rsidRPr="00B504D7">
        <w:rPr>
          <w:lang w:val="lt-LT" w:bidi="lt-LT"/>
        </w:rPr>
        <w:t xml:space="preserve"> straipsnį, </w:t>
      </w:r>
      <w:bookmarkStart w:id="20" w:name="Buk_125"/>
      <w:r w:rsidR="004F1F30" w:rsidRPr="004F1F30">
        <w:rPr>
          <w:color w:val="auto"/>
          <w:lang w:val="lt-LT" w:bidi="lt-LT"/>
        </w:rPr>
        <w:t xml:space="preserve">V. Š. </w:t>
      </w:r>
      <w:bookmarkEnd w:id="20"/>
      <w:r w:rsidRPr="00B504D7">
        <w:rPr>
          <w:lang w:val="lt-LT" w:bidi="lt-LT"/>
        </w:rPr>
        <w:t>paskirta laisvės atėmimo bausmė trejiems metams keturiems mėnesiams</w:t>
      </w:r>
      <w:r w:rsidRPr="00B504D7">
        <w:rPr>
          <w:rFonts w:cs="Times New Roman"/>
          <w:lang w:val="lt-LT"/>
        </w:rPr>
        <w:t xml:space="preserve">. </w:t>
      </w:r>
      <w:r w:rsidRPr="00B504D7">
        <w:rPr>
          <w:rFonts w:cs="Times New Roman"/>
          <w:lang w:val="lt-LT"/>
          <w14:textOutline w14:w="12700" w14:cap="flat" w14:cmpd="sng" w14:algn="ctr">
            <w14:noFill/>
            <w14:prstDash w14:val="solid"/>
            <w14:miter w14:lim="400000"/>
          </w14:textOutline>
        </w:rPr>
        <w:t>Kasatorius skunde nurodo:</w:t>
      </w:r>
    </w:p>
    <w:p w14:paraId="228C9C30" w14:textId="45520AA9" w:rsidR="007C7D8C" w:rsidRPr="00B504D7" w:rsidRDefault="007C7D8C" w:rsidP="007C7D8C">
      <w:pPr>
        <w:pStyle w:val="Pagrindinistekstas"/>
        <w:numPr>
          <w:ilvl w:val="1"/>
          <w:numId w:val="3"/>
        </w:numPr>
        <w:spacing w:after="120"/>
        <w:rPr>
          <w:rFonts w:cs="Times New Roman"/>
          <w:lang w:val="lt-LT"/>
        </w:rPr>
      </w:pPr>
      <w:r w:rsidRPr="00B504D7">
        <w:rPr>
          <w:rFonts w:cs="Times New Roman"/>
          <w:lang w:val="lt-LT" w:bidi="lt-LT"/>
        </w:rPr>
        <w:lastRenderedPageBreak/>
        <w:t xml:space="preserve">Apeliacinės instancijos teismas netinkamai pritaikė baudžiamąjį įstatymą – </w:t>
      </w:r>
      <w:r w:rsidRPr="00B504D7">
        <w:rPr>
          <w:lang w:val="lt-LT" w:bidi="lt-LT"/>
        </w:rPr>
        <w:t>BK 64</w:t>
      </w:r>
      <w:r w:rsidRPr="00B504D7">
        <w:rPr>
          <w:vertAlign w:val="superscript"/>
          <w:lang w:val="lt-LT" w:bidi="lt-LT"/>
        </w:rPr>
        <w:t>1</w:t>
      </w:r>
      <w:r w:rsidRPr="00B504D7">
        <w:rPr>
          <w:lang w:val="lt-LT" w:bidi="lt-LT"/>
        </w:rPr>
        <w:t xml:space="preserve"> straipsnį. Šis teismas, atlikęs įrodymų tyrim</w:t>
      </w:r>
      <w:r w:rsidR="00FF1B9E" w:rsidRPr="00B504D7">
        <w:rPr>
          <w:lang w:val="lt-LT" w:bidi="lt-LT"/>
        </w:rPr>
        <w:t xml:space="preserve">ą, </w:t>
      </w:r>
      <w:r w:rsidRPr="00B504D7">
        <w:rPr>
          <w:lang w:val="lt-LT" w:bidi="lt-LT"/>
        </w:rPr>
        <w:t>nuteistajam be pagrindo pritaikė BK 64</w:t>
      </w:r>
      <w:r w:rsidRPr="00B504D7">
        <w:rPr>
          <w:vertAlign w:val="superscript"/>
          <w:lang w:val="lt-LT" w:bidi="lt-LT"/>
        </w:rPr>
        <w:t>1</w:t>
      </w:r>
      <w:r w:rsidRPr="00B504D7">
        <w:rPr>
          <w:lang w:val="lt-LT" w:bidi="lt-LT"/>
        </w:rPr>
        <w:t xml:space="preserve"> straipsnį ir paskirtąją bausmę sumažino vienu trečdaliu</w:t>
      </w:r>
      <w:r w:rsidR="00FF1B9E" w:rsidRPr="00B504D7">
        <w:rPr>
          <w:lang w:val="lt-LT" w:bidi="lt-LT"/>
        </w:rPr>
        <w:t>.</w:t>
      </w:r>
      <w:r w:rsidRPr="00B504D7">
        <w:rPr>
          <w:lang w:val="lt-LT" w:bidi="lt-LT"/>
        </w:rPr>
        <w:t xml:space="preserve"> </w:t>
      </w:r>
    </w:p>
    <w:p w14:paraId="07509689" w14:textId="77777777" w:rsidR="007C7D8C" w:rsidRPr="00B504D7" w:rsidRDefault="007C7D8C" w:rsidP="007C7D8C">
      <w:pPr>
        <w:pStyle w:val="Pagrindinistekstas"/>
        <w:numPr>
          <w:ilvl w:val="1"/>
          <w:numId w:val="3"/>
        </w:numPr>
        <w:spacing w:after="120"/>
        <w:rPr>
          <w:rFonts w:cs="Times New Roman"/>
          <w:lang w:val="lt-LT"/>
        </w:rPr>
      </w:pPr>
      <w:r w:rsidRPr="00B504D7">
        <w:rPr>
          <w:lang w:val="lt-LT" w:bidi="lt-LT"/>
        </w:rPr>
        <w:t>Pagal BK 64</w:t>
      </w:r>
      <w:r w:rsidRPr="00B504D7">
        <w:rPr>
          <w:vertAlign w:val="superscript"/>
          <w:lang w:val="lt-LT" w:bidi="lt-LT"/>
        </w:rPr>
        <w:t>1</w:t>
      </w:r>
      <w:r w:rsidRPr="00B504D7">
        <w:rPr>
          <w:lang w:val="lt-LT" w:bidi="lt-LT"/>
        </w:rPr>
        <w:t xml:space="preserve"> straipsnio 1 dalį, baudžiamąją bylą išnagrinėjus pagreitinto proceso tvarka ar atlikus sutrumpintą įrodymų tyrimą, taip pat tais atvejais, kai baudžiamoji byla baigiama teismo baudžiamuoju įsakymu, nuteistajam skiriama bausmė ir ji tuo pačiu nuosprendžiu sumažinama vienu trečdaliu. To paties straipsnio 2 dalyje nurodyta, kad šio straipsnio 1 dalyje nustatyta taisyklė taikoma tik tais atvejais, kai asmuo prisipažįsta esąs kaltas. Taigi minėtas įstatymas taikomas esant dviem sąlygoms: 1) baudžiamoji byla išnagrinėjama pagreitinto proceso tvarka ar atlikus sutrumpintą įrodymų tyrimą arba priėmus baudžiamąjį įsakymą; 2) asmuo prisipažįsta kaltas. Kasacinės instancijos teismo praktikoje konstatuota, kad BK 64</w:t>
      </w:r>
      <w:r w:rsidRPr="00B504D7">
        <w:rPr>
          <w:vertAlign w:val="superscript"/>
          <w:lang w:val="lt-LT" w:bidi="lt-LT"/>
        </w:rPr>
        <w:t>1</w:t>
      </w:r>
      <w:r w:rsidRPr="00B504D7">
        <w:rPr>
          <w:lang w:val="lt-LT" w:bidi="lt-LT"/>
        </w:rPr>
        <w:t xml:space="preserve"> straipsnis taikytinas tik esant minėtų sąlygų visumai (kasacinės nutartys baudžiamosiose bylose Nr. 2K-569/2014, 2K-327-303/2015, 2K-264-697/2017). Atitinkamai, nesant bent vienos šių sąlygų, BK 64</w:t>
      </w:r>
      <w:r w:rsidRPr="00B504D7">
        <w:rPr>
          <w:vertAlign w:val="superscript"/>
          <w:lang w:val="lt-LT" w:bidi="lt-LT"/>
        </w:rPr>
        <w:t>1</w:t>
      </w:r>
      <w:r w:rsidRPr="00B504D7">
        <w:rPr>
          <w:lang w:val="lt-LT" w:bidi="lt-LT"/>
        </w:rPr>
        <w:t xml:space="preserve"> straipsnio nuostatos netaikytinos (kasacinė nutartis baudžiamojoje byloje Nr. 2K-7-71-458/2020).</w:t>
      </w:r>
    </w:p>
    <w:p w14:paraId="39ABC8FB" w14:textId="77777777" w:rsidR="007C7D8C" w:rsidRPr="00B504D7" w:rsidRDefault="007C7D8C" w:rsidP="007C7D8C">
      <w:pPr>
        <w:pStyle w:val="Pagrindinistekstas"/>
        <w:numPr>
          <w:ilvl w:val="1"/>
          <w:numId w:val="3"/>
        </w:numPr>
        <w:spacing w:after="120"/>
        <w:rPr>
          <w:rFonts w:cs="Times New Roman"/>
          <w:lang w:val="lt-LT"/>
        </w:rPr>
      </w:pPr>
      <w:r w:rsidRPr="00B504D7">
        <w:rPr>
          <w:rFonts w:cs="Times New Roman"/>
          <w:lang w:val="lt-LT"/>
        </w:rPr>
        <w:t>Lietuvos Respublikos baudžiamojo proceso kodekso (toliau – ir BPK)</w:t>
      </w:r>
      <w:r w:rsidRPr="00B504D7">
        <w:rPr>
          <w:lang w:val="lt-LT" w:bidi="lt-LT"/>
        </w:rPr>
        <w:t xml:space="preserve"> 273 straipsnio 1 dalyje nustatyta, kad jeigu kaltinamasis, kuris nėra kaltinamas padaręs labai sunkų nusikaltimą, po kaltinamojo akto paskelbimo teismui pareiškė, kad prisipažįsta esąs</w:t>
      </w:r>
      <w:r w:rsidRPr="00B504D7">
        <w:rPr>
          <w:lang w:val="lt-LT"/>
        </w:rPr>
        <w:t xml:space="preserve"> </w:t>
      </w:r>
      <w:r w:rsidRPr="00B504D7">
        <w:rPr>
          <w:lang w:val="lt-LT" w:bidi="lt-LT"/>
        </w:rPr>
        <w:t>kaltas ir pageidauja tuojau pat duoti parodymus bei sutinka, kad kiti įrodymai nebūtų tiriami, arba tokį pageidavimą kaltinamasis jau yra pareiškęs BPK 218 straipsnio 2 dalyje nustatyta tvarka, įrodymų tyrimas apklausus kaltinamąjį ir įvykdžius BPK 291 straipsnio reikalavimus gali būti nutrauktas, jei nusikalstamos veikos padarymo aplinkybės nekelia abejonių ir su tokiu sutrumpintu įrodymų tyrimu sutinka prokuroras ir gynėjas. Vadinasi, sutrumpintas įrodymų tyrimas galimas esant šių sąlygų visumai: 1) kaltinamasis nėra padaręs labai sunkaus nusikaltimo; 2) kaltinamasis visiškai pripažįsta kaltę; 3) su tokiu sutrumpintu įrodymų tyrimu sutinka prokuroras ir gynėjas; 4) nusikalstamos veikos padarymo aplinkybės nekelia abejonių; 5) sutrumpintas įrodymų tyrimas atliekamas teismo sprendimu. Byloje nenustačius bent vienos iš šių sąlygų, BPK 273 straipsnio 1 dalies nuostatos negali būti taikomos (kasacinė nutartis baudžiamojoje byloje Nr. 2K-98-495/2021).</w:t>
      </w:r>
    </w:p>
    <w:p w14:paraId="0E4A1C67" w14:textId="0D7CCFA1" w:rsidR="007C7D8C" w:rsidRPr="00B504D7" w:rsidRDefault="007C7D8C" w:rsidP="007C7D8C">
      <w:pPr>
        <w:pStyle w:val="Pagrindinistekstas"/>
        <w:numPr>
          <w:ilvl w:val="1"/>
          <w:numId w:val="3"/>
        </w:numPr>
        <w:spacing w:after="120"/>
        <w:rPr>
          <w:rFonts w:cs="Times New Roman"/>
          <w:lang w:val="lt-LT"/>
        </w:rPr>
      </w:pPr>
      <w:r w:rsidRPr="00B504D7">
        <w:rPr>
          <w:lang w:val="lt-LT" w:bidi="lt-LT"/>
        </w:rPr>
        <w:t xml:space="preserve">Įtariamajam </w:t>
      </w:r>
      <w:bookmarkStart w:id="21" w:name="Buk_126"/>
      <w:r w:rsidR="004F1F30" w:rsidRPr="004F1F30">
        <w:rPr>
          <w:color w:val="auto"/>
          <w:lang w:val="lt-LT" w:bidi="lt-LT"/>
        </w:rPr>
        <w:t xml:space="preserve">V. Š. </w:t>
      </w:r>
      <w:bookmarkEnd w:id="21"/>
      <w:r w:rsidRPr="00B504D7">
        <w:rPr>
          <w:lang w:val="lt-LT" w:bidi="lt-LT"/>
        </w:rPr>
        <w:t xml:space="preserve">2023 m. gegužės 24 d. paskelbta apie ikiteisminio tyrimo pabaigimą ir išaiškintos BPK 273 straipsnyje nustatytos sutrumpinto įrodymų tyrimo teisme sąlygos. Iki kaltinamojo akto surašymo įtariamasis pareiškė, kad sutinka su sutrumpintu įrodymų tyrimu teisme. Prokuroras, perduodamas bylą nagrinėti teismui su kaltinamuoju aktu, kaltinamajame akte nurodė, jog sutrumpintas įrodymų tyrimas negalimas, nes nors </w:t>
      </w:r>
      <w:bookmarkStart w:id="22" w:name="Buk_39"/>
      <w:r w:rsidR="004F1F30" w:rsidRPr="004F1F30">
        <w:rPr>
          <w:color w:val="auto"/>
          <w:lang w:val="lt-LT" w:bidi="lt-LT"/>
        </w:rPr>
        <w:t xml:space="preserve">V. Š. </w:t>
      </w:r>
      <w:bookmarkEnd w:id="22"/>
      <w:r w:rsidRPr="00B504D7">
        <w:rPr>
          <w:lang w:val="lt-LT" w:bidi="lt-LT"/>
        </w:rPr>
        <w:t xml:space="preserve">pareiškė, kad prisipažįsta esąs kaltas ir sutinka su sutrumpintu įrodymų tyrimu, tačiau jis ginčija, kad reikalavo iš </w:t>
      </w:r>
      <w:bookmarkStart w:id="23" w:name="Buk_10"/>
      <w:r w:rsidR="004F1F30" w:rsidRPr="004F1F30">
        <w:rPr>
          <w:color w:val="auto"/>
          <w:lang w:val="lt-LT" w:bidi="lt-LT"/>
        </w:rPr>
        <w:t xml:space="preserve">J. K. </w:t>
      </w:r>
      <w:bookmarkEnd w:id="23"/>
      <w:r w:rsidRPr="00B504D7">
        <w:rPr>
          <w:lang w:val="lt-LT" w:bidi="lt-LT"/>
        </w:rPr>
        <w:t xml:space="preserve">kyšių, ir savo kyšininkavimą vertina kaip vieną tęstinę veiką. Pirmosios instancijos teismo posėdyje </w:t>
      </w:r>
      <w:bookmarkStart w:id="24" w:name="Buk_40"/>
      <w:r w:rsidR="004F1F30" w:rsidRPr="004F1F30">
        <w:rPr>
          <w:color w:val="auto"/>
          <w:lang w:val="lt-LT" w:bidi="lt-LT"/>
        </w:rPr>
        <w:t xml:space="preserve">V. Š. </w:t>
      </w:r>
      <w:bookmarkEnd w:id="24"/>
      <w:r w:rsidRPr="00B504D7">
        <w:rPr>
          <w:lang w:val="lt-LT" w:bidi="lt-LT"/>
        </w:rPr>
        <w:t xml:space="preserve">prisipažino ne tik priėmęs iš </w:t>
      </w:r>
      <w:bookmarkStart w:id="25" w:name="Buk_11"/>
      <w:r w:rsidR="004F1F30" w:rsidRPr="004F1F30">
        <w:rPr>
          <w:color w:val="auto"/>
          <w:lang w:val="lt-LT" w:bidi="lt-LT"/>
        </w:rPr>
        <w:t xml:space="preserve">J. K. </w:t>
      </w:r>
      <w:bookmarkEnd w:id="25"/>
      <w:r w:rsidRPr="00B504D7">
        <w:rPr>
          <w:lang w:val="lt-LT" w:bidi="lt-LT"/>
        </w:rPr>
        <w:t xml:space="preserve">kyšius, tačiau ir kaltinamajame akte nurodytomis aplinkybėmis šių kyšių prieš tai aktyviai iš šio reikalavęs, t. y. pripažino esmines jam inkriminuotos nusikalstamos veikos faktines aplinkybes. Taip pat </w:t>
      </w:r>
      <w:bookmarkStart w:id="26" w:name="Buk_41"/>
      <w:r w:rsidR="004F1F30" w:rsidRPr="004F1F30">
        <w:rPr>
          <w:color w:val="auto"/>
          <w:lang w:val="lt-LT" w:bidi="lt-LT"/>
        </w:rPr>
        <w:t xml:space="preserve">V. Š. </w:t>
      </w:r>
      <w:bookmarkEnd w:id="26"/>
      <w:r w:rsidRPr="00B504D7">
        <w:rPr>
          <w:lang w:val="lt-LT" w:bidi="lt-LT"/>
        </w:rPr>
        <w:t>sutiko, kad kiti įrodymai nebūtų tiriami. Teismui sprendžiant dėl galimumo byloje atlikti sutrumpintą įrodymų tyrimą, prokuroras ir gynėjas dėl sutrumpinto įrodymų tyrimo neprieštaravo. Taigi bylą pirmosios instancijos teisme buvo galima išnagrinėti atliekant sutrumpintą įrodymų tyrimą. Nustatęs BK 64</w:t>
      </w:r>
      <w:r w:rsidRPr="00B504D7">
        <w:rPr>
          <w:vertAlign w:val="superscript"/>
          <w:lang w:val="lt-LT" w:bidi="lt-LT"/>
        </w:rPr>
        <w:t>1</w:t>
      </w:r>
      <w:r w:rsidRPr="00B504D7">
        <w:rPr>
          <w:lang w:val="lt-LT" w:bidi="lt-LT"/>
        </w:rPr>
        <w:t xml:space="preserve"> straipsnio pagrindus, teismas pagrįstai nuosprendžiu paskirtą nuteistajam </w:t>
      </w:r>
      <w:bookmarkStart w:id="27" w:name="Buk_127"/>
      <w:r w:rsidR="004F1F30" w:rsidRPr="004F1F30">
        <w:rPr>
          <w:color w:val="auto"/>
          <w:lang w:val="lt-LT" w:bidi="lt-LT"/>
        </w:rPr>
        <w:t xml:space="preserve">V. Š. </w:t>
      </w:r>
      <w:bookmarkEnd w:id="27"/>
      <w:r w:rsidRPr="00B504D7">
        <w:rPr>
          <w:lang w:val="lt-LT" w:bidi="lt-LT"/>
        </w:rPr>
        <w:t>bausmę sumažino vienu trečdaliu.</w:t>
      </w:r>
    </w:p>
    <w:p w14:paraId="4C305F61" w14:textId="78119A0F" w:rsidR="007C7D8C" w:rsidRPr="00B504D7" w:rsidRDefault="007C7D8C" w:rsidP="007C7D8C">
      <w:pPr>
        <w:pStyle w:val="Pagrindinistekstas"/>
        <w:numPr>
          <w:ilvl w:val="1"/>
          <w:numId w:val="3"/>
        </w:numPr>
        <w:spacing w:after="120"/>
        <w:rPr>
          <w:rFonts w:cs="Times New Roman"/>
          <w:lang w:val="lt-LT"/>
        </w:rPr>
      </w:pPr>
      <w:r w:rsidRPr="00B504D7">
        <w:rPr>
          <w:lang w:val="lt-LT" w:bidi="lt-LT"/>
        </w:rPr>
        <w:t xml:space="preserve">Nuteistojo </w:t>
      </w:r>
      <w:bookmarkStart w:id="28" w:name="Buk_76"/>
      <w:r w:rsidR="004F1F30" w:rsidRPr="004F1F30">
        <w:rPr>
          <w:color w:val="auto"/>
          <w:lang w:val="lt-LT" w:bidi="lt-LT"/>
        </w:rPr>
        <w:t xml:space="preserve">V. Š. </w:t>
      </w:r>
      <w:bookmarkEnd w:id="28"/>
      <w:r w:rsidRPr="00B504D7">
        <w:rPr>
          <w:lang w:val="lt-LT" w:bidi="lt-LT"/>
        </w:rPr>
        <w:t xml:space="preserve">gynėjas advokatas R. </w:t>
      </w:r>
      <w:proofErr w:type="spellStart"/>
      <w:r w:rsidRPr="00B504D7">
        <w:rPr>
          <w:lang w:val="lt-LT" w:bidi="lt-LT"/>
        </w:rPr>
        <w:t>Boiko</w:t>
      </w:r>
      <w:proofErr w:type="spellEnd"/>
      <w:r w:rsidRPr="00B504D7">
        <w:rPr>
          <w:lang w:val="lt-LT" w:bidi="lt-LT"/>
        </w:rPr>
        <w:t xml:space="preserve"> apeliaciniu skundu apeliacinės instancijos teismo prašė atlikti dalinį įrodymų tyrimą ir išreikalauti iš Generalinės prokuratūros, Lietuvos Respublikos specialiųjų tyrimų tarnybos (toliau – STT) išslaptintus dokumentus, susijusius su Lietuvos Respublikos kriminalinės žvalgybos įstatymo (toliau – ir KŽĮ) 11 straipsnio taikymu </w:t>
      </w:r>
      <w:bookmarkStart w:id="29" w:name="Buk_16"/>
      <w:r w:rsidR="004F1F30" w:rsidRPr="004F1F30">
        <w:rPr>
          <w:color w:val="auto"/>
          <w:lang w:val="lt-LT" w:bidi="lt-LT"/>
        </w:rPr>
        <w:t>J. K.</w:t>
      </w:r>
      <w:bookmarkEnd w:id="29"/>
      <w:r w:rsidRPr="00B504D7">
        <w:rPr>
          <w:lang w:val="lt-LT" w:bidi="lt-LT"/>
        </w:rPr>
        <w:t xml:space="preserve">, arba pavesti tai atlikti prokurorui. Teismo posėdžio metu gynėjas prašė kreiptis į Lietuvos Respublikos Konstitucinį Teismą dėl BK 47 straipsnio 6 dalies atitikties Lietuvos Respublikos Konstitucijos 31 straipsnio 2 dalies, 109 straipsnio 1 dalies ir 110 straipsnio 1 </w:t>
      </w:r>
      <w:r w:rsidRPr="00B504D7">
        <w:rPr>
          <w:lang w:val="lt-LT" w:bidi="lt-LT"/>
        </w:rPr>
        <w:lastRenderedPageBreak/>
        <w:t xml:space="preserve">dalies nuostatoms. Apeliacinės instancijos teismas nutarė atlikti byloje įrodymų tyrimą: papildomai apklausė nuteistąjį </w:t>
      </w:r>
      <w:bookmarkStart w:id="30" w:name="Buk_26"/>
      <w:r w:rsidR="004F1F30" w:rsidRPr="004F1F30">
        <w:rPr>
          <w:color w:val="auto"/>
          <w:lang w:val="lt-LT" w:bidi="lt-LT"/>
        </w:rPr>
        <w:t>V. Š.</w:t>
      </w:r>
      <w:bookmarkEnd w:id="30"/>
      <w:r w:rsidRPr="00B504D7">
        <w:rPr>
          <w:lang w:val="lt-LT" w:bidi="lt-LT"/>
        </w:rPr>
        <w:t xml:space="preserve">, pridėjo prie bylos ir ištyrė gynybos pateiktus papildomus dokumentus, taip pat išreikalavo ir ištyrė gynėjo prašomus dokumentus, teismo posėdžio metu buvo peržiūrėti vaizdo įrašai, kuriuose yra užfiksuotas pareigūnų patekimas į nuteistojo gyvenamąją vietą. Apeliacinės instancijos teismas nenustatė pagrindų keisti nuosprendį </w:t>
      </w:r>
      <w:r w:rsidR="002B071D" w:rsidRPr="00B504D7">
        <w:rPr>
          <w:lang w:val="lt-LT" w:bidi="lt-LT"/>
        </w:rPr>
        <w:t xml:space="preserve">nuteistojo gynėjo </w:t>
      </w:r>
      <w:r w:rsidRPr="00B504D7">
        <w:rPr>
          <w:lang w:val="lt-LT" w:bidi="lt-LT"/>
        </w:rPr>
        <w:t>apeliaciniame skunde išdėstytais motyvais. Šis teismas nutarė taikyti BK 64</w:t>
      </w:r>
      <w:r w:rsidRPr="00B504D7">
        <w:rPr>
          <w:vertAlign w:val="superscript"/>
          <w:lang w:val="lt-LT" w:bidi="lt-LT"/>
        </w:rPr>
        <w:t>1</w:t>
      </w:r>
      <w:r w:rsidRPr="00B504D7">
        <w:rPr>
          <w:lang w:val="lt-LT" w:bidi="lt-LT"/>
        </w:rPr>
        <w:t xml:space="preserve"> straipsnį ir bausmę</w:t>
      </w:r>
      <w:r w:rsidRPr="00B504D7">
        <w:rPr>
          <w:lang w:val="lt-LT"/>
        </w:rPr>
        <w:t xml:space="preserve"> </w:t>
      </w:r>
      <w:r w:rsidRPr="00B504D7">
        <w:rPr>
          <w:lang w:val="lt-LT" w:bidi="lt-LT"/>
        </w:rPr>
        <w:t xml:space="preserve">sumažinti vienu trečdaliu, nepaisydamas to, kad buvo išnykusios sąlygos taikyti šį įstatymą, nes byla buvo išnagrinėta bendra tvarka, o ne atliekant sutrumpintą įrodymų tyrimą. </w:t>
      </w:r>
    </w:p>
    <w:p w14:paraId="6FB904F7" w14:textId="48E1AE1B" w:rsidR="00A43EDA" w:rsidRPr="00122725" w:rsidRDefault="007C7D8C" w:rsidP="00FB6C12">
      <w:pPr>
        <w:pStyle w:val="Pagrindinistekstas"/>
        <w:numPr>
          <w:ilvl w:val="1"/>
          <w:numId w:val="3"/>
        </w:numPr>
        <w:spacing w:after="120"/>
        <w:rPr>
          <w:rFonts w:cs="Times New Roman"/>
          <w:lang w:val="lt-LT"/>
        </w:rPr>
      </w:pPr>
      <w:r w:rsidRPr="00122725">
        <w:rPr>
          <w:lang w:val="lt-LT" w:bidi="lt-LT"/>
        </w:rPr>
        <w:t>Apeliacinės instancijos teismas skundžiamame nuosprendyje nukrypo nuo kasacin</w:t>
      </w:r>
      <w:r w:rsidRPr="00122725">
        <w:rPr>
          <w:lang w:val="lt-LT"/>
        </w:rPr>
        <w:t>ės instancijos</w:t>
      </w:r>
      <w:r w:rsidRPr="00122725">
        <w:rPr>
          <w:lang w:val="lt-LT" w:bidi="lt-LT"/>
        </w:rPr>
        <w:t xml:space="preserve"> teismo formuojamos praktikos, kad, apeliacinės instancijos teismui sprendžiant dėl BK 64</w:t>
      </w:r>
      <w:r w:rsidRPr="00122725">
        <w:rPr>
          <w:vertAlign w:val="superscript"/>
          <w:lang w:val="lt-LT" w:bidi="lt-LT"/>
        </w:rPr>
        <w:t>1</w:t>
      </w:r>
      <w:r w:rsidRPr="00122725">
        <w:rPr>
          <w:lang w:val="lt-LT" w:bidi="lt-LT"/>
        </w:rPr>
        <w:t xml:space="preserve"> straipsnio taikymo galimybių, išlieka aktuali šiame BK straipsnyje įtvirtintų sąlygų, sudarančių galimybes apeliacinės instancijos teismui, skiriant bausmę, ją sumažinti vienu trečdaliu, nustatymo svarba. BK 64</w:t>
      </w:r>
      <w:r w:rsidRPr="00122725">
        <w:rPr>
          <w:vertAlign w:val="superscript"/>
          <w:lang w:val="lt-LT" w:bidi="lt-LT"/>
        </w:rPr>
        <w:t>1</w:t>
      </w:r>
      <w:r w:rsidRPr="00122725">
        <w:rPr>
          <w:lang w:val="lt-LT" w:bidi="lt-LT"/>
        </w:rPr>
        <w:t xml:space="preserve"> straipsnio taikymą lemia ne tik tai, ar asmuo prisipažįsta esąs kaltas, bet ir šioje byloje aktuali proceso forma – tai, kad byloje atliktas įrodymų tyrimas (kasacinės nutartys baudžiamosiose bylose Nr. 2K-7-71-458/2020, 2K-98-495/2021). Taigi</w:t>
      </w:r>
      <w:r w:rsidRPr="00122725">
        <w:rPr>
          <w:lang w:val="lt-LT"/>
        </w:rPr>
        <w:t xml:space="preserve"> </w:t>
      </w:r>
      <w:r w:rsidRPr="00122725">
        <w:rPr>
          <w:lang w:val="lt-LT" w:bidi="lt-LT"/>
        </w:rPr>
        <w:t>apeliacinės instancijos teismas turėjo patikrinti, ar nagrinėjant bylą apeliacine tvarka egzistuoja sąlygų, būtinų BK 64</w:t>
      </w:r>
      <w:r w:rsidRPr="00122725">
        <w:rPr>
          <w:vertAlign w:val="superscript"/>
          <w:lang w:val="lt-LT" w:bidi="lt-LT"/>
        </w:rPr>
        <w:t>1</w:t>
      </w:r>
      <w:r w:rsidRPr="00122725">
        <w:rPr>
          <w:lang w:val="lt-LT" w:bidi="lt-LT"/>
        </w:rPr>
        <w:t xml:space="preserve"> straipsniui taikyti, visuma, įskaitant ir sutrumpinto įrodymų tyrimo atlikimo pagrįstumą.</w:t>
      </w:r>
      <w:r w:rsidR="00122725" w:rsidRPr="00122725">
        <w:rPr>
          <w:lang w:val="lt-LT" w:bidi="lt-LT"/>
        </w:rPr>
        <w:t xml:space="preserve"> </w:t>
      </w:r>
      <w:r w:rsidRPr="00122725">
        <w:rPr>
          <w:lang w:val="lt-LT" w:bidi="lt-LT"/>
        </w:rPr>
        <w:t>Skundžiamo nuosprendžio argumentai, kad teisėjų kolegija yra varžoma prokuroro apeliacinio skundo ir įstatyme nustatyto draudimo pabloginti nuteistojo padėtį labiau, nei to prašoma, todėl taiko BK 64</w:t>
      </w:r>
      <w:r w:rsidRPr="00122725">
        <w:rPr>
          <w:vertAlign w:val="superscript"/>
          <w:lang w:val="lt-LT" w:bidi="lt-LT"/>
        </w:rPr>
        <w:t>1</w:t>
      </w:r>
      <w:r w:rsidRPr="00122725">
        <w:rPr>
          <w:lang w:val="lt-LT" w:bidi="lt-LT"/>
        </w:rPr>
        <w:t xml:space="preserve"> straipsnio nuostatas ir paskirtą laisvės atėmimo bausmę mažina vienu trečdaliu, yra nepagrįsti. </w:t>
      </w:r>
    </w:p>
    <w:p w14:paraId="1947137C" w14:textId="5CA46CA4" w:rsidR="00F6077B" w:rsidRPr="00B504D7" w:rsidRDefault="007C7D8C" w:rsidP="00A43EDA">
      <w:pPr>
        <w:pStyle w:val="Pagrindinistekstas"/>
        <w:numPr>
          <w:ilvl w:val="1"/>
          <w:numId w:val="3"/>
        </w:numPr>
        <w:spacing w:after="120"/>
        <w:rPr>
          <w:rFonts w:cs="Times New Roman"/>
          <w:lang w:val="lt-LT"/>
        </w:rPr>
      </w:pPr>
      <w:r w:rsidRPr="00B504D7">
        <w:rPr>
          <w:lang w:val="lt-LT" w:bidi="lt-LT"/>
        </w:rPr>
        <w:t xml:space="preserve">Pagal BPK 320 straipsnio 1 dalį, bylos apeliacine tvarka nagrinėjamos tik tais atvejais, kai yra apeliacinių skundų, paduotų BPK 313 straipsnyje nustatyta tvarka ir terminais, o to paties straipsnio 4 dalyje nustatyta, kad pabloginti, be kita ko, nuteistojo padėtį apeliacinės instancijos teismas gali tik tuo atveju, kai dėl to yra prokuroro, nukentėjusiojo ir civilinio ieškovo skundai. Nuteistojo padėtis negali būti pabloginama daugiau, negu to prašoma apeliaciniame skunde. Su šiomis nuostatomis yra susiję nagrinėjamai bylai aktualūs kasacinės instancijos teismo išaiškinimai, kad nuteistojo teisės skųsti, jo manymu, neteisėtus ir nepagrįstus sprendimus įgyvendinimo garantija yra </w:t>
      </w:r>
      <w:proofErr w:type="spellStart"/>
      <w:r w:rsidRPr="00B504D7">
        <w:rPr>
          <w:rStyle w:val="Bodytext2Italic"/>
          <w:rFonts w:eastAsia="Arial Unicode MS"/>
        </w:rPr>
        <w:t>non</w:t>
      </w:r>
      <w:proofErr w:type="spellEnd"/>
      <w:r w:rsidRPr="00B504D7">
        <w:rPr>
          <w:rStyle w:val="Bodytext2Italic"/>
          <w:rFonts w:eastAsia="Arial Unicode MS"/>
        </w:rPr>
        <w:t xml:space="preserve"> </w:t>
      </w:r>
      <w:proofErr w:type="spellStart"/>
      <w:r w:rsidRPr="00B504D7">
        <w:rPr>
          <w:rStyle w:val="Bodytext2Italic"/>
          <w:rFonts w:eastAsia="Arial Unicode MS"/>
        </w:rPr>
        <w:t>reformatio</w:t>
      </w:r>
      <w:proofErr w:type="spellEnd"/>
      <w:r w:rsidRPr="00B504D7">
        <w:rPr>
          <w:rStyle w:val="Bodytext2Italic"/>
          <w:rFonts w:eastAsia="Arial Unicode MS"/>
        </w:rPr>
        <w:t xml:space="preserve"> </w:t>
      </w:r>
      <w:proofErr w:type="spellStart"/>
      <w:r w:rsidRPr="00B504D7">
        <w:rPr>
          <w:rStyle w:val="Bodytext2Italic"/>
          <w:rFonts w:eastAsia="Arial Unicode MS"/>
        </w:rPr>
        <w:t>in</w:t>
      </w:r>
      <w:proofErr w:type="spellEnd"/>
      <w:r w:rsidRPr="00B504D7">
        <w:rPr>
          <w:rStyle w:val="Bodytext2Italic"/>
          <w:rFonts w:eastAsia="Arial Unicode MS"/>
        </w:rPr>
        <w:t xml:space="preserve"> </w:t>
      </w:r>
      <w:proofErr w:type="spellStart"/>
      <w:r w:rsidRPr="00B504D7">
        <w:rPr>
          <w:rStyle w:val="Bodytext2Italic"/>
          <w:rFonts w:eastAsia="Arial Unicode MS"/>
        </w:rPr>
        <w:t>peius</w:t>
      </w:r>
      <w:proofErr w:type="spellEnd"/>
      <w:r w:rsidRPr="00B504D7">
        <w:rPr>
          <w:lang w:val="lt-LT" w:bidi="lt-LT"/>
        </w:rPr>
        <w:t xml:space="preserve"> principas, kuris iš esmės reiškia, kad dėl skundo padavimo skundą padavusiam asmeniui negali kilti jokių neigiamų pasekmių – asmens padėtis dėl jo paties paduoto skundo negali būti pabloginama. Priešingu atveju asmens atžvilgiu vykstantis procesas būtų neteisingas (nesąžiningas). Nagrinėjant bylą teismuose, </w:t>
      </w:r>
      <w:proofErr w:type="spellStart"/>
      <w:r w:rsidRPr="00B504D7">
        <w:rPr>
          <w:rStyle w:val="Bodytext2Italic"/>
          <w:rFonts w:eastAsia="Arial Unicode MS"/>
        </w:rPr>
        <w:t>non</w:t>
      </w:r>
      <w:proofErr w:type="spellEnd"/>
      <w:r w:rsidRPr="00B504D7">
        <w:rPr>
          <w:rStyle w:val="Bodytext2Italic"/>
          <w:rFonts w:eastAsia="Arial Unicode MS"/>
        </w:rPr>
        <w:t xml:space="preserve"> </w:t>
      </w:r>
      <w:proofErr w:type="spellStart"/>
      <w:r w:rsidRPr="00B504D7">
        <w:rPr>
          <w:rStyle w:val="Bodytext2Italic"/>
          <w:rFonts w:eastAsia="Arial Unicode MS"/>
        </w:rPr>
        <w:t>reformatio</w:t>
      </w:r>
      <w:proofErr w:type="spellEnd"/>
      <w:r w:rsidRPr="00B504D7">
        <w:rPr>
          <w:rStyle w:val="Bodytext2Italic"/>
          <w:rFonts w:eastAsia="Arial Unicode MS"/>
        </w:rPr>
        <w:t xml:space="preserve"> </w:t>
      </w:r>
      <w:proofErr w:type="spellStart"/>
      <w:r w:rsidRPr="00B504D7">
        <w:rPr>
          <w:rStyle w:val="Bodytext2Italic"/>
          <w:rFonts w:eastAsia="Arial Unicode MS"/>
        </w:rPr>
        <w:t>in</w:t>
      </w:r>
      <w:proofErr w:type="spellEnd"/>
      <w:r w:rsidRPr="00B504D7">
        <w:rPr>
          <w:rStyle w:val="Bodytext2Italic"/>
          <w:rFonts w:eastAsia="Arial Unicode MS"/>
        </w:rPr>
        <w:t xml:space="preserve"> </w:t>
      </w:r>
      <w:proofErr w:type="spellStart"/>
      <w:r w:rsidRPr="00B504D7">
        <w:rPr>
          <w:rStyle w:val="Bodytext2Italic"/>
          <w:rFonts w:eastAsia="Arial Unicode MS"/>
        </w:rPr>
        <w:t>peius</w:t>
      </w:r>
      <w:proofErr w:type="spellEnd"/>
      <w:r w:rsidRPr="00B504D7">
        <w:rPr>
          <w:lang w:val="lt-LT" w:bidi="lt-LT"/>
        </w:rPr>
        <w:t xml:space="preserve"> principo turi būti laikomasi visose proceso stadijose. Taigi, nagrinėjant bylą apeliacine, kasacine tvarka ar perdavus bylą iš naujo nagrinėti pirmosios ar apeliacinės instancijos teismui, nuteistojo padėtis negali būti bloginama, jei procesas tęsiamas paties nuteistojo iniciatyva (kasacinės nutartys baudžiamosiose bylose Nr. 2K-7-84-489/2018, 2K-19-1073/2018, </w:t>
      </w:r>
      <w:r w:rsidRPr="00B504D7">
        <w:rPr>
          <w:color w:val="auto"/>
          <w:lang w:val="lt-LT" w:bidi="lt-LT"/>
        </w:rPr>
        <w:t>2K-7-71-458/2020</w:t>
      </w:r>
      <w:r w:rsidRPr="00B504D7">
        <w:rPr>
          <w:lang w:val="lt-LT" w:bidi="lt-LT"/>
        </w:rPr>
        <w:t>). Apeliacine tvarka byla buvo nagrinėjama pagal prokuroro apeliacinį skundą, be kita ko, ir dėl nuteistajam pirmosios instancijos teismo paskirtos pernelyg</w:t>
      </w:r>
      <w:r w:rsidRPr="00B504D7">
        <w:rPr>
          <w:lang w:val="lt-LT"/>
        </w:rPr>
        <w:t xml:space="preserve"> </w:t>
      </w:r>
      <w:r w:rsidRPr="00B504D7">
        <w:rPr>
          <w:lang w:val="lt-LT" w:bidi="lt-LT"/>
        </w:rPr>
        <w:t xml:space="preserve">švelnios bausmės, prašant </w:t>
      </w:r>
      <w:bookmarkStart w:id="31" w:name="Buk_128"/>
      <w:r w:rsidR="004F1F30" w:rsidRPr="004F1F30">
        <w:rPr>
          <w:color w:val="auto"/>
          <w:lang w:val="lt-LT" w:bidi="lt-LT"/>
        </w:rPr>
        <w:t>V.</w:t>
      </w:r>
      <w:r w:rsidR="00E15A0C">
        <w:rPr>
          <w:color w:val="auto"/>
          <w:lang w:val="lt-LT" w:bidi="lt-LT"/>
        </w:rPr>
        <w:t> </w:t>
      </w:r>
      <w:r w:rsidR="004F1F30" w:rsidRPr="004F1F30">
        <w:rPr>
          <w:color w:val="auto"/>
          <w:lang w:val="lt-LT" w:bidi="lt-LT"/>
        </w:rPr>
        <w:t xml:space="preserve">Š. </w:t>
      </w:r>
      <w:bookmarkEnd w:id="31"/>
      <w:r w:rsidRPr="00B504D7">
        <w:rPr>
          <w:lang w:val="lt-LT" w:bidi="lt-LT"/>
        </w:rPr>
        <w:t>paskirti laisvės atėmimo bausmę šešeriems metams ir 600 MGL (30</w:t>
      </w:r>
      <w:r w:rsidRPr="00B504D7">
        <w:rPr>
          <w:lang w:val="lt-LT"/>
        </w:rPr>
        <w:t> </w:t>
      </w:r>
      <w:r w:rsidRPr="00B504D7">
        <w:rPr>
          <w:lang w:val="lt-LT" w:bidi="lt-LT"/>
        </w:rPr>
        <w:t>000 Eur) dydžio baudą, t. y. procesas tęsėsi ne nuteistojo iniciatyva ir apeliacinis skundas buvo paduotas nuteistojo padėtį bloginančiais pagrindais.</w:t>
      </w:r>
    </w:p>
    <w:p w14:paraId="47FA8773" w14:textId="216ECED2" w:rsidR="00A30CAC" w:rsidRPr="00B504D7" w:rsidRDefault="00D634B0">
      <w:pPr>
        <w:pStyle w:val="Pagrindinistekstas"/>
        <w:numPr>
          <w:ilvl w:val="0"/>
          <w:numId w:val="4"/>
        </w:numPr>
        <w:spacing w:after="120"/>
        <w:rPr>
          <w:rFonts w:cs="Times New Roman"/>
          <w:lang w:val="lt-LT"/>
        </w:rPr>
      </w:pPr>
      <w:r w:rsidRPr="00B504D7">
        <w:rPr>
          <w:rFonts w:cs="Times New Roman"/>
          <w:lang w:val="lt-LT"/>
          <w14:textOutline w14:w="12700" w14:cap="flat" w14:cmpd="sng" w14:algn="ctr">
            <w14:noFill/>
            <w14:prstDash w14:val="solid"/>
            <w14:miter w14:lim="400000"/>
          </w14:textOutline>
        </w:rPr>
        <w:t xml:space="preserve">Kasaciniu skundu nuteistojo </w:t>
      </w:r>
      <w:bookmarkStart w:id="32" w:name="Buk_77"/>
      <w:r w:rsidR="004F1F30" w:rsidRPr="004F1F30">
        <w:rPr>
          <w:rFonts w:cs="Times New Roman"/>
          <w:color w:val="auto"/>
          <w:lang w:val="lt-LT"/>
          <w14:textOutline w14:w="12700" w14:cap="flat" w14:cmpd="sng" w14:algn="ctr">
            <w14:noFill/>
            <w14:prstDash w14:val="solid"/>
            <w14:miter w14:lim="400000"/>
          </w14:textOutline>
        </w:rPr>
        <w:t xml:space="preserve">V. Š. </w:t>
      </w:r>
      <w:bookmarkEnd w:id="32"/>
      <w:r w:rsidRPr="00B504D7">
        <w:rPr>
          <w:rFonts w:cs="Times New Roman"/>
          <w:lang w:val="lt-LT"/>
          <w14:textOutline w14:w="12700" w14:cap="flat" w14:cmpd="sng" w14:algn="ctr">
            <w14:noFill/>
            <w14:prstDash w14:val="solid"/>
            <w14:miter w14:lim="400000"/>
          </w14:textOutline>
        </w:rPr>
        <w:t xml:space="preserve">gynėjas advokatas R. </w:t>
      </w:r>
      <w:proofErr w:type="spellStart"/>
      <w:r w:rsidRPr="00B504D7">
        <w:rPr>
          <w:rFonts w:cs="Times New Roman"/>
          <w:lang w:val="lt-LT"/>
          <w14:textOutline w14:w="12700" w14:cap="flat" w14:cmpd="sng" w14:algn="ctr">
            <w14:noFill/>
            <w14:prstDash w14:val="solid"/>
            <w14:miter w14:lim="400000"/>
          </w14:textOutline>
        </w:rPr>
        <w:t>Boiko</w:t>
      </w:r>
      <w:proofErr w:type="spellEnd"/>
      <w:r w:rsidRPr="00B504D7">
        <w:rPr>
          <w:rFonts w:cs="Times New Roman"/>
          <w:lang w:val="lt-LT"/>
          <w14:textOutline w14:w="12700" w14:cap="flat" w14:cmpd="sng" w14:algn="ctr">
            <w14:noFill/>
            <w14:prstDash w14:val="solid"/>
            <w14:miter w14:lim="400000"/>
          </w14:textOutline>
        </w:rPr>
        <w:t xml:space="preserve"> prašo pakeisti </w:t>
      </w:r>
      <w:r w:rsidRPr="00B504D7">
        <w:rPr>
          <w:lang w:val="lt-LT" w:bidi="lt-LT"/>
        </w:rPr>
        <w:t xml:space="preserve">Lietuvos apeliacinio teismo Baudžiamųjų bylų skyriaus teisėjų kolegijos 2024 m. vasario 28 d. nuosprendį – panaikinti: 1) </w:t>
      </w:r>
      <w:r w:rsidRPr="00B504D7">
        <w:rPr>
          <w:rFonts w:cs="Times New Roman"/>
          <w:lang w:val="lt-LT"/>
        </w:rPr>
        <w:t xml:space="preserve">nuosprendžio dalį, kuria atsisakyta konstatuoti, kad 2023 m. kovo 9–10 d. atlikta krata </w:t>
      </w:r>
      <w:bookmarkStart w:id="33" w:name="Buk_78"/>
      <w:r w:rsidR="004F1F30" w:rsidRPr="004F1F30">
        <w:rPr>
          <w:rFonts w:cs="Times New Roman"/>
          <w:color w:val="auto"/>
          <w:lang w:val="lt-LT"/>
        </w:rPr>
        <w:t xml:space="preserve">V. Š. </w:t>
      </w:r>
      <w:bookmarkEnd w:id="33"/>
      <w:r w:rsidRPr="00B504D7">
        <w:rPr>
          <w:rFonts w:cs="Times New Roman"/>
          <w:lang w:val="lt-LT"/>
        </w:rPr>
        <w:t xml:space="preserve">gyvenamojoje vietoje buvo atlikta neteisėtai; 2) nuosprendžio dalį, kuria buvo panaikinta atsakomybę lengvinanti aplinkybė, nurodyta </w:t>
      </w:r>
      <w:hyperlink r:id="rId9" w:tgtFrame="_blank" w:tooltip="Lietuvos Respublikos baudžiamasis kodeksas" w:history="1">
        <w:r w:rsidRPr="00B504D7">
          <w:rPr>
            <w:rStyle w:val="Hipersaitas"/>
            <w:rFonts w:cs="Times New Roman"/>
            <w:u w:val="none"/>
            <w:lang w:val="lt-LT"/>
          </w:rPr>
          <w:t>BK</w:t>
        </w:r>
      </w:hyperlink>
      <w:r w:rsidRPr="00B504D7">
        <w:rPr>
          <w:rFonts w:cs="Times New Roman"/>
          <w:lang w:val="lt-LT"/>
        </w:rPr>
        <w:t xml:space="preserve"> </w:t>
      </w:r>
      <w:hyperlink r:id="rId10" w:tgtFrame="_blank" w:tooltip="Atsakomybę lengvinančios aplinkybės" w:history="1">
        <w:r w:rsidRPr="00B504D7">
          <w:rPr>
            <w:rStyle w:val="Hipersaitas"/>
            <w:rFonts w:cs="Times New Roman"/>
            <w:u w:val="none"/>
            <w:lang w:val="lt-LT"/>
          </w:rPr>
          <w:t>59</w:t>
        </w:r>
      </w:hyperlink>
      <w:r w:rsidRPr="00B504D7">
        <w:rPr>
          <w:rFonts w:cs="Times New Roman"/>
          <w:lang w:val="lt-LT"/>
        </w:rPr>
        <w:t xml:space="preserve"> straipsnio 1 dalies 2 punkte; 3)</w:t>
      </w:r>
      <w:r w:rsidR="00B33AE6">
        <w:rPr>
          <w:rFonts w:cs="Times New Roman"/>
          <w:lang w:val="lt-LT"/>
        </w:rPr>
        <w:t> </w:t>
      </w:r>
      <w:r w:rsidRPr="00B504D7">
        <w:rPr>
          <w:rFonts w:cs="Times New Roman"/>
          <w:lang w:val="lt-LT"/>
        </w:rPr>
        <w:t xml:space="preserve">nuosprendžio dalį, kuria atsisakyta pripažinti atsakomybę lengvinančią aplinkybę, nurodytą </w:t>
      </w:r>
      <w:hyperlink r:id="rId11" w:tgtFrame="_blank" w:tooltip="Lietuvos Respublikos baudžiamasis kodeksas" w:history="1">
        <w:r w:rsidRPr="00B504D7">
          <w:rPr>
            <w:rStyle w:val="Hipersaitas"/>
            <w:rFonts w:cs="Times New Roman"/>
            <w:u w:val="none"/>
            <w:lang w:val="lt-LT"/>
          </w:rPr>
          <w:t>BK</w:t>
        </w:r>
      </w:hyperlink>
      <w:r w:rsidRPr="00B504D7">
        <w:rPr>
          <w:rFonts w:cs="Times New Roman"/>
          <w:lang w:val="lt-LT"/>
        </w:rPr>
        <w:t xml:space="preserve"> 59 straipsnio 1 dalies 3 punkte; 4) nuosprendžio dalį, kuria atsisakyta pripažinti atsakomybę lengvinančią aplinkybę, nurodytą </w:t>
      </w:r>
      <w:hyperlink r:id="rId12" w:tgtFrame="_blank" w:tooltip="Lietuvos Respublikos baudžiamasis kodeksas" w:history="1">
        <w:r w:rsidRPr="00B504D7">
          <w:rPr>
            <w:rStyle w:val="Hipersaitas"/>
            <w:rFonts w:cs="Times New Roman"/>
            <w:u w:val="none"/>
            <w:lang w:val="lt-LT"/>
          </w:rPr>
          <w:t>BK</w:t>
        </w:r>
      </w:hyperlink>
      <w:r w:rsidRPr="00B504D7">
        <w:rPr>
          <w:rFonts w:cs="Times New Roman"/>
          <w:lang w:val="lt-LT"/>
        </w:rPr>
        <w:t xml:space="preserve"> </w:t>
      </w:r>
      <w:hyperlink r:id="rId13" w:tgtFrame="_blank" w:tooltip="Atsakomybę lengvinančios aplinkybės" w:history="1">
        <w:r w:rsidRPr="00B504D7">
          <w:rPr>
            <w:rStyle w:val="Hipersaitas"/>
            <w:rFonts w:cs="Times New Roman"/>
            <w:u w:val="none"/>
            <w:lang w:val="lt-LT"/>
          </w:rPr>
          <w:t>59</w:t>
        </w:r>
      </w:hyperlink>
      <w:r w:rsidRPr="00B504D7">
        <w:rPr>
          <w:rFonts w:cs="Times New Roman"/>
          <w:lang w:val="lt-LT"/>
        </w:rPr>
        <w:t xml:space="preserve"> straipsnio 2 dalyje (proceso netikrumą, nestabilumą ir </w:t>
      </w:r>
      <w:r w:rsidRPr="00B504D7">
        <w:rPr>
          <w:rFonts w:cs="Times New Roman"/>
          <w:lang w:val="lt-LT"/>
        </w:rPr>
        <w:lastRenderedPageBreak/>
        <w:t xml:space="preserve">neteisingą baudžiamojo proceso taikymą, nepagrįstai atleidžiant </w:t>
      </w:r>
      <w:bookmarkStart w:id="34" w:name="Buk_1"/>
      <w:r w:rsidR="004F1F30" w:rsidRPr="004F1F30">
        <w:rPr>
          <w:rFonts w:cs="Times New Roman"/>
          <w:color w:val="auto"/>
          <w:lang w:val="lt-LT"/>
        </w:rPr>
        <w:t xml:space="preserve">J. K. </w:t>
      </w:r>
      <w:bookmarkEnd w:id="34"/>
      <w:r w:rsidRPr="00B504D7">
        <w:rPr>
          <w:rFonts w:cs="Times New Roman"/>
          <w:lang w:val="lt-LT"/>
        </w:rPr>
        <w:t>nuo baudžiamosios atsakomybės, o juridinio asmens UAB „</w:t>
      </w:r>
      <w:proofErr w:type="spellStart"/>
      <w:r w:rsidRPr="00B504D7">
        <w:rPr>
          <w:rFonts w:cs="Times New Roman"/>
          <w:lang w:val="lt-LT"/>
        </w:rPr>
        <w:t>Autokausta</w:t>
      </w:r>
      <w:proofErr w:type="spellEnd"/>
      <w:r w:rsidRPr="00B504D7">
        <w:rPr>
          <w:rFonts w:cs="Times New Roman"/>
          <w:lang w:val="lt-LT"/>
        </w:rPr>
        <w:t>“ netraukiant baudžiamojon atsakomybėn); 5)</w:t>
      </w:r>
      <w:r w:rsidR="00B33AE6">
        <w:rPr>
          <w:rFonts w:cs="Times New Roman"/>
          <w:lang w:val="lt-LT"/>
        </w:rPr>
        <w:t> </w:t>
      </w:r>
      <w:r w:rsidRPr="00B504D7">
        <w:rPr>
          <w:rFonts w:cs="Times New Roman"/>
          <w:lang w:val="lt-LT"/>
        </w:rPr>
        <w:t xml:space="preserve">nuosprendžio dalį, kuria </w:t>
      </w:r>
      <w:bookmarkStart w:id="35" w:name="Buk_129"/>
      <w:r w:rsidR="004F1F30" w:rsidRPr="004F1F30">
        <w:rPr>
          <w:rFonts w:cs="Times New Roman"/>
          <w:color w:val="auto"/>
          <w:lang w:val="lt-LT"/>
        </w:rPr>
        <w:t xml:space="preserve">V. Š. </w:t>
      </w:r>
      <w:bookmarkEnd w:id="35"/>
      <w:r w:rsidRPr="00B504D7">
        <w:rPr>
          <w:rFonts w:cs="Times New Roman"/>
          <w:lang w:val="lt-LT"/>
        </w:rPr>
        <w:t xml:space="preserve">skiriant bausmę buvo atsižvelgta į savanaudiškus nusikalstamos veikos tikslus ir motyvus bei kyšio vertę (dydį); 6) nuosprendžio dalį, kuria panaikintas pirmosios instancijos teismo sprendimas taikyti BK 54 straipsnio 3 dalies nuostatas, ir palikti galioti pirmosios instancijos teismo sprendimą su pakeitimu – </w:t>
      </w:r>
      <w:r w:rsidRPr="00B504D7">
        <w:rPr>
          <w:rFonts w:cs="Times New Roman"/>
          <w:shd w:val="clear" w:color="auto" w:fill="FFFFFF"/>
          <w:lang w:val="lt-LT"/>
        </w:rPr>
        <w:t xml:space="preserve">taikyti BK 54 straipsnio 3 dalį ir sumažinti </w:t>
      </w:r>
      <w:bookmarkStart w:id="36" w:name="Buk_130"/>
      <w:r w:rsidR="004F1F30" w:rsidRPr="004F1F30">
        <w:rPr>
          <w:rFonts w:cs="Times New Roman"/>
          <w:color w:val="auto"/>
          <w:shd w:val="clear" w:color="auto" w:fill="FFFFFF"/>
          <w:lang w:val="lt-LT"/>
        </w:rPr>
        <w:t xml:space="preserve">V. Š. </w:t>
      </w:r>
      <w:bookmarkEnd w:id="36"/>
      <w:r w:rsidRPr="00B504D7">
        <w:rPr>
          <w:rFonts w:cs="Times New Roman"/>
          <w:shd w:val="clear" w:color="auto" w:fill="FFFFFF"/>
          <w:lang w:val="lt-LT"/>
        </w:rPr>
        <w:t>paskirtą laisvės atėmimo bausmę iki vienerių metų</w:t>
      </w:r>
      <w:r w:rsidRPr="00B504D7">
        <w:rPr>
          <w:rFonts w:cs="Times New Roman"/>
          <w:lang w:val="lt-LT"/>
        </w:rPr>
        <w:t xml:space="preserve">. </w:t>
      </w:r>
      <w:r w:rsidRPr="00B504D7">
        <w:rPr>
          <w:rFonts w:cs="Times New Roman"/>
          <w:lang w:val="lt-LT"/>
          <w14:textOutline w14:w="12700" w14:cap="flat" w14:cmpd="sng" w14:algn="ctr">
            <w14:noFill/>
            <w14:prstDash w14:val="solid"/>
            <w14:miter w14:lim="400000"/>
          </w14:textOutline>
        </w:rPr>
        <w:t>Kasatorius skunde nurodo</w:t>
      </w:r>
      <w:r w:rsidRPr="00B504D7">
        <w:rPr>
          <w:rFonts w:cs="Times New Roman"/>
          <w:lang w:val="lt-LT"/>
        </w:rPr>
        <w:t>:</w:t>
      </w:r>
      <w:r w:rsidR="00D420D5" w:rsidRPr="00B504D7">
        <w:rPr>
          <w:rFonts w:cs="Times New Roman"/>
          <w:lang w:val="lt-LT"/>
        </w:rPr>
        <w:t xml:space="preserve"> </w:t>
      </w:r>
    </w:p>
    <w:p w14:paraId="4FDC1314" w14:textId="4A6B0AF9" w:rsidR="00485775" w:rsidRPr="00B504D7" w:rsidRDefault="00485775" w:rsidP="00485775">
      <w:pPr>
        <w:pStyle w:val="Pagrindinistekstas"/>
        <w:numPr>
          <w:ilvl w:val="1"/>
          <w:numId w:val="4"/>
        </w:numPr>
        <w:spacing w:after="120"/>
        <w:ind w:left="845" w:hanging="488"/>
        <w:rPr>
          <w:rFonts w:cs="Times New Roman"/>
          <w:lang w:val="lt-LT"/>
        </w:rPr>
      </w:pPr>
      <w:r w:rsidRPr="00B504D7">
        <w:rPr>
          <w:rFonts w:cs="Times New Roman"/>
          <w:lang w:val="lt-LT"/>
        </w:rPr>
        <w:t>Apeliacinės instancijos teismas padarė esminius BPK 331 straipsnio ir 20 straipsnio 1–4 dalių pažeidimus, kurie sukliudė visapusiškai išnagrinėti bylą ir pažeidė nuteistojo teises</w:t>
      </w:r>
      <w:r w:rsidRPr="00B504D7">
        <w:rPr>
          <w:rFonts w:cs="Times New Roman"/>
          <w:lang w:val="lt-LT" w:bidi="lt-LT"/>
        </w:rPr>
        <w:t xml:space="preserve">. Šis teismas </w:t>
      </w:r>
      <w:r w:rsidRPr="00B504D7">
        <w:rPr>
          <w:rFonts w:cs="Times New Roman"/>
          <w:lang w:val="lt-LT"/>
        </w:rPr>
        <w:t xml:space="preserve">nepagrįstai </w:t>
      </w:r>
      <w:r w:rsidR="00B76258" w:rsidRPr="00B504D7">
        <w:rPr>
          <w:rFonts w:cs="Times New Roman"/>
          <w:color w:val="000000" w:themeColor="text1"/>
          <w:lang w:val="lt-LT"/>
        </w:rPr>
        <w:t>rėmėsi</w:t>
      </w:r>
      <w:r w:rsidR="00B76258" w:rsidRPr="00B504D7">
        <w:rPr>
          <w:rFonts w:cs="Times New Roman"/>
          <w:lang w:val="lt-LT"/>
        </w:rPr>
        <w:t xml:space="preserve"> </w:t>
      </w:r>
      <w:r w:rsidRPr="00B504D7">
        <w:rPr>
          <w:rFonts w:cs="Times New Roman"/>
          <w:lang w:val="lt-LT"/>
        </w:rPr>
        <w:t xml:space="preserve">2023 m. kovo 9–10 d. kratos, kurios metu </w:t>
      </w:r>
      <w:bookmarkStart w:id="37" w:name="Buk_79"/>
      <w:r w:rsidR="004F1F30" w:rsidRPr="004F1F30">
        <w:rPr>
          <w:rFonts w:cs="Times New Roman"/>
          <w:color w:val="auto"/>
          <w:lang w:val="lt-LT"/>
        </w:rPr>
        <w:t xml:space="preserve">V. Š. </w:t>
      </w:r>
      <w:bookmarkEnd w:id="37"/>
      <w:r w:rsidRPr="00B504D7">
        <w:rPr>
          <w:rFonts w:cs="Times New Roman"/>
          <w:lang w:val="lt-LT"/>
        </w:rPr>
        <w:t>gyvenamojoje vietoje buvo rasti ir paimti daiktai, įskaitant grynuosius pinigus, protokolu ir jo rezultatais, kurie dėl procedūrinių pažeidimų negali būti laikomi įrodymais BPK 20 straipsnio prasme.</w:t>
      </w:r>
    </w:p>
    <w:p w14:paraId="48D4B551" w14:textId="4BACCE3D" w:rsidR="00485775" w:rsidRPr="00B504D7" w:rsidRDefault="00485775" w:rsidP="00485775">
      <w:pPr>
        <w:pStyle w:val="Pagrindinistekstas"/>
        <w:numPr>
          <w:ilvl w:val="1"/>
          <w:numId w:val="4"/>
        </w:numPr>
        <w:spacing w:after="120"/>
        <w:ind w:left="845" w:hanging="488"/>
        <w:rPr>
          <w:rFonts w:cs="Times New Roman"/>
          <w:lang w:val="lt-LT"/>
        </w:rPr>
      </w:pPr>
      <w:r w:rsidRPr="00B504D7">
        <w:rPr>
          <w:rFonts w:cs="Times New Roman"/>
          <w:lang w:val="lt-LT"/>
        </w:rPr>
        <w:t xml:space="preserve">Krata </w:t>
      </w:r>
      <w:bookmarkStart w:id="38" w:name="Buk_80"/>
      <w:r w:rsidR="004F1F30" w:rsidRPr="004F1F30">
        <w:rPr>
          <w:rFonts w:cs="Times New Roman"/>
          <w:color w:val="auto"/>
          <w:lang w:val="lt-LT"/>
        </w:rPr>
        <w:t xml:space="preserve">V. Š. </w:t>
      </w:r>
      <w:bookmarkEnd w:id="38"/>
      <w:r w:rsidRPr="00B504D7">
        <w:rPr>
          <w:rFonts w:cs="Times New Roman"/>
          <w:lang w:val="lt-LT"/>
        </w:rPr>
        <w:t>gyvenamojoje vietoje buvo atliekama nuo 2022 m. kovo 9 d. 8.31 val. iki 2022</w:t>
      </w:r>
      <w:r w:rsidR="00746C8A">
        <w:rPr>
          <w:rFonts w:cs="Times New Roman"/>
          <w:lang w:val="lt-LT"/>
        </w:rPr>
        <w:t> </w:t>
      </w:r>
      <w:r w:rsidRPr="00B504D7">
        <w:rPr>
          <w:rFonts w:cs="Times New Roman"/>
          <w:lang w:val="lt-LT"/>
        </w:rPr>
        <w:t xml:space="preserve">m. kovo 10 d. 0.43 val., t. y. 15 valandų 12 minučių. Apeliacinės instancijos teismo nuomone, kratos atlikimo laikas gali trukti ilgiau nei vieną dieną, nes BPK nereglamentuoja kratos atlikimo trukmės. Su tokiu formaliu teisės akto taikymu negalima sutikti. Toks ilgas procesinės prievartos priemonės taikymo laikotarpis nekoreliuoja su šio instituto tikslais, uždaviniais ir aiškiai prieštarauja proporcingumo principui, taip pat pažeidžia tiek </w:t>
      </w:r>
      <w:bookmarkStart w:id="39" w:name="Buk_81"/>
      <w:r w:rsidR="004F1F30" w:rsidRPr="004F1F30">
        <w:rPr>
          <w:rFonts w:cs="Times New Roman"/>
          <w:color w:val="auto"/>
          <w:lang w:val="lt-LT"/>
        </w:rPr>
        <w:t>V. Š.</w:t>
      </w:r>
      <w:bookmarkEnd w:id="39"/>
      <w:r w:rsidRPr="00B504D7">
        <w:rPr>
          <w:rFonts w:cs="Times New Roman"/>
          <w:lang w:val="lt-LT"/>
        </w:rPr>
        <w:t xml:space="preserve">, tiek jos sutuoktinės, tiek mažamečių vaikų interesus. Kratos atlikimo metu </w:t>
      </w:r>
      <w:bookmarkStart w:id="40" w:name="Buk_42"/>
      <w:r w:rsidR="004F1F30" w:rsidRPr="004F1F30">
        <w:rPr>
          <w:rFonts w:cs="Times New Roman"/>
          <w:color w:val="auto"/>
          <w:lang w:val="lt-LT"/>
        </w:rPr>
        <w:t xml:space="preserve">V. Š. </w:t>
      </w:r>
      <w:bookmarkEnd w:id="40"/>
      <w:r w:rsidRPr="00B504D7">
        <w:rPr>
          <w:rFonts w:cs="Times New Roman"/>
          <w:lang w:val="lt-LT"/>
        </w:rPr>
        <w:t xml:space="preserve">buvo </w:t>
      </w:r>
      <w:r w:rsidRPr="00B504D7">
        <w:rPr>
          <w:rFonts w:cs="Times New Roman"/>
          <w:color w:val="auto"/>
          <w:lang w:val="lt-LT"/>
        </w:rPr>
        <w:t>sulaikytas BPK 140 straipsnyje nustatyta tvarka ir įgijęs įtariamojo statusą, todėl apeliacinės instancijos teismo argumentas dėl nuteistojo nenoro komentuoti pareigūnams apie jų ieškomų daiktų buvimo vietą yra visiškai neteisėtas, pažeidžiantis asmens teises, nurodytas BPK 21</w:t>
      </w:r>
      <w:r w:rsidR="00746C8A">
        <w:rPr>
          <w:rFonts w:cs="Times New Roman"/>
          <w:color w:val="auto"/>
          <w:lang w:val="lt-LT"/>
        </w:rPr>
        <w:t> </w:t>
      </w:r>
      <w:r w:rsidRPr="00B504D7">
        <w:rPr>
          <w:rFonts w:cs="Times New Roman"/>
          <w:color w:val="auto"/>
          <w:lang w:val="lt-LT"/>
        </w:rPr>
        <w:t xml:space="preserve">straipsnio 4 dalyje. </w:t>
      </w:r>
    </w:p>
    <w:p w14:paraId="3B870748" w14:textId="05462458" w:rsidR="00C66AB4" w:rsidRPr="00B504D7" w:rsidRDefault="00485775" w:rsidP="004A1CA8">
      <w:pPr>
        <w:pStyle w:val="Pagrindinistekstas"/>
        <w:numPr>
          <w:ilvl w:val="1"/>
          <w:numId w:val="4"/>
        </w:numPr>
        <w:spacing w:after="120"/>
        <w:ind w:left="845" w:hanging="488"/>
        <w:rPr>
          <w:rFonts w:cs="Times New Roman"/>
          <w:lang w:val="lt-LT"/>
        </w:rPr>
      </w:pPr>
      <w:r w:rsidRPr="00B504D7">
        <w:rPr>
          <w:rFonts w:cs="Times New Roman"/>
          <w:lang w:val="lt-LT"/>
        </w:rPr>
        <w:t xml:space="preserve">Akivaizdu, kad toks ilgas laikotarpis buvo susijęs ne su vieno, o su kelių proceso veiksmų atlikimu, tačiau su šiuo teiginiu apeliacinės instancijos teismas nesutiko, nurodydamas, kad buvo atlikta viena krata. Kratos protokole nurodyta, kad buvo atlikta ne viena, o penkios savarankiškos </w:t>
      </w:r>
      <w:bookmarkStart w:id="41" w:name="Buk_82"/>
      <w:r w:rsidR="004F1F30" w:rsidRPr="004F1F30">
        <w:rPr>
          <w:rFonts w:cs="Times New Roman"/>
          <w:color w:val="auto"/>
          <w:lang w:val="lt-LT"/>
        </w:rPr>
        <w:t xml:space="preserve">V. Š. </w:t>
      </w:r>
      <w:bookmarkEnd w:id="41"/>
      <w:r w:rsidRPr="00B504D7">
        <w:rPr>
          <w:rFonts w:cs="Times New Roman"/>
          <w:lang w:val="lt-LT"/>
        </w:rPr>
        <w:t xml:space="preserve">gyvenamosios vietos ir jos priklausinių kratos. Protokole nurodyta, kad krata sustabdoma protokolui surašyti. Neradę reikiamų daiktų, pareigūnai nusprendė atlikti pakartotines kratas: pakartotinai patikrino pirmo aukšto tualetą (skalbimo kambarį); pakartotinai apžiūrėjo pirmame aukšte esančią svetainę, joje stovinčią sofą, svetainėje esantį židinį, virš jo esančią ventiliacijos angą, patikrino virtuvę ir joje esančią buitinę techniką; pakartotinai apžiūrėjo garažą, patalpą, esančią garažo gale, pirmą aukštą, pirmo aukšto tualetą, koridorių, drabužinę, priepirtį, pirtį, svetainę, virtuvę, valgomąjį; laikotarpiu nuo 17.16 val. kratoje dalyvavo iš Vilniaus atvykę STT Centrinės tyrimų valdybos pareigūnai, o krata atliekama pakartojant pirmo ir antro aukštų patalpų apžiūrą, pakartotinai apžiūrėjus kieme esančią aplinką, sandėliukus, stoginę, terasą, patikrinus visus augalus ir želdinius. Taigi vietoj vienos kratos pareigūnai atliko penkias. Visos šios atskiros ir savarankiškos kratos buvo surašytos viename kratos protokole. Be to, pabaigę pirmą kratą, pareigūnai nesurašė nutarimo dėl neatidėliotinos kratos atlikimo, taip šiurkščiai pažeidė BPK nuostatas. Akivaizdu, kad pareigūnai viršijo savo kompetenciją, neturėdami sankcijos, atliko savarankiškas kratas ir paėmė kratos metu tam tikrus daiktus ir dokumentus. </w:t>
      </w:r>
    </w:p>
    <w:p w14:paraId="6A3CC0D1" w14:textId="231A1AE8" w:rsidR="00485775" w:rsidRPr="00B504D7" w:rsidRDefault="00485775" w:rsidP="004A1CA8">
      <w:pPr>
        <w:pStyle w:val="Pagrindinistekstas"/>
        <w:numPr>
          <w:ilvl w:val="1"/>
          <w:numId w:val="4"/>
        </w:numPr>
        <w:spacing w:after="120"/>
        <w:ind w:left="845" w:hanging="488"/>
        <w:rPr>
          <w:rFonts w:cs="Times New Roman"/>
          <w:lang w:val="lt-LT"/>
        </w:rPr>
      </w:pPr>
      <w:r w:rsidRPr="00B504D7">
        <w:rPr>
          <w:rFonts w:cs="Times New Roman"/>
          <w:lang w:val="lt-LT"/>
        </w:rPr>
        <w:t xml:space="preserve">Apeliacinės instancijos teismas, vertindamas atlikto proceso veiksmo pobūdį, t. y. ar tai tęstinė krata ar savarankiškos kratos, padarė prieštaringas išvadas. Šis teismas vienoje vietoje nurodė, kad tai tęstinis veiksmas, o kitoje – kad krata buvo atliekama pakartotinai. </w:t>
      </w:r>
    </w:p>
    <w:p w14:paraId="37BDF6EE" w14:textId="77777777" w:rsidR="00485775" w:rsidRPr="00B504D7" w:rsidRDefault="00485775" w:rsidP="00485775">
      <w:pPr>
        <w:pStyle w:val="Pagrindinistekstas"/>
        <w:numPr>
          <w:ilvl w:val="1"/>
          <w:numId w:val="4"/>
        </w:numPr>
        <w:spacing w:after="120"/>
        <w:ind w:left="845" w:hanging="488"/>
        <w:rPr>
          <w:rFonts w:cs="Times New Roman"/>
          <w:lang w:val="lt-LT"/>
        </w:rPr>
      </w:pPr>
      <w:r w:rsidRPr="00B504D7">
        <w:rPr>
          <w:rFonts w:cs="Times New Roman"/>
          <w:lang w:val="lt-LT"/>
        </w:rPr>
        <w:t xml:space="preserve">Kratą atliko subjektai, neturintys teisės joje dalyvauti. </w:t>
      </w:r>
      <w:r w:rsidRPr="00B504D7">
        <w:rPr>
          <w:rFonts w:eastAsia="Times New Roman" w:cs="Times New Roman"/>
          <w:lang w:val="lt-LT"/>
        </w:rPr>
        <w:t xml:space="preserve">Lietuvos Respublikos generalinio prokuroro 2004 m. vasario 25 d. įsakymu Nr. I-40 (Lietuvos Respublikos generalinio prokuroro 2015 m. birželio 2 d. įsakymo Nr. I-139 redakcija) patvirtintose Rekomendacijose dėl ikiteisminio tyrimo organizavimo ir vadovavimo jam (toliau – Rekomendacijos) </w:t>
      </w:r>
      <w:r w:rsidRPr="00B504D7">
        <w:rPr>
          <w:rFonts w:cs="Times New Roman"/>
          <w:lang w:val="lt-LT"/>
        </w:rPr>
        <w:t xml:space="preserve">reglamentuojamas tyrimo grupių sudarymas. Nagrinėjamai situacijai aktualūs </w:t>
      </w:r>
      <w:r w:rsidRPr="00B504D7">
        <w:rPr>
          <w:rFonts w:eastAsia="Times New Roman" w:cs="Times New Roman"/>
          <w:lang w:val="lt-LT"/>
        </w:rPr>
        <w:t xml:space="preserve">Rekomendacijų 25, 26, 28, 33 punktai. </w:t>
      </w:r>
    </w:p>
    <w:p w14:paraId="1D52EB24" w14:textId="15814F35" w:rsidR="00EE117C" w:rsidRPr="00B504D7" w:rsidRDefault="00485775" w:rsidP="00485775">
      <w:pPr>
        <w:pStyle w:val="Pagrindinistekstas"/>
        <w:numPr>
          <w:ilvl w:val="1"/>
          <w:numId w:val="4"/>
        </w:numPr>
        <w:spacing w:after="120"/>
        <w:ind w:left="845" w:hanging="488"/>
        <w:rPr>
          <w:rFonts w:cs="Times New Roman"/>
          <w:lang w:val="lt-LT"/>
        </w:rPr>
      </w:pPr>
      <w:r w:rsidRPr="00B504D7">
        <w:rPr>
          <w:rFonts w:eastAsia="Times New Roman" w:cs="Times New Roman"/>
          <w:lang w:val="lt-LT"/>
        </w:rPr>
        <w:lastRenderedPageBreak/>
        <w:t xml:space="preserve">Ikiteisminį tyrimą pradėjo teritorinė ikiteisminio tyrimo įstaiga – STT Kauno valdyba, tačiau jokiame 2022 m. kovo 9 d. dokumente, įskaitant prokuroro pavedimą STT Kauno valdybai atlikti ikiteisminį tyrimą, nėra duomenų apie tai, kad buvo sudaryta ikiteisminio tyrimo grupė, į kurios sudėtį būtų įtraukti centrinės ikiteisminio tyrimo įstaigos pareigūnai. Tik 2022 m. kovo 17 d. prokuroro A. </w:t>
      </w:r>
      <w:proofErr w:type="spellStart"/>
      <w:r w:rsidRPr="00B504D7">
        <w:rPr>
          <w:rFonts w:eastAsia="Times New Roman" w:cs="Times New Roman"/>
          <w:lang w:val="lt-LT"/>
        </w:rPr>
        <w:t>Urbelio</w:t>
      </w:r>
      <w:proofErr w:type="spellEnd"/>
      <w:r w:rsidRPr="00B504D7">
        <w:rPr>
          <w:rFonts w:eastAsia="Times New Roman" w:cs="Times New Roman"/>
          <w:lang w:val="lt-LT"/>
        </w:rPr>
        <w:t xml:space="preserve"> rašytine rezoliucija ikiteisminio tyrimo organizavimas buvo perimtas ir perduotas prokurorui I. Mikelioniui, persiunčiant šią informaciją susipažinti STT Centrinei tyrimų valdybai.</w:t>
      </w:r>
      <w:r w:rsidRPr="00B504D7">
        <w:rPr>
          <w:rFonts w:cs="Times New Roman"/>
          <w:lang w:val="lt-LT"/>
        </w:rPr>
        <w:t xml:space="preserve"> Kitą dieną </w:t>
      </w:r>
      <w:r w:rsidRPr="00B504D7">
        <w:rPr>
          <w:rFonts w:eastAsia="Times New Roman" w:cs="Times New Roman"/>
          <w:lang w:val="lt-LT"/>
        </w:rPr>
        <w:t xml:space="preserve">ikiteisminis tyrimas buvo perduotas iš teritorinės ikiteisminio tyrimo įstaigos (STT Kauno valdybos) centrinei – STT Centrinei tyrimų valdybai. </w:t>
      </w:r>
      <w:r w:rsidRPr="00B504D7">
        <w:rPr>
          <w:rFonts w:cs="Times New Roman"/>
          <w:lang w:val="lt-LT"/>
        </w:rPr>
        <w:t xml:space="preserve">Vis dėlto centrinė ikiteisminio tyrimo įstaiga ir jos pareigūnai, nesant prokuroro nutarimo dėl tyrimo grupės sudarymo, 2022 m. kovo 9 d. neteisėtai dalyvavo atliekant kratą </w:t>
      </w:r>
      <w:bookmarkStart w:id="42" w:name="Buk_83"/>
      <w:r w:rsidR="004F1F30" w:rsidRPr="004F1F30">
        <w:rPr>
          <w:rFonts w:cs="Times New Roman"/>
          <w:color w:val="auto"/>
          <w:lang w:val="lt-LT"/>
        </w:rPr>
        <w:t xml:space="preserve">V. Š. </w:t>
      </w:r>
      <w:bookmarkEnd w:id="42"/>
      <w:r w:rsidRPr="00B504D7">
        <w:rPr>
          <w:rFonts w:cs="Times New Roman"/>
          <w:lang w:val="lt-LT"/>
        </w:rPr>
        <w:t>gyvenamojoje vietoje.</w:t>
      </w:r>
    </w:p>
    <w:p w14:paraId="5C8960AB" w14:textId="19BCFC6F" w:rsidR="00485775" w:rsidRPr="00B504D7" w:rsidRDefault="00485775" w:rsidP="00485775">
      <w:pPr>
        <w:pStyle w:val="Pagrindinistekstas"/>
        <w:numPr>
          <w:ilvl w:val="1"/>
          <w:numId w:val="4"/>
        </w:numPr>
        <w:spacing w:after="120"/>
        <w:ind w:left="845" w:hanging="488"/>
        <w:rPr>
          <w:rFonts w:cs="Times New Roman"/>
          <w:lang w:val="lt-LT"/>
        </w:rPr>
      </w:pPr>
      <w:r w:rsidRPr="00B504D7">
        <w:rPr>
          <w:rFonts w:cs="Times New Roman"/>
          <w:lang w:val="lt-LT"/>
        </w:rPr>
        <w:t xml:space="preserve">Apeliacinės instancijos teismas nurodo, kad apeliacinio proceso metu prokuroras kreipėsi raštu į STT vadovybę, siekdamas nustatyti, kokiu teisiniu pagrindu kratoje dalyvavo centrinės ikiteisminio tyrimo įstaigos pareigūnai. Gautame STT atsakyme nurodyta, kad pavedimą dalyvauti proceso veiksme – per kratos atlikimą – pareigūnai, neįtraukti į tyrimo grupę, gavo žodžiu, nes tai nustatyta Rekomendacijų </w:t>
      </w:r>
      <w:r w:rsidRPr="00B504D7">
        <w:rPr>
          <w:rFonts w:eastAsia="Times New Roman" w:cs="Times New Roman"/>
          <w:lang w:val="lt-LT"/>
        </w:rPr>
        <w:t xml:space="preserve">17.2 papunktyje. Vis dėlto apeliacinės instancijos teismas šiuo raštu buvo suklaidintas, nes jame nurodytas teisės akto aiškinimas buvo taikytas selektyviai ir netiksliai, nutylint esmines aplinkybes. </w:t>
      </w:r>
      <w:r w:rsidRPr="00B504D7">
        <w:rPr>
          <w:rFonts w:cs="Times New Roman"/>
          <w:lang w:val="lt-LT"/>
        </w:rPr>
        <w:t xml:space="preserve">Atkreiptinas dėmesys, kad rašte minimas žodinis pavedimas yra labiau organizacinis pavedimas, kurio poreikis turėtų būti matomas kituose dokumentuose. Byloje tokių dokumentų nėra. Be to, Rekomendacijų 17.2 papunktyje nurodomas žodinis pavedimas galimas tik esant didelės apimties ikiteisminiam tyrimui. Centrinės institucijos pareigūnai į kratą pas </w:t>
      </w:r>
      <w:bookmarkStart w:id="43" w:name="Buk_27"/>
      <w:r w:rsidR="004F1F30" w:rsidRPr="004F1F30">
        <w:rPr>
          <w:rFonts w:cs="Times New Roman"/>
          <w:color w:val="auto"/>
          <w:lang w:val="lt-LT"/>
        </w:rPr>
        <w:t xml:space="preserve">V. Š. </w:t>
      </w:r>
      <w:bookmarkEnd w:id="43"/>
      <w:r w:rsidRPr="00B504D7">
        <w:rPr>
          <w:rFonts w:cs="Times New Roman"/>
          <w:lang w:val="lt-LT"/>
        </w:rPr>
        <w:t>atvyko po darbo valandų, o kitose kratose centrinės ikiteisminio tyrimo institucijos pareigūnai nedalyvavo.</w:t>
      </w:r>
    </w:p>
    <w:p w14:paraId="1D4E552B" w14:textId="5DAD4688" w:rsidR="00485775" w:rsidRPr="00B504D7" w:rsidRDefault="00485775" w:rsidP="00485775">
      <w:pPr>
        <w:pStyle w:val="Pagrindinistekstas"/>
        <w:numPr>
          <w:ilvl w:val="1"/>
          <w:numId w:val="4"/>
        </w:numPr>
        <w:spacing w:after="120"/>
        <w:ind w:left="845" w:hanging="488"/>
        <w:rPr>
          <w:rFonts w:cs="Times New Roman"/>
          <w:lang w:val="lt-LT"/>
        </w:rPr>
      </w:pPr>
      <w:r w:rsidRPr="00B504D7">
        <w:rPr>
          <w:rFonts w:cs="Times New Roman"/>
          <w:color w:val="auto"/>
          <w:lang w:val="lt-LT"/>
        </w:rPr>
        <w:t xml:space="preserve">Iš ikiteisminio tyrimo teisėjos nutarties dėl neatidėliotinos kratos teisėtumo patvirtinimo matyti, kad ikiteisminio tyrimo teisėja patvirtino tik vieną kratą </w:t>
      </w:r>
      <w:bookmarkStart w:id="44" w:name="Buk_84"/>
      <w:r w:rsidR="004F1F30" w:rsidRPr="004F1F30">
        <w:rPr>
          <w:rFonts w:cs="Times New Roman"/>
          <w:color w:val="auto"/>
          <w:lang w:val="lt-LT"/>
        </w:rPr>
        <w:t xml:space="preserve">V. Š. </w:t>
      </w:r>
      <w:bookmarkEnd w:id="44"/>
      <w:r w:rsidRPr="00B504D7">
        <w:rPr>
          <w:rFonts w:cs="Times New Roman"/>
          <w:color w:val="auto"/>
          <w:lang w:val="lt-LT"/>
        </w:rPr>
        <w:t>gyvenamojoje vietoje, o ne jų visumą. Be to, ji patvirtino tik kratą, kuri buvo atlikta 2022 m. kovo 9 d., nes</w:t>
      </w:r>
      <w:r w:rsidRPr="00B504D7">
        <w:rPr>
          <w:rFonts w:cs="Times New Roman"/>
          <w:color w:val="auto"/>
          <w:u w:val="single"/>
          <w:lang w:val="lt-LT"/>
        </w:rPr>
        <w:t xml:space="preserve"> </w:t>
      </w:r>
      <w:r w:rsidRPr="00B504D7">
        <w:rPr>
          <w:rFonts w:cs="Times New Roman"/>
          <w:color w:val="auto"/>
          <w:lang w:val="lt-LT"/>
        </w:rPr>
        <w:t xml:space="preserve">nutarties rezoliucinėje dalyje, kuria konstatuojamas kratos teisėtumas, ji nenurodo apie kratos veiksmus, kurie buvo atliekami dar ir kitą dieną. Be to, ikiteisminio tyrimo teisėja savo nutartimi netiesiogiai konstatavo, kad </w:t>
      </w:r>
      <w:bookmarkStart w:id="45" w:name="Buk_85"/>
      <w:r w:rsidR="004F1F30" w:rsidRPr="004F1F30">
        <w:rPr>
          <w:rFonts w:cs="Times New Roman"/>
          <w:color w:val="auto"/>
          <w:lang w:val="lt-LT"/>
        </w:rPr>
        <w:t xml:space="preserve">V. Š. </w:t>
      </w:r>
      <w:bookmarkEnd w:id="45"/>
      <w:r w:rsidRPr="00B504D7">
        <w:rPr>
          <w:rFonts w:cs="Times New Roman"/>
          <w:color w:val="auto"/>
          <w:lang w:val="lt-LT"/>
        </w:rPr>
        <w:t xml:space="preserve">gyvenamojoje vietoje buvo atliktos kelios kratos, nes nutartyje ji nurodė ne V. </w:t>
      </w:r>
      <w:proofErr w:type="spellStart"/>
      <w:r w:rsidRPr="00B504D7">
        <w:rPr>
          <w:rFonts w:cs="Times New Roman"/>
          <w:color w:val="auto"/>
          <w:lang w:val="lt-LT"/>
        </w:rPr>
        <w:t>Rasalaitės</w:t>
      </w:r>
      <w:proofErr w:type="spellEnd"/>
      <w:r w:rsidRPr="00B504D7">
        <w:rPr>
          <w:rFonts w:cs="Times New Roman"/>
          <w:color w:val="auto"/>
          <w:lang w:val="lt-LT"/>
        </w:rPr>
        <w:t xml:space="preserve"> nutarimą atlikti kratą, kurio pagrindu pareigūnai pateko į </w:t>
      </w:r>
      <w:bookmarkStart w:id="46" w:name="Buk_86"/>
      <w:r w:rsidR="004F1F30" w:rsidRPr="004F1F30">
        <w:rPr>
          <w:rFonts w:cs="Times New Roman"/>
          <w:color w:val="auto"/>
          <w:lang w:val="lt-LT"/>
        </w:rPr>
        <w:t xml:space="preserve">V. Š. </w:t>
      </w:r>
      <w:bookmarkEnd w:id="46"/>
      <w:r w:rsidRPr="00B504D7">
        <w:rPr>
          <w:rFonts w:cs="Times New Roman"/>
          <w:color w:val="auto"/>
          <w:lang w:val="lt-LT"/>
        </w:rPr>
        <w:t xml:space="preserve">gyvenamąją vietą, o M. Kavaliausko nutarimą dėl nesankcionuotos kratos patvirtinimo. Jokio M. Kavaliausko nutarimo byloje nėra. </w:t>
      </w:r>
    </w:p>
    <w:p w14:paraId="61260C50" w14:textId="7A9258AB" w:rsidR="00485775" w:rsidRPr="00B504D7" w:rsidRDefault="00485775" w:rsidP="00485775">
      <w:pPr>
        <w:pStyle w:val="Pagrindinistekstas"/>
        <w:numPr>
          <w:ilvl w:val="1"/>
          <w:numId w:val="4"/>
        </w:numPr>
        <w:spacing w:after="120"/>
        <w:ind w:left="845" w:hanging="488"/>
        <w:rPr>
          <w:rFonts w:cs="Times New Roman"/>
          <w:lang w:val="lt-LT"/>
        </w:rPr>
      </w:pPr>
      <w:r w:rsidRPr="00B504D7">
        <w:rPr>
          <w:rFonts w:cs="Times New Roman"/>
          <w:color w:val="auto"/>
          <w:lang w:val="lt-LT"/>
        </w:rPr>
        <w:t xml:space="preserve">Apeliacinės instancijos teismas, kriminalinės žvalgybos pagrindu gautus rezultatus vertindamas kaip atitinkančius BPK 20 straipsnio reikalavimus, padarė BPK pažeidimą. </w:t>
      </w:r>
      <w:r w:rsidRPr="00B504D7">
        <w:rPr>
          <w:rFonts w:cs="Times New Roman"/>
          <w:lang w:val="lt-LT"/>
        </w:rPr>
        <w:t xml:space="preserve">Nagrinėjamoje byloje pareigūnų taikyti kriminalinės žvalgybos veiksmai neatitiko dalies kasacinės instancijos teismo praktikoje (kasacinės nutartys baudžiamosiose bylose Nr. </w:t>
      </w:r>
      <w:hyperlink r:id="rId14" w:tgtFrame="_blank" w:tooltip="2K-7-86/2011 M. K. pagal BK 182 str. 2 d., 183 str. 2 d., 222 str. 1 d., 300 str. 1 d." w:history="1">
        <w:r w:rsidRPr="00B504D7">
          <w:rPr>
            <w:rStyle w:val="Hipersaitas"/>
            <w:rFonts w:cs="Times New Roman"/>
            <w:u w:val="none"/>
            <w:lang w:val="lt-LT"/>
          </w:rPr>
          <w:t>2K-7-86/2011</w:t>
        </w:r>
      </w:hyperlink>
      <w:r w:rsidRPr="00B504D7">
        <w:rPr>
          <w:rFonts w:cs="Times New Roman"/>
          <w:lang w:val="lt-LT"/>
        </w:rPr>
        <w:t xml:space="preserve">, 2K-530/2012, </w:t>
      </w:r>
      <w:hyperlink r:id="rId15" w:tgtFrame="_blank" w:tooltip="2K-P-94-895/2015 J. A. pagal BK 300 str. 1 d." w:history="1">
        <w:r w:rsidRPr="00B504D7">
          <w:rPr>
            <w:rStyle w:val="Hipersaitas"/>
            <w:rFonts w:cs="Times New Roman"/>
            <w:u w:val="none"/>
            <w:lang w:val="lt-LT"/>
          </w:rPr>
          <w:t>2K-P-94-895/2015</w:t>
        </w:r>
      </w:hyperlink>
      <w:r w:rsidRPr="00B504D7">
        <w:rPr>
          <w:rStyle w:val="Hipersaitas"/>
          <w:rFonts w:cs="Times New Roman"/>
          <w:u w:val="none"/>
          <w:lang w:val="lt-LT"/>
        </w:rPr>
        <w:t xml:space="preserve">, </w:t>
      </w:r>
      <w:hyperlink r:id="rId16" w:tgtFrame="_blank" w:tooltip="2K-249-788/2015 A. K. pagal BK 260 str. 2 d., 300 str. 2 d." w:history="1">
        <w:r w:rsidRPr="00B504D7">
          <w:rPr>
            <w:rStyle w:val="Hipersaitas"/>
            <w:rFonts w:cs="Times New Roman"/>
            <w:u w:val="none"/>
            <w:lang w:val="lt-LT"/>
          </w:rPr>
          <w:t>2K-249-788/2015</w:t>
        </w:r>
      </w:hyperlink>
      <w:r w:rsidRPr="00B504D7">
        <w:rPr>
          <w:rFonts w:cs="Times New Roman"/>
          <w:lang w:val="lt-LT"/>
        </w:rPr>
        <w:t xml:space="preserve">, </w:t>
      </w:r>
      <w:hyperlink r:id="rId17" w:tgtFrame="_blank" w:tooltip="2K-7-85-696/2016 V. K. pagal BK 228 straipsnio 2 dalį" w:history="1">
        <w:r w:rsidRPr="00B504D7">
          <w:rPr>
            <w:rStyle w:val="Hipersaitas"/>
            <w:rFonts w:cs="Times New Roman"/>
            <w:u w:val="none"/>
            <w:lang w:val="lt-LT"/>
          </w:rPr>
          <w:t>2K-7-85-696/2016</w:t>
        </w:r>
      </w:hyperlink>
      <w:r w:rsidRPr="00B504D7">
        <w:rPr>
          <w:rFonts w:cs="Times New Roman"/>
          <w:lang w:val="lt-LT"/>
        </w:rPr>
        <w:t xml:space="preserve">, </w:t>
      </w:r>
      <w:hyperlink r:id="rId18" w:tgtFrame="_blank" w:tooltip="2K-8-788/2017 R. Z. pagal BK 183 str. 1 d." w:history="1">
        <w:r w:rsidRPr="00B504D7">
          <w:rPr>
            <w:rStyle w:val="Hipersaitas"/>
            <w:rFonts w:cs="Times New Roman"/>
            <w:u w:val="none"/>
            <w:lang w:val="lt-LT"/>
          </w:rPr>
          <w:t>2K-8-788/2017</w:t>
        </w:r>
      </w:hyperlink>
      <w:r w:rsidRPr="00B504D7">
        <w:rPr>
          <w:rFonts w:cs="Times New Roman"/>
          <w:lang w:val="lt-LT"/>
        </w:rPr>
        <w:t xml:space="preserve">) suformuluotų reikalavimų. Šias išvadas galima pagrįsti išanalizavus </w:t>
      </w:r>
      <w:bookmarkStart w:id="47" w:name="Buk_131"/>
      <w:r w:rsidR="004F1F30" w:rsidRPr="004F1F30">
        <w:rPr>
          <w:rFonts w:cs="Times New Roman"/>
          <w:color w:val="auto"/>
          <w:lang w:val="lt-LT"/>
        </w:rPr>
        <w:t xml:space="preserve">V. Š. </w:t>
      </w:r>
      <w:bookmarkEnd w:id="47"/>
      <w:r w:rsidRPr="00B504D7">
        <w:rPr>
          <w:rFonts w:cs="Times New Roman"/>
          <w:lang w:val="lt-LT"/>
        </w:rPr>
        <w:t xml:space="preserve">ir </w:t>
      </w:r>
      <w:bookmarkStart w:id="48" w:name="Buk_17"/>
      <w:r w:rsidR="004F1F30" w:rsidRPr="004F1F30">
        <w:rPr>
          <w:rFonts w:cs="Times New Roman"/>
          <w:color w:val="auto"/>
          <w:lang w:val="lt-LT"/>
        </w:rPr>
        <w:t xml:space="preserve">J. K. </w:t>
      </w:r>
      <w:bookmarkEnd w:id="48"/>
      <w:r w:rsidRPr="00B504D7">
        <w:rPr>
          <w:rFonts w:cs="Times New Roman"/>
          <w:lang w:val="lt-LT"/>
        </w:rPr>
        <w:t xml:space="preserve">taikytų slaptų veiksmų turinį ir apimtį, šių veiksmų proporcingumą. Jiems pareigūnai taikė visą spektrą KŽĮ nurodytų veiksmų. Šių slaptų veiksmų pagrindu pareigūnai surašė kriminalinės žvalgybos veiksmų atlikimo protokolus, kuriais abiejų instancijų teismai grindė </w:t>
      </w:r>
      <w:bookmarkStart w:id="49" w:name="Buk_87"/>
      <w:r w:rsidR="004F1F30" w:rsidRPr="004F1F30">
        <w:rPr>
          <w:rFonts w:cs="Times New Roman"/>
          <w:color w:val="auto"/>
          <w:lang w:val="lt-LT"/>
        </w:rPr>
        <w:t xml:space="preserve">V. Š. </w:t>
      </w:r>
      <w:bookmarkEnd w:id="49"/>
      <w:r w:rsidRPr="00B504D7">
        <w:rPr>
          <w:rFonts w:cs="Times New Roman"/>
          <w:lang w:val="lt-LT"/>
        </w:rPr>
        <w:t xml:space="preserve">kaltę. </w:t>
      </w:r>
    </w:p>
    <w:p w14:paraId="0BB35406" w14:textId="38C49169" w:rsidR="00485775" w:rsidRPr="00B504D7" w:rsidRDefault="00485775" w:rsidP="00485775">
      <w:pPr>
        <w:pStyle w:val="Pagrindinistekstas"/>
        <w:numPr>
          <w:ilvl w:val="1"/>
          <w:numId w:val="4"/>
        </w:numPr>
        <w:spacing w:after="120"/>
        <w:ind w:left="845" w:hanging="488"/>
        <w:rPr>
          <w:rFonts w:cs="Times New Roman"/>
          <w:lang w:val="lt-LT"/>
        </w:rPr>
      </w:pPr>
      <w:r w:rsidRPr="00B504D7">
        <w:rPr>
          <w:rFonts w:cs="Times New Roman"/>
          <w:lang w:val="lt-LT"/>
        </w:rPr>
        <w:t xml:space="preserve">Iš KŽĮ 2 straipsnio 17 dalies ir 15 straipsnio 3 dalies matyti, kad, norint taikyti kriminalinės žvalgybos informacijos rinkimo būdą – sekimą, turi būti nurodytas konkretus objektas, kuris bus sekamas. Kaip matyti iš bylos medžiagos, kriminalinės žvalgybos tyrimo metu buvo taikomas tik asmens – </w:t>
      </w:r>
      <w:bookmarkStart w:id="50" w:name="Buk_88"/>
      <w:r w:rsidR="004F1F30" w:rsidRPr="004F1F30">
        <w:rPr>
          <w:rFonts w:cs="Times New Roman"/>
          <w:color w:val="auto"/>
          <w:lang w:val="lt-LT"/>
        </w:rPr>
        <w:t xml:space="preserve">V. Š. </w:t>
      </w:r>
      <w:bookmarkEnd w:id="50"/>
      <w:r w:rsidRPr="00B504D7">
        <w:rPr>
          <w:rFonts w:cs="Times New Roman"/>
          <w:lang w:val="lt-LT"/>
        </w:rPr>
        <w:t xml:space="preserve">sekimas, o objektų ar transporto priemonių sekimas nebuvo sankcionuotas ir taikytas. Susipažinus su kriminalinės žvalgybos veiksmų atlikimo protokolais ir jų priedais, kuriuose buvo fiksuojamas </w:t>
      </w:r>
      <w:bookmarkStart w:id="51" w:name="Buk_12"/>
      <w:r w:rsidR="004F1F30" w:rsidRPr="004F1F30">
        <w:rPr>
          <w:rFonts w:cs="Times New Roman"/>
          <w:color w:val="auto"/>
          <w:lang w:val="lt-LT"/>
        </w:rPr>
        <w:t xml:space="preserve">J. K. </w:t>
      </w:r>
      <w:bookmarkEnd w:id="51"/>
      <w:r w:rsidRPr="00B504D7">
        <w:rPr>
          <w:rFonts w:cs="Times New Roman"/>
          <w:lang w:val="lt-LT"/>
        </w:rPr>
        <w:t xml:space="preserve">atvykimas pas </w:t>
      </w:r>
      <w:bookmarkStart w:id="52" w:name="Buk_28"/>
      <w:r w:rsidR="004F1F30" w:rsidRPr="004F1F30">
        <w:rPr>
          <w:rFonts w:cs="Times New Roman"/>
          <w:color w:val="auto"/>
          <w:lang w:val="lt-LT"/>
        </w:rPr>
        <w:t>V. Š.</w:t>
      </w:r>
      <w:bookmarkEnd w:id="52"/>
      <w:r w:rsidRPr="00B504D7">
        <w:rPr>
          <w:rFonts w:cs="Times New Roman"/>
          <w:lang w:val="lt-LT"/>
        </w:rPr>
        <w:t xml:space="preserve">, nustatyta, kad sekimas buvo taikomas ne </w:t>
      </w:r>
      <w:bookmarkStart w:id="53" w:name="Buk_132"/>
      <w:r w:rsidR="004F1F30" w:rsidRPr="004F1F30">
        <w:rPr>
          <w:rFonts w:cs="Times New Roman"/>
          <w:color w:val="auto"/>
          <w:lang w:val="lt-LT"/>
        </w:rPr>
        <w:t xml:space="preserve">V. Š. </w:t>
      </w:r>
      <w:bookmarkEnd w:id="53"/>
      <w:r w:rsidRPr="00B504D7">
        <w:rPr>
          <w:rFonts w:cs="Times New Roman"/>
          <w:lang w:val="lt-LT"/>
        </w:rPr>
        <w:t xml:space="preserve">ar </w:t>
      </w:r>
      <w:bookmarkStart w:id="54" w:name="Buk_18"/>
      <w:r w:rsidR="004F1F30" w:rsidRPr="004F1F30">
        <w:rPr>
          <w:rFonts w:cs="Times New Roman"/>
          <w:color w:val="auto"/>
          <w:lang w:val="lt-LT"/>
        </w:rPr>
        <w:t>J. K.</w:t>
      </w:r>
      <w:bookmarkEnd w:id="54"/>
      <w:r w:rsidRPr="00B504D7">
        <w:rPr>
          <w:rFonts w:cs="Times New Roman"/>
          <w:lang w:val="lt-LT"/>
        </w:rPr>
        <w:t xml:space="preserve">, o </w:t>
      </w:r>
      <w:bookmarkStart w:id="55" w:name="Buk_89"/>
      <w:r w:rsidR="004F1F30" w:rsidRPr="004F1F30">
        <w:rPr>
          <w:rFonts w:cs="Times New Roman"/>
          <w:color w:val="auto"/>
          <w:lang w:val="lt-LT"/>
        </w:rPr>
        <w:t xml:space="preserve">V. Š. </w:t>
      </w:r>
      <w:bookmarkEnd w:id="55"/>
      <w:r w:rsidRPr="00B504D7">
        <w:rPr>
          <w:rFonts w:cs="Times New Roman"/>
          <w:lang w:val="lt-LT"/>
        </w:rPr>
        <w:t xml:space="preserve">gyvenamajam namui ir šalia esančiai teritorijai. Byloje nėra jokių duomenų, kad buvo taikomas ir atliekamas asmenų sekimas, </w:t>
      </w:r>
      <w:r w:rsidRPr="00B504D7">
        <w:rPr>
          <w:rFonts w:cs="Times New Roman"/>
          <w:lang w:val="lt-LT"/>
        </w:rPr>
        <w:lastRenderedPageBreak/>
        <w:t xml:space="preserve">nes tokiems veiksmams būtinas tiesioginis tokių asmenų judėjimo kontrolės fiksavimas – nuo vieno taško iki kito taško, judėjimo pokyčiai ir pan. Apeliacinės instancijos teismas, atsikirsdamas į šiuos teiginius ir jų pagrindimą, tik nurodė, kad nesutinka su gynybos argumentacija, tačiau jokių motyvų nepateikė, nurodė deklaratyvius, bendro pobūdžio teiginius. Šis teismas neatsakė į gynybos apeliacinio skundo argumentus, susijusius su objekto, o ne asmenų sekimu. Taigi sekimo metu surinktais duomenimis negalima grįsti </w:t>
      </w:r>
      <w:bookmarkStart w:id="56" w:name="Buk_90"/>
      <w:r w:rsidR="004F1F30" w:rsidRPr="004F1F30">
        <w:rPr>
          <w:rFonts w:cs="Times New Roman"/>
          <w:color w:val="auto"/>
          <w:lang w:val="lt-LT"/>
        </w:rPr>
        <w:t>V.</w:t>
      </w:r>
      <w:r w:rsidR="00D43A17">
        <w:rPr>
          <w:rFonts w:cs="Times New Roman"/>
          <w:color w:val="auto"/>
          <w:lang w:val="lt-LT"/>
        </w:rPr>
        <w:t> </w:t>
      </w:r>
      <w:r w:rsidR="004F1F30" w:rsidRPr="004F1F30">
        <w:rPr>
          <w:rFonts w:cs="Times New Roman"/>
          <w:color w:val="auto"/>
          <w:lang w:val="lt-LT"/>
        </w:rPr>
        <w:t xml:space="preserve">Š. </w:t>
      </w:r>
      <w:bookmarkEnd w:id="56"/>
      <w:r w:rsidRPr="00B504D7">
        <w:rPr>
          <w:rFonts w:cs="Times New Roman"/>
          <w:lang w:val="lt-LT"/>
        </w:rPr>
        <w:t xml:space="preserve">kaltės, nes šie duomenys buvo gauti neturint sankcijos, o šios procedūrinės klaidos neidentifikavęs apeliacinės instancijos teismas padarė esminį BPK pažeidimą. </w:t>
      </w:r>
    </w:p>
    <w:p w14:paraId="79AB206D" w14:textId="1867B170" w:rsidR="00485775" w:rsidRPr="00B504D7" w:rsidRDefault="00485775" w:rsidP="00485775">
      <w:pPr>
        <w:pStyle w:val="Pagrindinistekstas"/>
        <w:numPr>
          <w:ilvl w:val="1"/>
          <w:numId w:val="4"/>
        </w:numPr>
        <w:spacing w:after="120"/>
        <w:ind w:left="845" w:hanging="488"/>
        <w:rPr>
          <w:rFonts w:cs="Times New Roman"/>
          <w:lang w:val="lt-LT"/>
        </w:rPr>
      </w:pPr>
      <w:r w:rsidRPr="00B504D7">
        <w:rPr>
          <w:rFonts w:cs="Times New Roman"/>
          <w:lang w:val="lt-LT"/>
        </w:rPr>
        <w:t xml:space="preserve">Iš 2022 m. kovo 9 d. kriminalinės žvalgybos veiksmų atlikimo protokolo ir jo priedų nustatyta, kad 2022 m. kovo 8 d. apie 22.18 val. STT Kauno valdybos pareigūnai pašto dėžutėje, kuri buvo pritvirtinta prie sklypą juosiančios tvoros, rado ir iš jos išėmė aštuonis baltos spalvos sandariai įpakuotus plastikinius paketus užlydytais galais. Paimtuose paketuose buvo rasti grynieji pinigai, jie buvo sudėti atgal į paketus ir grąžinti į pašto dėžutę, kuri buvo pritvirtinta prie sklypą juosiančios tvoros. Byloje pateikti duomenys leidžia pagrįstai manyti, kad STT pareigūnai, atlikdami kriminalinės žvalgybos tyrimą, galėjo dar prieš tai, kai 2022 m. kovo 8 d. slapta pateko prie pašto dėžutės, atlikti panašų slaptą veiksmą: patikrinti tos pačios dėžutės turinį arba slapta patekti pas </w:t>
      </w:r>
      <w:bookmarkStart w:id="57" w:name="Buk_2"/>
      <w:r w:rsidR="004F1F30" w:rsidRPr="004F1F30">
        <w:rPr>
          <w:rFonts w:cs="Times New Roman"/>
          <w:color w:val="auto"/>
          <w:lang w:val="lt-LT"/>
        </w:rPr>
        <w:t xml:space="preserve">J. K. </w:t>
      </w:r>
      <w:bookmarkEnd w:id="57"/>
      <w:r w:rsidRPr="00B504D7">
        <w:rPr>
          <w:rFonts w:cs="Times New Roman"/>
          <w:lang w:val="lt-LT"/>
        </w:rPr>
        <w:t xml:space="preserve">ir patikrinti jo planuojamų perduoti pinigų </w:t>
      </w:r>
      <w:r w:rsidR="00F4122D" w:rsidRPr="00B504D7">
        <w:rPr>
          <w:rFonts w:cs="Times New Roman"/>
          <w:lang w:val="lt-LT"/>
        </w:rPr>
        <w:t>kiekį</w:t>
      </w:r>
      <w:r w:rsidRPr="00B504D7">
        <w:rPr>
          <w:rFonts w:cs="Times New Roman"/>
          <w:lang w:val="lt-LT"/>
        </w:rPr>
        <w:t xml:space="preserve">, tačiau sąmoningai nesurašyti kriminalinės žvalgybos veiksmų atlikimo protokolų ir jų nepateikti prie nagrinėjamos bylos arba surašyti ir fiksuoti tokius faktus, tačiau sąmoningai nepateikti ir neišviešinti tokios informacijos, kuri įpareigojo juos nedelsiant pradėti ikiteisminį tyrimą, o ne laukti, kol </w:t>
      </w:r>
      <w:bookmarkStart w:id="58" w:name="Buk_133"/>
      <w:r w:rsidR="004F1F30" w:rsidRPr="004F1F30">
        <w:rPr>
          <w:rFonts w:cs="Times New Roman"/>
          <w:color w:val="auto"/>
          <w:lang w:val="lt-LT"/>
        </w:rPr>
        <w:t xml:space="preserve">V. Š. </w:t>
      </w:r>
      <w:bookmarkEnd w:id="58"/>
      <w:r w:rsidRPr="00B504D7">
        <w:rPr>
          <w:rFonts w:cs="Times New Roman"/>
          <w:lang w:val="lt-LT"/>
        </w:rPr>
        <w:t>bus pateiktos kitos kyšio dalies sumos, įskaitant ir paskutinę.</w:t>
      </w:r>
    </w:p>
    <w:p w14:paraId="3507E2EB" w14:textId="0746E8BE" w:rsidR="00485775" w:rsidRPr="00B504D7" w:rsidRDefault="00485775" w:rsidP="00485775">
      <w:pPr>
        <w:pStyle w:val="Pagrindinistekstas"/>
        <w:numPr>
          <w:ilvl w:val="1"/>
          <w:numId w:val="4"/>
        </w:numPr>
        <w:spacing w:after="120"/>
        <w:ind w:left="845" w:hanging="488"/>
        <w:rPr>
          <w:rFonts w:cs="Times New Roman"/>
          <w:lang w:val="lt-LT"/>
        </w:rPr>
      </w:pPr>
      <w:r w:rsidRPr="00B504D7">
        <w:rPr>
          <w:rFonts w:cs="Times New Roman"/>
          <w:lang w:val="lt-LT"/>
        </w:rPr>
        <w:t xml:space="preserve">Slapti veiksmai </w:t>
      </w:r>
      <w:bookmarkStart w:id="59" w:name="Buk_19"/>
      <w:r w:rsidR="004F1F30" w:rsidRPr="004F1F30">
        <w:rPr>
          <w:rFonts w:cs="Times New Roman"/>
          <w:color w:val="auto"/>
          <w:lang w:val="lt-LT"/>
        </w:rPr>
        <w:t xml:space="preserve">J. K. </w:t>
      </w:r>
      <w:bookmarkEnd w:id="59"/>
      <w:r w:rsidRPr="00B504D7">
        <w:rPr>
          <w:rFonts w:cs="Times New Roman"/>
          <w:lang w:val="lt-LT"/>
        </w:rPr>
        <w:t xml:space="preserve">buvo taikomi Panevėžio apygardos teismo 2021 m. liepos 16 d. nutartimi dėl techninių priemonių panaudojimo specialia tvarka bei sekimo nuo 2021 m. liepos 22 d. iki 2021 m. spalio 21 d. Tačiau atskiro dėmesio verti šios nutarties priėmimą lėmę dokumentai. STT 2021 m. liepos 15 d. prašyme, kuris buvo pateiktas prokuratūrai dėl slaptų veiksmų sankcionavimo, nurodoma, kad žinoma, jog 2021 m. birželio 22 d., 2021 m. birželio 26 d., 2021 m. liepos 1 d. </w:t>
      </w:r>
      <w:bookmarkStart w:id="60" w:name="Buk_4"/>
      <w:r w:rsidR="004F1F30" w:rsidRPr="004F1F30">
        <w:rPr>
          <w:rFonts w:cs="Times New Roman"/>
          <w:color w:val="auto"/>
          <w:lang w:val="lt-LT"/>
        </w:rPr>
        <w:t xml:space="preserve">J. K. </w:t>
      </w:r>
      <w:bookmarkEnd w:id="60"/>
      <w:r w:rsidRPr="00B504D7">
        <w:rPr>
          <w:rFonts w:cs="Times New Roman"/>
          <w:lang w:val="lt-LT"/>
        </w:rPr>
        <w:t xml:space="preserve">lankėsi pas </w:t>
      </w:r>
      <w:bookmarkStart w:id="61" w:name="Buk_29"/>
      <w:r w:rsidR="004F1F30" w:rsidRPr="004F1F30">
        <w:rPr>
          <w:rFonts w:cs="Times New Roman"/>
          <w:color w:val="auto"/>
          <w:lang w:val="lt-LT"/>
        </w:rPr>
        <w:t xml:space="preserve">V. Š. </w:t>
      </w:r>
      <w:bookmarkEnd w:id="61"/>
      <w:r w:rsidRPr="00B504D7">
        <w:rPr>
          <w:rFonts w:cs="Times New Roman"/>
          <w:lang w:val="lt-LT"/>
        </w:rPr>
        <w:t>naktį, laikydamasis konspiracijos. Šis prašymas išslaptintas tik iš dalies ir jame nurodoma, pagal kuriuos kriminalinės žvalgybos straipsnius prašoma sankcionuoti slaptus veiksmus, t. y. nurodomi 10 ir 15</w:t>
      </w:r>
      <w:r w:rsidR="00690666">
        <w:rPr>
          <w:rFonts w:cs="Times New Roman"/>
          <w:lang w:val="lt-LT"/>
        </w:rPr>
        <w:t> </w:t>
      </w:r>
      <w:r w:rsidRPr="00B504D7">
        <w:rPr>
          <w:rFonts w:cs="Times New Roman"/>
          <w:lang w:val="lt-LT"/>
        </w:rPr>
        <w:t xml:space="preserve">straipsniai. Taigi pareigūnai nurodo, kad dėl </w:t>
      </w:r>
      <w:bookmarkStart w:id="62" w:name="Buk_13"/>
      <w:r w:rsidR="004F1F30" w:rsidRPr="004F1F30">
        <w:rPr>
          <w:rFonts w:cs="Times New Roman"/>
          <w:color w:val="auto"/>
          <w:lang w:val="lt-LT"/>
        </w:rPr>
        <w:t xml:space="preserve">J. K. </w:t>
      </w:r>
      <w:bookmarkEnd w:id="62"/>
      <w:r w:rsidRPr="00B504D7">
        <w:rPr>
          <w:rFonts w:cs="Times New Roman"/>
          <w:lang w:val="lt-LT"/>
        </w:rPr>
        <w:t>buvo sankcionuotas ir neišviešintas veiksmas, kuris, gynybos nuomone, atitinka KŽĮ 11 straipsnį, reglamentuojantį slaptą patekimą į tam tikras patalpas, objektus, turinio patikrinimą ir pan.</w:t>
      </w:r>
    </w:p>
    <w:p w14:paraId="0A992BD0" w14:textId="2B33AE39" w:rsidR="00485775" w:rsidRPr="00B504D7" w:rsidRDefault="00485775" w:rsidP="00485775">
      <w:pPr>
        <w:pStyle w:val="Pagrindinistekstas"/>
        <w:numPr>
          <w:ilvl w:val="1"/>
          <w:numId w:val="4"/>
        </w:numPr>
        <w:spacing w:after="120"/>
        <w:ind w:left="845" w:hanging="488"/>
        <w:rPr>
          <w:rFonts w:cs="Times New Roman"/>
          <w:lang w:val="lt-LT"/>
        </w:rPr>
      </w:pPr>
      <w:r w:rsidRPr="00B504D7">
        <w:rPr>
          <w:rFonts w:cs="Times New Roman"/>
          <w:lang w:val="lt-LT"/>
        </w:rPr>
        <w:t xml:space="preserve">Aplinkybę apie </w:t>
      </w:r>
      <w:bookmarkStart w:id="63" w:name="Buk_20"/>
      <w:r w:rsidR="004F1F30" w:rsidRPr="004F1F30">
        <w:rPr>
          <w:rFonts w:cs="Times New Roman"/>
          <w:color w:val="auto"/>
          <w:lang w:val="lt-LT"/>
        </w:rPr>
        <w:t xml:space="preserve">J. K. </w:t>
      </w:r>
      <w:bookmarkEnd w:id="63"/>
      <w:r w:rsidRPr="00B504D7">
        <w:rPr>
          <w:rFonts w:cs="Times New Roman"/>
          <w:lang w:val="lt-LT"/>
        </w:rPr>
        <w:t xml:space="preserve">taikytą Kriminalinės žvalgybos įstatyme nurodytą 11 straipsnį patvirtina ir STT 2021 m. gruodžio 10 d. prašymas, kuris buvo pateiktas prokuratūrai dėl slaptų veiksmų sankcionavimo </w:t>
      </w:r>
      <w:bookmarkStart w:id="64" w:name="Buk_21"/>
      <w:r w:rsidR="004F1F30" w:rsidRPr="004F1F30">
        <w:rPr>
          <w:rFonts w:cs="Times New Roman"/>
          <w:color w:val="auto"/>
          <w:lang w:val="lt-LT"/>
        </w:rPr>
        <w:t>J. K.</w:t>
      </w:r>
      <w:bookmarkEnd w:id="64"/>
      <w:r w:rsidRPr="00B504D7">
        <w:rPr>
          <w:rFonts w:cs="Times New Roman"/>
          <w:lang w:val="lt-LT"/>
        </w:rPr>
        <w:t xml:space="preserve">, ir jo turinys. Pareigūnai, aprašydami, kokie slapti veiksmai prieš tai buvo sankcionuoti teismo </w:t>
      </w:r>
      <w:bookmarkStart w:id="65" w:name="Buk_22"/>
      <w:r w:rsidR="004F1F30" w:rsidRPr="004F1F30">
        <w:rPr>
          <w:rFonts w:cs="Times New Roman"/>
          <w:color w:val="auto"/>
          <w:lang w:val="lt-LT"/>
        </w:rPr>
        <w:t>J. K.</w:t>
      </w:r>
      <w:bookmarkEnd w:id="65"/>
      <w:r w:rsidRPr="00B504D7">
        <w:rPr>
          <w:rFonts w:cs="Times New Roman"/>
          <w:lang w:val="lt-LT"/>
        </w:rPr>
        <w:t xml:space="preserve">, išsiduoda, nes nurodo, jog anksčiau buvo taikyti KŽĮ 10, 11 ir 15 straipsniuose nurodyti veiksmai. </w:t>
      </w:r>
    </w:p>
    <w:p w14:paraId="31328741" w14:textId="77777777" w:rsidR="00485775" w:rsidRPr="00B504D7" w:rsidRDefault="00485775" w:rsidP="00485775">
      <w:pPr>
        <w:pStyle w:val="Pagrindinistekstas"/>
        <w:numPr>
          <w:ilvl w:val="1"/>
          <w:numId w:val="4"/>
        </w:numPr>
        <w:spacing w:after="120"/>
        <w:ind w:left="845" w:hanging="488"/>
        <w:rPr>
          <w:rFonts w:cs="Times New Roman"/>
          <w:lang w:val="lt-LT"/>
        </w:rPr>
      </w:pPr>
      <w:r w:rsidRPr="00B504D7">
        <w:rPr>
          <w:rFonts w:cs="Times New Roman"/>
          <w:lang w:val="lt-LT"/>
        </w:rPr>
        <w:t xml:space="preserve">Taigi slaptas veiksmas ar net veiksmai buvo atlikti, vėliau išviešinti, tačiau nei jų rezultatas, nei jų faktinis ir teisinis pagrindimas byloje nebuvo pateikti. Visi šie procedūriniai pažeidimai parodo dar didesnį šioje byloje taikytų kriminalinės žvalgybos veiksmų </w:t>
      </w:r>
      <w:proofErr w:type="spellStart"/>
      <w:r w:rsidRPr="00B504D7">
        <w:rPr>
          <w:rFonts w:cs="Times New Roman"/>
          <w:lang w:val="lt-LT"/>
        </w:rPr>
        <w:t>neproporcingumą</w:t>
      </w:r>
      <w:proofErr w:type="spellEnd"/>
      <w:r w:rsidRPr="00B504D7">
        <w:rPr>
          <w:rFonts w:cs="Times New Roman"/>
          <w:lang w:val="lt-LT"/>
        </w:rPr>
        <w:t xml:space="preserve"> ir leidžia daryti išvadą ne vien tik dėl proporcingumo principo pažeidimo, bet ir dėl visų kriminalinės žvalgybos metu gautų duomenų neteisėtumo. Be to, šis pažeidimas susijęs ir su kriminalinę žvalgybą taikiusių pareigūnų pasyviu provokavimu, KŽĮ 8 straipsnio 3 dalies pažeidimu ir procesiniu delsimu pradėti ikiteisminį tyrimą.</w:t>
      </w:r>
    </w:p>
    <w:p w14:paraId="7A7BA765" w14:textId="25DE9EEF" w:rsidR="00485775" w:rsidRPr="00B504D7" w:rsidRDefault="00485775" w:rsidP="00485775">
      <w:pPr>
        <w:pStyle w:val="Pagrindinistekstas"/>
        <w:numPr>
          <w:ilvl w:val="1"/>
          <w:numId w:val="4"/>
        </w:numPr>
        <w:spacing w:after="120"/>
        <w:ind w:left="845" w:hanging="488"/>
        <w:rPr>
          <w:rFonts w:cs="Times New Roman"/>
          <w:lang w:val="lt-LT"/>
        </w:rPr>
      </w:pPr>
      <w:r w:rsidRPr="00B504D7">
        <w:rPr>
          <w:rFonts w:cs="Times New Roman"/>
          <w:lang w:val="lt-LT"/>
        </w:rPr>
        <w:t xml:space="preserve">Apeliacinės instancijos teismas, reaguodamas į gynybos nurodytus faktus ir suprasdamas jų svarbą procese, savo iniciatyva išreikalavo iš STT dokumentus. STT patvirtino, kad taikė </w:t>
      </w:r>
      <w:bookmarkStart w:id="66" w:name="Buk_23"/>
      <w:r w:rsidR="004F1F30" w:rsidRPr="004F1F30">
        <w:rPr>
          <w:rFonts w:cs="Times New Roman"/>
          <w:color w:val="auto"/>
          <w:lang w:val="lt-LT"/>
        </w:rPr>
        <w:t>J.</w:t>
      </w:r>
      <w:r w:rsidR="00616A7C">
        <w:rPr>
          <w:rFonts w:cs="Times New Roman"/>
          <w:color w:val="auto"/>
          <w:lang w:val="lt-LT"/>
        </w:rPr>
        <w:t> </w:t>
      </w:r>
      <w:r w:rsidR="004F1F30" w:rsidRPr="004F1F30">
        <w:rPr>
          <w:rFonts w:cs="Times New Roman"/>
          <w:color w:val="auto"/>
          <w:lang w:val="lt-LT"/>
        </w:rPr>
        <w:t xml:space="preserve">K. </w:t>
      </w:r>
      <w:bookmarkEnd w:id="66"/>
      <w:r w:rsidRPr="00B504D7">
        <w:rPr>
          <w:rFonts w:cs="Times New Roman"/>
          <w:lang w:val="lt-LT"/>
        </w:rPr>
        <w:t xml:space="preserve">KŽĮ 11 straipsnyje nurodytus veiksmus, tai yra juos sankcionavo, pratęsė jų sankcionavimą, tačiau jie nebuvo atlikti ir jokie duomenys jų pagrindu nebuvo rinkti ir fiksuoti. Manytina, kad STT pareigūnai nenurodo visos informacijos ir net sąmoningai </w:t>
      </w:r>
      <w:r w:rsidRPr="00B504D7">
        <w:rPr>
          <w:rFonts w:cs="Times New Roman"/>
          <w:lang w:val="lt-LT"/>
        </w:rPr>
        <w:lastRenderedPageBreak/>
        <w:t xml:space="preserve">meluoja, jog jie neatliko šių veiksmų, kuriuos sankcionavo ir net vėliau pratęsė apygardos teismas. </w:t>
      </w:r>
    </w:p>
    <w:p w14:paraId="74D1C546" w14:textId="1C8173D6" w:rsidR="00485775" w:rsidRPr="00B504D7" w:rsidRDefault="00A43EDA" w:rsidP="00485775">
      <w:pPr>
        <w:pStyle w:val="Pagrindinistekstas"/>
        <w:numPr>
          <w:ilvl w:val="1"/>
          <w:numId w:val="4"/>
        </w:numPr>
        <w:spacing w:after="120"/>
        <w:ind w:left="845" w:hanging="488"/>
        <w:rPr>
          <w:rFonts w:cs="Times New Roman"/>
          <w:lang w:val="lt-LT"/>
        </w:rPr>
      </w:pPr>
      <w:r w:rsidRPr="00B504D7">
        <w:rPr>
          <w:rFonts w:cs="Times New Roman"/>
          <w:lang w:val="lt-LT"/>
        </w:rPr>
        <w:t xml:space="preserve"> </w:t>
      </w:r>
      <w:bookmarkStart w:id="67" w:name="Buk_43"/>
      <w:r w:rsidR="004F1F30" w:rsidRPr="004F1F30">
        <w:rPr>
          <w:rFonts w:cs="Times New Roman"/>
          <w:color w:val="auto"/>
          <w:lang w:val="lt-LT"/>
        </w:rPr>
        <w:t xml:space="preserve">V. Š. </w:t>
      </w:r>
      <w:bookmarkEnd w:id="67"/>
      <w:r w:rsidR="00485775" w:rsidRPr="00B504D7">
        <w:rPr>
          <w:rFonts w:cs="Times New Roman"/>
          <w:lang w:val="lt-LT"/>
        </w:rPr>
        <w:t xml:space="preserve">pateikė apeliacinės instancijos teismui papildomus įrodymus, patvirtinančius, kad buvo pažeistas proporcingumo principas, t. y. nuotraukas. Jose buvo užfiksuota slapta garso ir vaizdo įrašymo įranga, kuri buvo sumontuota jo gyvenamajame name (terasoje), šią įrangą aptiko pats nuteistasis ir ji dingo tik atlikus kratą jo gyvenamojoje vietoje. Apeliacinės instancijos teismas kreipėsi į STT, prašydamas pateikti duomenis, susijusius su šios įrangos įrengimu ir gautais duomenimis. STT pateikė atsakymą, kad ji taikė </w:t>
      </w:r>
      <w:bookmarkStart w:id="68" w:name="Buk_134"/>
      <w:r w:rsidR="004F1F30" w:rsidRPr="004F1F30">
        <w:rPr>
          <w:rFonts w:cs="Times New Roman"/>
          <w:color w:val="auto"/>
          <w:lang w:val="lt-LT"/>
        </w:rPr>
        <w:t xml:space="preserve">V. Š. </w:t>
      </w:r>
      <w:bookmarkEnd w:id="68"/>
      <w:r w:rsidR="00485775" w:rsidRPr="00B504D7">
        <w:rPr>
          <w:rFonts w:cs="Times New Roman"/>
          <w:lang w:val="lt-LT"/>
        </w:rPr>
        <w:t xml:space="preserve">KŽĮ 11 straipsnyje nurodytą veiksmą, fiksavo informaciją, tačiau jos pateikti negali, nes joje neužfiksuota tyrimui reikšmingos informacijos, be to, ši informacija yra įslaptinta. Ikiteisminio tyrimo įstaiga pati nusprendė, kad ši informacija nereikšminga tyrimui, nors joje gali būti teisinančios ar atsakomybę švelninančios informacijos. Nors </w:t>
      </w:r>
      <w:bookmarkStart w:id="69" w:name="Buk_44"/>
      <w:r w:rsidR="004F1F30" w:rsidRPr="004F1F30">
        <w:rPr>
          <w:rFonts w:cs="Times New Roman"/>
          <w:color w:val="auto"/>
          <w:lang w:val="lt-LT"/>
        </w:rPr>
        <w:t xml:space="preserve">V. Š. </w:t>
      </w:r>
      <w:bookmarkEnd w:id="69"/>
      <w:r w:rsidR="00485775" w:rsidRPr="00B504D7">
        <w:rPr>
          <w:rFonts w:cs="Times New Roman"/>
          <w:lang w:val="lt-LT"/>
        </w:rPr>
        <w:t xml:space="preserve">minėjo, kad šioje vietoje, kur buvo įrengta įranga, nevyko jokie pokalbiai su </w:t>
      </w:r>
      <w:bookmarkStart w:id="70" w:name="Buk_24"/>
      <w:r w:rsidR="004F1F30" w:rsidRPr="004F1F30">
        <w:rPr>
          <w:rFonts w:cs="Times New Roman"/>
          <w:color w:val="auto"/>
          <w:lang w:val="lt-LT"/>
        </w:rPr>
        <w:t>J. K.</w:t>
      </w:r>
      <w:bookmarkEnd w:id="70"/>
      <w:r w:rsidR="00485775" w:rsidRPr="00B504D7">
        <w:rPr>
          <w:rFonts w:cs="Times New Roman"/>
          <w:lang w:val="lt-LT"/>
        </w:rPr>
        <w:t xml:space="preserve">, tačiau joje, gynybos įsitikinimu, gali būti vaizdinė informacija, patvirtinanti, kad STT pareigūnai buvo patekę ir į </w:t>
      </w:r>
      <w:bookmarkStart w:id="71" w:name="Buk_91"/>
      <w:r w:rsidR="004F1F30" w:rsidRPr="004F1F30">
        <w:rPr>
          <w:rFonts w:cs="Times New Roman"/>
          <w:color w:val="auto"/>
          <w:lang w:val="lt-LT"/>
        </w:rPr>
        <w:t xml:space="preserve">V. Š. </w:t>
      </w:r>
      <w:bookmarkEnd w:id="71"/>
      <w:r w:rsidR="00485775" w:rsidRPr="00B504D7">
        <w:rPr>
          <w:rFonts w:cs="Times New Roman"/>
          <w:lang w:val="lt-LT"/>
        </w:rPr>
        <w:t>gyvenamąjį namą, galimai susipažino su dalimis (iki paskutinio) perduoto kyšio sumomis, o tai patvirtina pasyvios provokacijos apraiškas.</w:t>
      </w:r>
    </w:p>
    <w:p w14:paraId="2E8A0ABD" w14:textId="77777777" w:rsidR="00485775" w:rsidRPr="00B504D7" w:rsidRDefault="00485775" w:rsidP="00485775">
      <w:pPr>
        <w:pStyle w:val="Pagrindinistekstas"/>
        <w:numPr>
          <w:ilvl w:val="1"/>
          <w:numId w:val="4"/>
        </w:numPr>
        <w:spacing w:after="120"/>
        <w:ind w:left="845" w:hanging="488"/>
        <w:rPr>
          <w:rFonts w:cs="Times New Roman"/>
          <w:lang w:val="lt-LT"/>
        </w:rPr>
      </w:pPr>
      <w:r w:rsidRPr="00B504D7">
        <w:rPr>
          <w:rFonts w:cs="Times New Roman"/>
          <w:lang w:val="lt-LT"/>
        </w:rPr>
        <w:t xml:space="preserve">Slaptai įrangai įrengti ir išmontuoti reikalinga teismo sankcija. Ši įranga buvo įrengta, tačiau, pradėjus ikiteisminį tyrimą, jokie kriminalinės žvalgybos veiksmai negalimi, todėl pareigūnai, norėdami ją išmontuoti, turėjo persankcionuoti šiuos veiksmus BPK 158 straipsnio tvarka, tačiau to jie nepadarė ir, esant pradėtam ikiteisminiam tyrimui, toliau taikė KŽĮ nustatytus veiksmus, t. y. slapta ją išmontavo kratos atlikimo metu. Šie pažeidimai taip ir liko neištaisyti apeliacinės instancijos teismo, dėl jų skundžiamame nuosprendyje nepasisakyta. </w:t>
      </w:r>
    </w:p>
    <w:p w14:paraId="2B985BB4" w14:textId="43E1307D" w:rsidR="009308E5" w:rsidRPr="00B504D7" w:rsidRDefault="00485775" w:rsidP="00485775">
      <w:pPr>
        <w:pStyle w:val="Pagrindinistekstas"/>
        <w:numPr>
          <w:ilvl w:val="1"/>
          <w:numId w:val="4"/>
        </w:numPr>
        <w:spacing w:after="120"/>
        <w:ind w:left="845" w:hanging="488"/>
        <w:rPr>
          <w:rFonts w:cs="Times New Roman"/>
          <w:lang w:val="lt-LT"/>
        </w:rPr>
      </w:pPr>
      <w:r w:rsidRPr="00B504D7">
        <w:rPr>
          <w:rFonts w:cs="Times New Roman"/>
          <w:lang w:val="lt-LT"/>
        </w:rPr>
        <w:t>A</w:t>
      </w:r>
      <w:r w:rsidRPr="00B504D7">
        <w:rPr>
          <w:rFonts w:eastAsia="Arial" w:cs="Times New Roman"/>
          <w:color w:val="auto"/>
          <w:lang w:val="lt-LT"/>
        </w:rPr>
        <w:t xml:space="preserve">peliacinės instancijos teismas, pašalindamas BK 59 straipsnio 1 dalies 2 punkte nurodytą atsakomybę lengvinančią aplinkybę, netinkamai pritaikė įstatymą. </w:t>
      </w:r>
      <w:r w:rsidRPr="00B504D7">
        <w:rPr>
          <w:rFonts w:cs="Times New Roman"/>
          <w:lang w:val="lt-LT"/>
        </w:rPr>
        <w:t>Nagrinėjamoje byloje yra nustatyta BK 59 straipsnio 1 dalies 2 punkte nurodyta atsakomybę lengvinanti aplinkybė, t. y. kaltininkas prisipažino padaręs baudžiamojo įstatymo nurodytą veiką ir nuoširdžiai gailisi.</w:t>
      </w:r>
      <w:r w:rsidRPr="00B504D7">
        <w:rPr>
          <w:rFonts w:cs="Times New Roman"/>
          <w:i/>
          <w:iCs/>
          <w:lang w:val="lt-LT"/>
        </w:rPr>
        <w:t xml:space="preserve"> </w:t>
      </w:r>
      <w:bookmarkStart w:id="72" w:name="Buk_45"/>
      <w:r w:rsidR="004F1F30" w:rsidRPr="004F1F30">
        <w:rPr>
          <w:rFonts w:cs="Times New Roman"/>
          <w:color w:val="auto"/>
          <w:lang w:val="lt-LT"/>
        </w:rPr>
        <w:t xml:space="preserve">V. Š. </w:t>
      </w:r>
      <w:bookmarkEnd w:id="72"/>
      <w:r w:rsidRPr="00B504D7">
        <w:rPr>
          <w:rFonts w:cs="Times New Roman"/>
          <w:lang w:val="lt-LT"/>
        </w:rPr>
        <w:t xml:space="preserve">nuo pat pradžių visiškai prisipažino dėl jam pareikšto kaltinimo, ne vien tik nurodydamas esmines aplinkybes, susijusias su jam pareikštu kaltinimu, bet ir atskleisdamas kitus faktus, dėl kurių kitame atskirtame procese atliekamas ikiteisminis tyrimas. </w:t>
      </w:r>
      <w:bookmarkStart w:id="73" w:name="Buk_135"/>
      <w:r w:rsidR="004F1F30" w:rsidRPr="004F1F30">
        <w:rPr>
          <w:rFonts w:cs="Times New Roman"/>
          <w:color w:val="auto"/>
          <w:lang w:val="lt-LT"/>
        </w:rPr>
        <w:t xml:space="preserve">V. Š. </w:t>
      </w:r>
      <w:bookmarkEnd w:id="73"/>
      <w:r w:rsidRPr="00B504D7">
        <w:rPr>
          <w:rFonts w:cs="Times New Roman"/>
          <w:lang w:val="lt-LT"/>
        </w:rPr>
        <w:t xml:space="preserve">ir </w:t>
      </w:r>
      <w:bookmarkStart w:id="74" w:name="Buk_25"/>
      <w:r w:rsidR="004F1F30" w:rsidRPr="004F1F30">
        <w:rPr>
          <w:rFonts w:cs="Times New Roman"/>
          <w:color w:val="auto"/>
          <w:lang w:val="lt-LT"/>
        </w:rPr>
        <w:t>J.</w:t>
      </w:r>
      <w:r w:rsidR="005D543F">
        <w:rPr>
          <w:rFonts w:cs="Times New Roman"/>
          <w:color w:val="auto"/>
          <w:lang w:val="lt-LT"/>
        </w:rPr>
        <w:t> </w:t>
      </w:r>
      <w:r w:rsidR="004F1F30" w:rsidRPr="004F1F30">
        <w:rPr>
          <w:rFonts w:cs="Times New Roman"/>
          <w:color w:val="auto"/>
          <w:lang w:val="lt-LT"/>
        </w:rPr>
        <w:t xml:space="preserve">K. </w:t>
      </w:r>
      <w:bookmarkEnd w:id="74"/>
      <w:r w:rsidRPr="00B504D7">
        <w:rPr>
          <w:rFonts w:cs="Times New Roman"/>
          <w:lang w:val="lt-LT"/>
        </w:rPr>
        <w:t xml:space="preserve">pareigūnai ilgą laiko tarpą taikė kriminalinės žvalgybos veiksmus, dėl kurių vėliau surašė kriminalinės žvalgybos veiksmų atlikimo protokolus. Manytina ir spėtina, kad tokiuose protokoluose turėtų būti ypač reikšminga </w:t>
      </w:r>
      <w:bookmarkStart w:id="75" w:name="Buk_30"/>
      <w:r w:rsidR="004F1F30" w:rsidRPr="004F1F30">
        <w:rPr>
          <w:rFonts w:cs="Times New Roman"/>
          <w:color w:val="auto"/>
          <w:lang w:val="lt-LT"/>
        </w:rPr>
        <w:t xml:space="preserve">V. Š. </w:t>
      </w:r>
      <w:bookmarkEnd w:id="75"/>
      <w:r w:rsidRPr="00B504D7">
        <w:rPr>
          <w:rFonts w:cs="Times New Roman"/>
          <w:lang w:val="lt-LT"/>
        </w:rPr>
        <w:t xml:space="preserve">kaltinanti informacija. Tačiau, susipažinus su bylos medžiaga, tos kaltinančios informacijos buvo pasigesta. Faktiškai </w:t>
      </w:r>
      <w:bookmarkStart w:id="76" w:name="Buk_92"/>
      <w:r w:rsidR="004F1F30" w:rsidRPr="004F1F30">
        <w:rPr>
          <w:rFonts w:cs="Times New Roman"/>
          <w:color w:val="auto"/>
          <w:lang w:val="lt-LT"/>
        </w:rPr>
        <w:t xml:space="preserve">V. Š. </w:t>
      </w:r>
      <w:bookmarkEnd w:id="76"/>
      <w:r w:rsidRPr="00B504D7">
        <w:rPr>
          <w:rFonts w:cs="Times New Roman"/>
          <w:lang w:val="lt-LT"/>
        </w:rPr>
        <w:t xml:space="preserve">kaltė grindžiama tik </w:t>
      </w:r>
      <w:bookmarkStart w:id="77" w:name="Buk_14"/>
      <w:r w:rsidR="004F1F30" w:rsidRPr="004F1F30">
        <w:rPr>
          <w:rFonts w:cs="Times New Roman"/>
          <w:color w:val="auto"/>
          <w:lang w:val="lt-LT"/>
        </w:rPr>
        <w:t xml:space="preserve">J. K. </w:t>
      </w:r>
      <w:bookmarkEnd w:id="77"/>
      <w:r w:rsidRPr="00B504D7">
        <w:rPr>
          <w:rFonts w:cs="Times New Roman"/>
          <w:lang w:val="lt-LT"/>
        </w:rPr>
        <w:t xml:space="preserve">parodymais. Todėl, jei </w:t>
      </w:r>
      <w:bookmarkStart w:id="78" w:name="Buk_46"/>
      <w:r w:rsidR="004F1F30" w:rsidRPr="004F1F30">
        <w:rPr>
          <w:rFonts w:cs="Times New Roman"/>
          <w:color w:val="auto"/>
          <w:lang w:val="lt-LT"/>
        </w:rPr>
        <w:t xml:space="preserve">V. Š. </w:t>
      </w:r>
      <w:bookmarkEnd w:id="78"/>
      <w:r w:rsidRPr="00B504D7">
        <w:rPr>
          <w:rFonts w:cs="Times New Roman"/>
          <w:lang w:val="lt-LT"/>
        </w:rPr>
        <w:t xml:space="preserve">nebūtų nuo pat pradžių prisipažinęs, o būtų neigęs galimo kyšio paėmimo faktą, tai, nesant konkrečių duomenų, ši byla, susijusi su septyniais galimais tęstiniais kyšio faktais, išskyrus paskutinį epizodą, nebūtų buvusi išsiųsta į teismą, o būtų buvusi nutraukta dėl įrodymų stokos. Kalbant apie paskutinį nusikalstamos veikos epizodą, kuris susijęs su 140 000 Eur kyšiu, paminėtina, kad taip pat </w:t>
      </w:r>
      <w:bookmarkStart w:id="79" w:name="Buk_93"/>
      <w:r w:rsidR="004F1F30" w:rsidRPr="004F1F30">
        <w:rPr>
          <w:rFonts w:cs="Times New Roman"/>
          <w:color w:val="auto"/>
          <w:lang w:val="lt-LT"/>
        </w:rPr>
        <w:t xml:space="preserve">V. Š. </w:t>
      </w:r>
      <w:bookmarkEnd w:id="79"/>
      <w:r w:rsidRPr="00B504D7">
        <w:rPr>
          <w:rFonts w:cs="Times New Roman"/>
          <w:lang w:val="lt-LT"/>
        </w:rPr>
        <w:t xml:space="preserve">parodymai šiuo klausimu buvo ypač svarūs. Kaip nurodyta slaptų veiksmų atlikimo protokoluose, pareigūnai slapta pateko prie </w:t>
      </w:r>
      <w:bookmarkStart w:id="80" w:name="Buk_94"/>
      <w:r w:rsidR="004F1F30" w:rsidRPr="004F1F30">
        <w:rPr>
          <w:rFonts w:cs="Times New Roman"/>
          <w:color w:val="auto"/>
          <w:lang w:val="lt-LT"/>
        </w:rPr>
        <w:t xml:space="preserve">V. Š. </w:t>
      </w:r>
      <w:bookmarkEnd w:id="80"/>
      <w:r w:rsidRPr="00B504D7">
        <w:rPr>
          <w:rFonts w:cs="Times New Roman"/>
          <w:lang w:val="lt-LT"/>
        </w:rPr>
        <w:t xml:space="preserve">pašto dėžutės, paėmė vokus, nunešė juos į tarnybinį automobilį ir ten susipažino su jų turiniu. Pažymėtina, kad vokai buvo </w:t>
      </w:r>
      <w:proofErr w:type="spellStart"/>
      <w:r w:rsidRPr="00B504D7">
        <w:rPr>
          <w:rFonts w:cs="Times New Roman"/>
          <w:lang w:val="lt-LT"/>
        </w:rPr>
        <w:t>vakuumuoti</w:t>
      </w:r>
      <w:proofErr w:type="spellEnd"/>
      <w:r w:rsidRPr="00B504D7">
        <w:rPr>
          <w:rFonts w:cs="Times New Roman"/>
          <w:lang w:val="lt-LT"/>
        </w:rPr>
        <w:t xml:space="preserve">, todėl objektyviai, jų neatidarius, nebuvo galima suprasti, koks jų turinys. Tokie pat vokai (neatidaryti) buvo rasti kratos metu pas </w:t>
      </w:r>
      <w:bookmarkStart w:id="81" w:name="Buk_31"/>
      <w:r w:rsidR="004F1F30" w:rsidRPr="004F1F30">
        <w:rPr>
          <w:rFonts w:cs="Times New Roman"/>
          <w:color w:val="auto"/>
          <w:lang w:val="lt-LT"/>
        </w:rPr>
        <w:t>V. Š.</w:t>
      </w:r>
      <w:bookmarkEnd w:id="81"/>
      <w:r w:rsidRPr="00B504D7">
        <w:rPr>
          <w:rFonts w:cs="Times New Roman"/>
          <w:lang w:val="lt-LT"/>
        </w:rPr>
        <w:t xml:space="preserve">. Taigi </w:t>
      </w:r>
      <w:bookmarkStart w:id="82" w:name="Buk_47"/>
      <w:r w:rsidR="004F1F30" w:rsidRPr="004F1F30">
        <w:rPr>
          <w:rFonts w:cs="Times New Roman"/>
          <w:color w:val="auto"/>
          <w:lang w:val="lt-LT"/>
        </w:rPr>
        <w:t xml:space="preserve">V. Š. </w:t>
      </w:r>
      <w:bookmarkEnd w:id="82"/>
      <w:r w:rsidRPr="00B504D7">
        <w:rPr>
          <w:rFonts w:cs="Times New Roman"/>
          <w:lang w:val="lt-LT"/>
        </w:rPr>
        <w:t>perduotų vokų neatidarė ir nepatikrino, kas juose yra.</w:t>
      </w:r>
    </w:p>
    <w:p w14:paraId="16FB2EFB" w14:textId="17DD85B1" w:rsidR="002A5F9C" w:rsidRPr="00B504D7" w:rsidRDefault="002A5F9C" w:rsidP="002A5F9C">
      <w:pPr>
        <w:pStyle w:val="Pagrindinistekstas"/>
        <w:numPr>
          <w:ilvl w:val="1"/>
          <w:numId w:val="4"/>
        </w:numPr>
        <w:spacing w:after="120"/>
        <w:ind w:left="845" w:hanging="488"/>
        <w:rPr>
          <w:rFonts w:cs="Times New Roman"/>
          <w:lang w:val="lt-LT"/>
        </w:rPr>
      </w:pPr>
      <w:r w:rsidRPr="00B504D7">
        <w:rPr>
          <w:rFonts w:eastAsia="Arial" w:cs="Times New Roman"/>
          <w:color w:val="auto"/>
          <w:lang w:val="lt-LT"/>
        </w:rPr>
        <w:t xml:space="preserve">Kalbant apie </w:t>
      </w:r>
      <w:bookmarkStart w:id="83" w:name="Buk_136"/>
      <w:r w:rsidR="004F1F30" w:rsidRPr="004F1F30">
        <w:rPr>
          <w:rFonts w:eastAsia="Arial" w:cs="Times New Roman"/>
          <w:color w:val="auto"/>
          <w:lang w:val="lt-LT"/>
        </w:rPr>
        <w:t xml:space="preserve">V. Š. </w:t>
      </w:r>
      <w:bookmarkEnd w:id="83"/>
      <w:r w:rsidRPr="00B504D7">
        <w:rPr>
          <w:rFonts w:eastAsia="Arial" w:cs="Times New Roman"/>
          <w:color w:val="auto"/>
          <w:lang w:val="lt-LT"/>
        </w:rPr>
        <w:t xml:space="preserve">inkriminuotą nusikalstamos veikos požymį – palankumą, paminėtina, kad </w:t>
      </w:r>
      <w:r w:rsidRPr="00B504D7">
        <w:rPr>
          <w:rFonts w:cs="Times New Roman"/>
          <w:shd w:val="clear" w:color="auto" w:fill="FFFFFF"/>
          <w:lang w:val="lt-LT"/>
        </w:rPr>
        <w:t>kasacinėje nutartyje baudžiamojoje byloje Nr. 2K-111-976/2023 yra nurodyta, jog šis požymis yra naujas, taip pat nustatyti ir šio požymio įrodinėjimo standartai.</w:t>
      </w:r>
      <w:r w:rsidRPr="00B504D7">
        <w:rPr>
          <w:rFonts w:cs="Times New Roman"/>
          <w:i/>
          <w:iCs/>
          <w:shd w:val="clear" w:color="auto" w:fill="FFFFFF"/>
          <w:lang w:val="lt-LT"/>
        </w:rPr>
        <w:t xml:space="preserve"> </w:t>
      </w:r>
      <w:bookmarkStart w:id="84" w:name="Buk_95"/>
      <w:r w:rsidR="004F1F30" w:rsidRPr="004F1F30">
        <w:rPr>
          <w:rFonts w:cs="Times New Roman"/>
          <w:color w:val="auto"/>
          <w:lang w:val="lt-LT"/>
        </w:rPr>
        <w:t xml:space="preserve">V. Š. </w:t>
      </w:r>
      <w:bookmarkEnd w:id="84"/>
      <w:r w:rsidRPr="00B504D7">
        <w:rPr>
          <w:rFonts w:cs="Times New Roman"/>
          <w:lang w:val="lt-LT"/>
        </w:rPr>
        <w:t xml:space="preserve">išsamūs parodymai atskleidė ir palengvino šio požymio įrodinėjimą. Dėl to pirmosios instancijos teismui tapo aišku, kad </w:t>
      </w:r>
      <w:bookmarkStart w:id="85" w:name="Buk_96"/>
      <w:r w:rsidR="004F1F30" w:rsidRPr="004F1F30">
        <w:rPr>
          <w:rFonts w:cs="Times New Roman"/>
          <w:color w:val="auto"/>
          <w:lang w:val="lt-LT"/>
        </w:rPr>
        <w:t xml:space="preserve">V. Š. </w:t>
      </w:r>
      <w:bookmarkEnd w:id="85"/>
      <w:r w:rsidRPr="00B504D7">
        <w:rPr>
          <w:rFonts w:cs="Times New Roman"/>
          <w:lang w:val="lt-LT"/>
        </w:rPr>
        <w:t xml:space="preserve">palankumas nebuvo deklaratyvus ir, svarbiausia, buvo </w:t>
      </w:r>
      <w:r w:rsidRPr="00B504D7">
        <w:rPr>
          <w:rFonts w:cs="Times New Roman"/>
          <w:lang w:val="lt-LT"/>
        </w:rPr>
        <w:lastRenderedPageBreak/>
        <w:t xml:space="preserve">pagrįstas, realus. Nesant tokių </w:t>
      </w:r>
      <w:bookmarkStart w:id="86" w:name="Buk_97"/>
      <w:r w:rsidR="004F1F30" w:rsidRPr="004F1F30">
        <w:rPr>
          <w:rFonts w:cs="Times New Roman"/>
          <w:color w:val="auto"/>
          <w:lang w:val="lt-LT"/>
        </w:rPr>
        <w:t xml:space="preserve">V. Š. </w:t>
      </w:r>
      <w:bookmarkEnd w:id="86"/>
      <w:r w:rsidRPr="00B504D7">
        <w:rPr>
          <w:rFonts w:cs="Times New Roman"/>
          <w:lang w:val="lt-LT"/>
        </w:rPr>
        <w:t>parodymų, abiejų instancijų teismams būtų neįmanoma įrodyti šio požymio buvimo.</w:t>
      </w:r>
    </w:p>
    <w:p w14:paraId="3D460CE1" w14:textId="176EE319" w:rsidR="002A5F9C" w:rsidRPr="00B504D7" w:rsidRDefault="002A5F9C" w:rsidP="002A5F9C">
      <w:pPr>
        <w:pStyle w:val="Pagrindinistekstas"/>
        <w:numPr>
          <w:ilvl w:val="1"/>
          <w:numId w:val="4"/>
        </w:numPr>
        <w:spacing w:after="120"/>
        <w:ind w:left="845" w:hanging="488"/>
        <w:rPr>
          <w:rFonts w:cs="Times New Roman"/>
          <w:lang w:val="lt-LT"/>
        </w:rPr>
      </w:pPr>
      <w:r w:rsidRPr="00B504D7">
        <w:rPr>
          <w:rFonts w:cs="Times New Roman"/>
          <w:lang w:val="lt-LT"/>
        </w:rPr>
        <w:t xml:space="preserve">Esmines aplinkybes – kyšio paėmimo laiką, vietą, būdą – </w:t>
      </w:r>
      <w:bookmarkStart w:id="87" w:name="Buk_48"/>
      <w:r w:rsidR="004F1F30" w:rsidRPr="004F1F30">
        <w:rPr>
          <w:rFonts w:cs="Times New Roman"/>
          <w:color w:val="auto"/>
          <w:lang w:val="lt-LT"/>
        </w:rPr>
        <w:t xml:space="preserve">V. Š. </w:t>
      </w:r>
      <w:bookmarkEnd w:id="87"/>
      <w:r w:rsidRPr="00B504D7">
        <w:rPr>
          <w:rFonts w:cs="Times New Roman"/>
          <w:lang w:val="lt-LT"/>
        </w:rPr>
        <w:t xml:space="preserve">nurodė, išsamiai atskleidė šios veikos padarymo faktines aplinkybes. Nesuprantama, kodėl apeliacinės instancijos teismas įžvelgia </w:t>
      </w:r>
      <w:bookmarkStart w:id="88" w:name="Buk_98"/>
      <w:r w:rsidR="004F1F30" w:rsidRPr="004F1F30">
        <w:rPr>
          <w:rFonts w:cs="Times New Roman"/>
          <w:color w:val="auto"/>
          <w:lang w:val="lt-LT"/>
        </w:rPr>
        <w:t xml:space="preserve">V. Š. </w:t>
      </w:r>
      <w:bookmarkEnd w:id="88"/>
      <w:r w:rsidRPr="00B504D7">
        <w:rPr>
          <w:rFonts w:cs="Times New Roman"/>
          <w:lang w:val="lt-LT"/>
        </w:rPr>
        <w:t>parodymų keitimą ar nenuoseklumą (</w:t>
      </w:r>
      <w:proofErr w:type="spellStart"/>
      <w:r w:rsidRPr="00B504D7">
        <w:rPr>
          <w:rFonts w:cs="Times New Roman"/>
          <w:lang w:val="lt-LT"/>
        </w:rPr>
        <w:t>neišsamumą</w:t>
      </w:r>
      <w:proofErr w:type="spellEnd"/>
      <w:r w:rsidRPr="00B504D7">
        <w:rPr>
          <w:rFonts w:cs="Times New Roman"/>
          <w:lang w:val="lt-LT"/>
        </w:rPr>
        <w:t xml:space="preserve">). Tai, kad </w:t>
      </w:r>
      <w:bookmarkStart w:id="89" w:name="Buk_49"/>
      <w:r w:rsidR="004F1F30" w:rsidRPr="004F1F30">
        <w:rPr>
          <w:rFonts w:cs="Times New Roman"/>
          <w:color w:val="auto"/>
          <w:lang w:val="lt-LT"/>
        </w:rPr>
        <w:t xml:space="preserve">V. Š. </w:t>
      </w:r>
      <w:bookmarkEnd w:id="89"/>
      <w:r w:rsidRPr="00B504D7">
        <w:rPr>
          <w:rFonts w:cs="Times New Roman"/>
          <w:lang w:val="lt-LT"/>
        </w:rPr>
        <w:t xml:space="preserve">negalėjo iš pradžių tiksliai nurodyti kyšio dalių, visiškai suprantamas dalykas, nes asmuo buvo apklausiamas apie faktus, kurie laiko atžvilgiu įvyko prieš vienerius metus keturis mėnesius iki jo apklausų dėl kyšio dalių detalizavimo. </w:t>
      </w:r>
      <w:bookmarkStart w:id="90" w:name="Buk_99"/>
      <w:r w:rsidR="004F1F30" w:rsidRPr="004F1F30">
        <w:rPr>
          <w:rFonts w:cs="Times New Roman"/>
          <w:color w:val="auto"/>
          <w:lang w:val="lt-LT"/>
        </w:rPr>
        <w:t xml:space="preserve">V. Š. </w:t>
      </w:r>
      <w:bookmarkEnd w:id="90"/>
      <w:r w:rsidRPr="00B504D7">
        <w:rPr>
          <w:rFonts w:cs="Times New Roman"/>
          <w:shd w:val="clear" w:color="auto" w:fill="FFFFFF"/>
          <w:lang w:val="lt-LT"/>
        </w:rPr>
        <w:t>prisipažinimas padarius nusikalstamą veiką buvo savanoriškas, ne dėl byloje surinktų įrodymų visumos.</w:t>
      </w:r>
      <w:r w:rsidRPr="00B504D7">
        <w:rPr>
          <w:rFonts w:cs="Times New Roman"/>
          <w:lang w:val="lt-LT"/>
        </w:rPr>
        <w:t xml:space="preserve"> </w:t>
      </w:r>
      <w:bookmarkStart w:id="91" w:name="Buk_50"/>
      <w:r w:rsidR="004F1F30" w:rsidRPr="004F1F30">
        <w:rPr>
          <w:rFonts w:cs="Times New Roman"/>
          <w:color w:val="auto"/>
          <w:shd w:val="clear" w:color="auto" w:fill="FFFFFF"/>
          <w:lang w:val="lt-LT"/>
        </w:rPr>
        <w:t xml:space="preserve">V. Š. </w:t>
      </w:r>
      <w:bookmarkEnd w:id="91"/>
      <w:r w:rsidRPr="00B504D7">
        <w:rPr>
          <w:rFonts w:cs="Times New Roman"/>
          <w:shd w:val="clear" w:color="auto" w:fill="FFFFFF"/>
          <w:lang w:val="lt-LT"/>
        </w:rPr>
        <w:t xml:space="preserve">pirmas prisipažino ir pateikė raštą STT dėl bendradarbiavimo, tik po jo veiksmų analogiškų veiksmų ėmėsi ir </w:t>
      </w:r>
      <w:bookmarkStart w:id="92" w:name="Buk_5"/>
      <w:r w:rsidR="004F1F30" w:rsidRPr="004F1F30">
        <w:rPr>
          <w:rFonts w:cs="Times New Roman"/>
          <w:color w:val="auto"/>
          <w:shd w:val="clear" w:color="auto" w:fill="FFFFFF"/>
          <w:lang w:val="lt-LT"/>
        </w:rPr>
        <w:t>J. K.</w:t>
      </w:r>
      <w:bookmarkEnd w:id="92"/>
      <w:r w:rsidRPr="00B504D7">
        <w:rPr>
          <w:rFonts w:cs="Times New Roman"/>
          <w:shd w:val="clear" w:color="auto" w:fill="FFFFFF"/>
          <w:lang w:val="lt-LT"/>
        </w:rPr>
        <w:t xml:space="preserve">. </w:t>
      </w:r>
      <w:bookmarkStart w:id="93" w:name="Buk_100"/>
      <w:r w:rsidR="004F1F30" w:rsidRPr="004F1F30">
        <w:rPr>
          <w:rFonts w:cs="Times New Roman"/>
          <w:color w:val="auto"/>
          <w:shd w:val="clear" w:color="auto" w:fill="FFFFFF"/>
          <w:lang w:val="lt-LT"/>
        </w:rPr>
        <w:t xml:space="preserve">V. Š. </w:t>
      </w:r>
      <w:bookmarkEnd w:id="93"/>
      <w:r w:rsidRPr="00B504D7">
        <w:rPr>
          <w:rFonts w:cs="Times New Roman"/>
          <w:shd w:val="clear" w:color="auto" w:fill="FFFFFF"/>
          <w:lang w:val="lt-LT"/>
        </w:rPr>
        <w:t>prisipažinimas pasižymi ir nuoširdumu, galėjimusi, nes jis kritiškai ir neigiamai vertina savo poelgį, išgyvena dėl padarytų veiksmų ir stengiasi sušvelninti padarytos veikos padarinius. Tai nėra joks išskaičiavimas, o yra jo asmeninės valios aktas.</w:t>
      </w:r>
    </w:p>
    <w:p w14:paraId="4368E855" w14:textId="50E74478" w:rsidR="002A5F9C" w:rsidRPr="00B504D7" w:rsidRDefault="002A5F9C" w:rsidP="002A5F9C">
      <w:pPr>
        <w:pStyle w:val="Pagrindinistekstas"/>
        <w:numPr>
          <w:ilvl w:val="1"/>
          <w:numId w:val="4"/>
        </w:numPr>
        <w:spacing w:after="120"/>
        <w:ind w:left="845" w:hanging="488"/>
        <w:rPr>
          <w:rFonts w:cs="Times New Roman"/>
          <w:lang w:val="lt-LT"/>
        </w:rPr>
      </w:pPr>
      <w:r w:rsidRPr="00B504D7">
        <w:rPr>
          <w:rFonts w:eastAsia="Arial" w:cs="Times New Roman"/>
          <w:color w:val="auto"/>
          <w:lang w:val="lt-LT"/>
        </w:rPr>
        <w:t xml:space="preserve">Apeliacinės instancijos teismas netinkamai taikė BK 59 straipsnio 1 dalies 3 punktą, nes </w:t>
      </w:r>
      <w:r w:rsidRPr="00B504D7">
        <w:rPr>
          <w:rFonts w:cs="Times New Roman"/>
          <w:lang w:val="lt-LT"/>
        </w:rPr>
        <w:t xml:space="preserve">byloje yra nustatyta atsakomybę lengvinanti aplinkybė – kaltininkas savo noru atlygino ar pašalino padarytą žalą. </w:t>
      </w:r>
      <w:bookmarkStart w:id="94" w:name="Buk_101"/>
      <w:r w:rsidR="004F1F30" w:rsidRPr="004F1F30">
        <w:rPr>
          <w:rFonts w:cs="Times New Roman"/>
          <w:color w:val="auto"/>
          <w:lang w:val="lt-LT"/>
        </w:rPr>
        <w:t xml:space="preserve">V. Š. </w:t>
      </w:r>
      <w:bookmarkEnd w:id="94"/>
      <w:r w:rsidRPr="00B504D7">
        <w:rPr>
          <w:rFonts w:cs="Times New Roman"/>
          <w:lang w:val="lt-LT"/>
        </w:rPr>
        <w:t xml:space="preserve">turtui – 19 070 Eur – buvo taikomas laikinas nuosavybės teisių apribojimas, nes šios sumos pareigūnai nerado kratos metu (ši suma yra skirtumas tarp </w:t>
      </w:r>
      <w:bookmarkStart w:id="95" w:name="Buk_137"/>
      <w:r w:rsidR="004F1F30" w:rsidRPr="004F1F30">
        <w:rPr>
          <w:rFonts w:cs="Times New Roman"/>
          <w:color w:val="auto"/>
          <w:lang w:val="lt-LT"/>
        </w:rPr>
        <w:t xml:space="preserve">V. Š. </w:t>
      </w:r>
      <w:bookmarkEnd w:id="95"/>
      <w:r w:rsidRPr="00B504D7">
        <w:rPr>
          <w:rFonts w:cs="Times New Roman"/>
          <w:lang w:val="lt-LT"/>
        </w:rPr>
        <w:t xml:space="preserve">duoto kyšio ir jo gyvenamojoje vietoje rastos pinigų sumos). </w:t>
      </w:r>
      <w:bookmarkStart w:id="96" w:name="Buk_51"/>
      <w:r w:rsidR="004F1F30" w:rsidRPr="004F1F30">
        <w:rPr>
          <w:rFonts w:cs="Times New Roman"/>
          <w:color w:val="auto"/>
          <w:lang w:val="lt-LT"/>
        </w:rPr>
        <w:t xml:space="preserve">V. Š. </w:t>
      </w:r>
      <w:bookmarkEnd w:id="96"/>
      <w:r w:rsidRPr="00B504D7">
        <w:rPr>
          <w:rFonts w:cs="Times New Roman"/>
          <w:lang w:val="lt-LT"/>
        </w:rPr>
        <w:t>savo iniciatyva pervedė į Kauno apygardos teismo depozitinę sąskaitą minėtą sumą. Taip jis patvirtino, kad geranoriškai pervedė į teismo depozitinę sąskaitą nurodytą sumą kaip žalos atlyginimą šioje byloje. Apeliacinės instancijos teismo teiginiai, kad nagrinėjamoje byloje nebuvo pareikštas civilinis ieškinys, teisiškai nereikšmingi, nes asmeniui suteikiama teisė bet kurio proceso metu savanoriškai atlyginti padarytą žalą ir šis atlyginimas savo esme panaikina civilinio proceso tęstinumą.</w:t>
      </w:r>
      <w:bookmarkStart w:id="97" w:name="n0e4cd923-0976-487c-a34f-c2186c09bbb1"/>
    </w:p>
    <w:p w14:paraId="2AA5E17E" w14:textId="77777777" w:rsidR="002A5F9C" w:rsidRPr="00B504D7" w:rsidRDefault="002A5F9C" w:rsidP="002A5F9C">
      <w:pPr>
        <w:pStyle w:val="Pagrindinistekstas"/>
        <w:numPr>
          <w:ilvl w:val="1"/>
          <w:numId w:val="4"/>
        </w:numPr>
        <w:spacing w:after="120"/>
        <w:ind w:left="845" w:hanging="488"/>
        <w:rPr>
          <w:rFonts w:cs="Times New Roman"/>
          <w:lang w:val="lt-LT"/>
        </w:rPr>
      </w:pPr>
      <w:hyperlink r:id="rId19" w:tgtFrame="_blank" w:tooltip="Lietuvos Respublikos baudžiamasis kodeksas" w:history="1">
        <w:r w:rsidRPr="00B504D7">
          <w:rPr>
            <w:rStyle w:val="Hipersaitas"/>
            <w:rFonts w:cs="Times New Roman"/>
            <w:u w:val="none"/>
            <w:shd w:val="clear" w:color="auto" w:fill="FFFFFF"/>
            <w:lang w:val="lt-LT"/>
          </w:rPr>
          <w:t>BK</w:t>
        </w:r>
      </w:hyperlink>
      <w:bookmarkStart w:id="98" w:name="pn0e4cd923-0976-487c-a34f-c2186c09bbb1"/>
      <w:bookmarkStart w:id="99" w:name="ne6f04c9b-3f84-4c5c-bb82-71694e59863c"/>
      <w:bookmarkEnd w:id="97"/>
      <w:bookmarkEnd w:id="98"/>
      <w:r w:rsidRPr="00B504D7">
        <w:rPr>
          <w:rFonts w:cs="Times New Roman"/>
          <w:shd w:val="clear" w:color="auto" w:fill="FFFFFF"/>
          <w:lang w:val="lt-LT"/>
        </w:rPr>
        <w:t xml:space="preserve"> </w:t>
      </w:r>
      <w:hyperlink r:id="rId20" w:tgtFrame="_blank" w:tooltip="Atsakomybę lengvinančios aplinkybės" w:history="1">
        <w:r w:rsidRPr="00B504D7">
          <w:rPr>
            <w:rStyle w:val="Hipersaitas"/>
            <w:rFonts w:cs="Times New Roman"/>
            <w:u w:val="none"/>
            <w:shd w:val="clear" w:color="auto" w:fill="FFFFFF"/>
            <w:lang w:val="lt-LT"/>
          </w:rPr>
          <w:t>59</w:t>
        </w:r>
      </w:hyperlink>
      <w:bookmarkStart w:id="100" w:name="pne6f04c9b-3f84-4c5c-bb82-71694e59863c"/>
      <w:bookmarkEnd w:id="99"/>
      <w:bookmarkEnd w:id="100"/>
      <w:r w:rsidRPr="00B504D7">
        <w:rPr>
          <w:rFonts w:cs="Times New Roman"/>
          <w:shd w:val="clear" w:color="auto" w:fill="FFFFFF"/>
          <w:lang w:val="lt-LT"/>
        </w:rPr>
        <w:t xml:space="preserve"> straipsnio 2 dalyje įtvirtinta teismo teisė pripažinti atsakomybę lengvinančiomis aplinkybėmis ir kitas šio straipsnio 1 dalyje nenurodytas aplinkybes. Tai reiškia, kad atsakomybę lengvinančių aplinkybių sąrašas nėra išsamus, teismas turi teisę pripažinti lengvinančiomis ir kitas aplinkybes, kurios parodo mažesnį padarytos nusikalstamos veikos ar kaltininko asmenybės pavojingumą (kasacinės nutartys baudžiamosiose bylose Nr.</w:t>
      </w:r>
      <w:bookmarkStart w:id="101" w:name="n3d917111-5de1-4c45-9fe1-55a508ac12cc"/>
      <w:r w:rsidRPr="00B504D7">
        <w:rPr>
          <w:rFonts w:cs="Times New Roman"/>
          <w:shd w:val="clear" w:color="auto" w:fill="FFFFFF"/>
          <w:lang w:val="lt-LT"/>
        </w:rPr>
        <w:t xml:space="preserve"> </w:t>
      </w:r>
      <w:hyperlink r:id="rId21" w:tgtFrame="_blank" w:tooltip="2K-433/2011 R. J. pagal BK 281 str. 6 d." w:history="1">
        <w:r w:rsidRPr="00B504D7">
          <w:rPr>
            <w:rStyle w:val="Hipersaitas"/>
            <w:rFonts w:cs="Times New Roman"/>
            <w:u w:val="none"/>
            <w:shd w:val="clear" w:color="auto" w:fill="FFFFFF"/>
            <w:lang w:val="lt-LT"/>
          </w:rPr>
          <w:t>2K-433/2011</w:t>
        </w:r>
      </w:hyperlink>
      <w:bookmarkStart w:id="102" w:name="pn3d917111-5de1-4c45-9fe1-55a508ac12cc"/>
      <w:bookmarkEnd w:id="101"/>
      <w:bookmarkEnd w:id="102"/>
      <w:r w:rsidRPr="00B504D7">
        <w:rPr>
          <w:rFonts w:cs="Times New Roman"/>
          <w:shd w:val="clear" w:color="auto" w:fill="FFFFFF"/>
          <w:lang w:val="lt-LT"/>
        </w:rPr>
        <w:t>,</w:t>
      </w:r>
      <w:bookmarkStart w:id="103" w:name="n3ca5850c-dcdf-4615-8c20-5218776cdeb2"/>
      <w:r w:rsidRPr="00B504D7">
        <w:rPr>
          <w:rFonts w:cs="Times New Roman"/>
          <w:shd w:val="clear" w:color="auto" w:fill="FFFFFF"/>
          <w:lang w:val="lt-LT"/>
        </w:rPr>
        <w:t xml:space="preserve"> </w:t>
      </w:r>
      <w:hyperlink r:id="rId22" w:tgtFrame="_blank" w:tooltip="2K-448-303/2016 V. V. pagal BK 260 str. 2 d." w:history="1">
        <w:r w:rsidRPr="00B504D7">
          <w:rPr>
            <w:rStyle w:val="Hipersaitas"/>
            <w:rFonts w:cs="Times New Roman"/>
            <w:u w:val="none"/>
            <w:shd w:val="clear" w:color="auto" w:fill="FFFFFF"/>
            <w:lang w:val="lt-LT"/>
          </w:rPr>
          <w:t>2K-448-303/2016</w:t>
        </w:r>
      </w:hyperlink>
      <w:bookmarkStart w:id="104" w:name="pn3ca5850c-dcdf-4615-8c20-5218776cdeb2"/>
      <w:bookmarkEnd w:id="103"/>
      <w:bookmarkEnd w:id="104"/>
      <w:r w:rsidRPr="00B504D7">
        <w:rPr>
          <w:rFonts w:cs="Times New Roman"/>
          <w:shd w:val="clear" w:color="auto" w:fill="FFFFFF"/>
          <w:lang w:val="lt-LT"/>
        </w:rPr>
        <w:t>).</w:t>
      </w:r>
      <w:r w:rsidRPr="00B504D7">
        <w:rPr>
          <w:rFonts w:eastAsia="Arial" w:cs="Times New Roman"/>
          <w:color w:val="auto"/>
          <w:lang w:val="lt-LT"/>
        </w:rPr>
        <w:t xml:space="preserve"> Nagrinėjamai bylai yra aktualios bylos, kuriose atsakomybę </w:t>
      </w:r>
      <w:r w:rsidRPr="00B504D7">
        <w:rPr>
          <w:rFonts w:cs="Times New Roman"/>
          <w:color w:val="auto"/>
          <w:lang w:val="lt-LT"/>
        </w:rPr>
        <w:t xml:space="preserve">lengvinančia aplinkybe pripažinti nepagrįsti ir neteisėti tiek pareigūnų, prokurorų ir teismų sprendimai, tiek labai ilga baudžiamojo proceso trukmė, baudžiamojo proceso nestabilumas ir netikrumas, </w:t>
      </w:r>
      <w:proofErr w:type="spellStart"/>
      <w:r w:rsidRPr="00B504D7">
        <w:rPr>
          <w:rFonts w:cs="Times New Roman"/>
          <w:color w:val="auto"/>
          <w:lang w:val="lt-LT"/>
        </w:rPr>
        <w:t>iškreiptumas</w:t>
      </w:r>
      <w:proofErr w:type="spellEnd"/>
      <w:r w:rsidRPr="00B504D7">
        <w:rPr>
          <w:rFonts w:cs="Times New Roman"/>
          <w:color w:val="auto"/>
          <w:lang w:val="lt-LT"/>
        </w:rPr>
        <w:t xml:space="preserve">, preferencijų taikymas tam tikriems asmenims. </w:t>
      </w:r>
      <w:r w:rsidRPr="00B504D7">
        <w:rPr>
          <w:rFonts w:cs="Times New Roman"/>
          <w:lang w:val="lt-LT"/>
        </w:rPr>
        <w:t>Pavyzdžiui, ‏‏‎</w:t>
      </w:r>
      <w:r w:rsidRPr="00B504D7">
        <w:rPr>
          <w:rFonts w:cs="Times New Roman"/>
          <w:color w:val="auto"/>
          <w:lang w:val="lt-LT"/>
        </w:rPr>
        <w:t xml:space="preserve">kasacinėje nutartyje baudžiamojoje byloje Nr. </w:t>
      </w:r>
      <w:hyperlink r:id="rId23" w:tgtFrame="_blank" w:history="1">
        <w:r w:rsidRPr="00B504D7">
          <w:rPr>
            <w:rStyle w:val="Hipersaitas"/>
            <w:rFonts w:cs="Times New Roman"/>
            <w:color w:val="auto"/>
            <w:u w:val="none"/>
            <w:lang w:val="lt-LT"/>
          </w:rPr>
          <w:t>2K-274-788/2019</w:t>
        </w:r>
      </w:hyperlink>
      <w:r w:rsidRPr="00B504D7">
        <w:rPr>
          <w:rFonts w:cs="Times New Roman"/>
          <w:color w:val="auto"/>
          <w:lang w:val="lt-LT"/>
        </w:rPr>
        <w:t xml:space="preserve"> teismas pripažino atsakomybę lengvinančia aplinkybe </w:t>
      </w:r>
      <w:r w:rsidRPr="00B504D7">
        <w:rPr>
          <w:rFonts w:cs="Times New Roman"/>
          <w:lang w:val="lt-LT"/>
        </w:rPr>
        <w:t xml:space="preserve">pernelyg ilgą baudžiamojo proceso trukmę ir jo nenuoseklumą. Teismų praktikoje nepateisinamai ilga baudžiamojo proceso trukmė ir netikrumas dėl baudžiamojo proceso baigties laikomi skiriant bausmę teisiškai reikšminga aplinkybe, į kurią teismas privalo atsižvelgti (kasacinės nutartys baudžiamosiose bylose Nr. 2K-7-45/2007, 2K-192/2011, 2K-7-27-746/2015, 2K-7-8-788/2018). </w:t>
      </w:r>
    </w:p>
    <w:p w14:paraId="38C865BB" w14:textId="08AB8E02" w:rsidR="002A5F9C" w:rsidRPr="00B504D7" w:rsidRDefault="002A5F9C" w:rsidP="002A5F9C">
      <w:pPr>
        <w:pStyle w:val="Pagrindinistekstas"/>
        <w:numPr>
          <w:ilvl w:val="1"/>
          <w:numId w:val="4"/>
        </w:numPr>
        <w:spacing w:after="120"/>
        <w:ind w:left="845" w:hanging="488"/>
        <w:rPr>
          <w:rFonts w:cs="Times New Roman"/>
          <w:lang w:val="lt-LT"/>
        </w:rPr>
      </w:pPr>
      <w:r w:rsidRPr="00B504D7">
        <w:rPr>
          <w:rFonts w:cs="Times New Roman"/>
          <w:lang w:val="lt-LT"/>
        </w:rPr>
        <w:t xml:space="preserve">Galima įžvelgti akivaizdų </w:t>
      </w:r>
      <w:bookmarkStart w:id="105" w:name="Buk_102"/>
      <w:r w:rsidR="004F1F30" w:rsidRPr="004F1F30">
        <w:rPr>
          <w:rFonts w:cs="Times New Roman"/>
          <w:color w:val="auto"/>
          <w:lang w:val="lt-LT"/>
        </w:rPr>
        <w:t xml:space="preserve">V. Š. </w:t>
      </w:r>
      <w:bookmarkEnd w:id="105"/>
      <w:r w:rsidRPr="00B504D7">
        <w:rPr>
          <w:rFonts w:cs="Times New Roman"/>
          <w:lang w:val="lt-LT"/>
        </w:rPr>
        <w:t xml:space="preserve">baudžiamojo proceso nenuoseklumą, netikrumą, </w:t>
      </w:r>
      <w:proofErr w:type="spellStart"/>
      <w:r w:rsidRPr="00B504D7">
        <w:rPr>
          <w:rFonts w:cs="Times New Roman"/>
          <w:lang w:val="lt-LT"/>
        </w:rPr>
        <w:t>iškreiptumą</w:t>
      </w:r>
      <w:proofErr w:type="spellEnd"/>
      <w:r w:rsidRPr="00B504D7">
        <w:rPr>
          <w:rFonts w:cs="Times New Roman"/>
          <w:lang w:val="lt-LT"/>
        </w:rPr>
        <w:t>, jo diskriminavimą ir šias aplinkybes laikyti jo atsakomybę lengvinančiomis aplinkybėmis.</w:t>
      </w:r>
      <w:r w:rsidRPr="00B504D7">
        <w:rPr>
          <w:rFonts w:eastAsia="Arial" w:cs="Times New Roman"/>
          <w:color w:val="auto"/>
          <w:lang w:val="lt-LT"/>
        </w:rPr>
        <w:t xml:space="preserve"> </w:t>
      </w:r>
      <w:r w:rsidRPr="00B504D7">
        <w:rPr>
          <w:rFonts w:cs="Times New Roman"/>
          <w:lang w:val="lt-LT"/>
        </w:rPr>
        <w:t xml:space="preserve">Pirma aplinkybė yra susijusi su neteisėtu </w:t>
      </w:r>
      <w:bookmarkStart w:id="106" w:name="Buk_15"/>
      <w:r w:rsidR="004F1F30" w:rsidRPr="004F1F30">
        <w:rPr>
          <w:rFonts w:cs="Times New Roman"/>
          <w:color w:val="auto"/>
          <w:lang w:val="lt-LT"/>
        </w:rPr>
        <w:t xml:space="preserve">J. K. </w:t>
      </w:r>
      <w:bookmarkEnd w:id="106"/>
      <w:r w:rsidRPr="00B504D7">
        <w:rPr>
          <w:rFonts w:cs="Times New Roman"/>
          <w:lang w:val="lt-LT"/>
        </w:rPr>
        <w:t xml:space="preserve">atleidimu nuo baudžiamosios atsakomybės. Jis negalėjo būti atleidžiamas nuo baudžiamosios atsakomybės, o ši aplinkybė suponuoja nepagrįstą </w:t>
      </w:r>
      <w:hyperlink r:id="rId24" w:tgtFrame="_blank" w:tooltip="Lietuvos Respublikos baudžiamasis kodeksas" w:history="1">
        <w:r w:rsidRPr="00B504D7">
          <w:rPr>
            <w:rStyle w:val="Hipersaitas"/>
            <w:rFonts w:cs="Times New Roman"/>
            <w:u w:val="none"/>
            <w:shd w:val="clear" w:color="auto" w:fill="FFFFFF"/>
            <w:lang w:val="lt-LT"/>
          </w:rPr>
          <w:t>BK</w:t>
        </w:r>
      </w:hyperlink>
      <w:r w:rsidRPr="00B504D7">
        <w:rPr>
          <w:rFonts w:cs="Times New Roman"/>
          <w:shd w:val="clear" w:color="auto" w:fill="FFFFFF"/>
          <w:lang w:val="lt-LT"/>
        </w:rPr>
        <w:t xml:space="preserve"> </w:t>
      </w:r>
      <w:hyperlink r:id="rId25" w:tgtFrame="_blank" w:tooltip="Atsakomybę lengvinančios aplinkybės" w:history="1">
        <w:r w:rsidRPr="00B504D7">
          <w:rPr>
            <w:rStyle w:val="Hipersaitas"/>
            <w:rFonts w:cs="Times New Roman"/>
            <w:u w:val="none"/>
            <w:shd w:val="clear" w:color="auto" w:fill="FFFFFF"/>
            <w:lang w:val="lt-LT"/>
          </w:rPr>
          <w:t>59</w:t>
        </w:r>
      </w:hyperlink>
      <w:r w:rsidRPr="00B504D7">
        <w:rPr>
          <w:rFonts w:cs="Times New Roman"/>
          <w:shd w:val="clear" w:color="auto" w:fill="FFFFFF"/>
          <w:lang w:val="lt-LT"/>
        </w:rPr>
        <w:t xml:space="preserve"> straipsnio 2 dalies </w:t>
      </w:r>
      <w:r w:rsidRPr="00B504D7">
        <w:rPr>
          <w:rFonts w:cs="Times New Roman"/>
          <w:lang w:val="lt-LT"/>
        </w:rPr>
        <w:t>netaikymą. Antra aplinkybė yra susijusi su nepagrįstu UAB „</w:t>
      </w:r>
      <w:proofErr w:type="spellStart"/>
      <w:r w:rsidRPr="00B504D7">
        <w:rPr>
          <w:rFonts w:cs="Times New Roman"/>
          <w:lang w:val="lt-LT"/>
        </w:rPr>
        <w:t>Autokausta</w:t>
      </w:r>
      <w:proofErr w:type="spellEnd"/>
      <w:r w:rsidRPr="00B504D7">
        <w:rPr>
          <w:rFonts w:cs="Times New Roman"/>
          <w:lang w:val="lt-LT"/>
        </w:rPr>
        <w:t xml:space="preserve">“, kuriai vadovavo </w:t>
      </w:r>
      <w:bookmarkStart w:id="107" w:name="Buk_6"/>
      <w:r w:rsidR="004F1F30" w:rsidRPr="004F1F30">
        <w:rPr>
          <w:rFonts w:cs="Times New Roman"/>
          <w:color w:val="auto"/>
          <w:lang w:val="lt-LT"/>
        </w:rPr>
        <w:t>J. K.</w:t>
      </w:r>
      <w:bookmarkEnd w:id="107"/>
      <w:r w:rsidRPr="00B504D7">
        <w:rPr>
          <w:rFonts w:cs="Times New Roman"/>
          <w:lang w:val="lt-LT"/>
        </w:rPr>
        <w:t xml:space="preserve">, nepatraukimu baudžiamojon atsakomybėn. Akivaizdu, kad tiek prokuratūra, tiek STT galimai taikė tam tikras neteisėtas nuolaidas, neleistinas preferencijas konkretiems asmenims, o </w:t>
      </w:r>
      <w:bookmarkStart w:id="108" w:name="Buk_138"/>
      <w:r w:rsidR="004F1F30" w:rsidRPr="004F1F30">
        <w:rPr>
          <w:rFonts w:cs="Times New Roman"/>
          <w:color w:val="auto"/>
          <w:lang w:val="lt-LT"/>
        </w:rPr>
        <w:t xml:space="preserve">V. Š. </w:t>
      </w:r>
      <w:bookmarkEnd w:id="108"/>
      <w:r w:rsidRPr="00B504D7">
        <w:rPr>
          <w:rFonts w:cs="Times New Roman"/>
          <w:lang w:val="lt-LT"/>
        </w:rPr>
        <w:t xml:space="preserve">prokuratūra akcentavo viso šio proceso realumą, griežtumą, pateikdama tęstinę veiką kaip savarankiškas veikas, neleisdama pabaigti proceso supaprastinta tvarka. Atkreiptinas dėmesys, kad jei taikomos nuolaidos, preferencijos vienam asmeniui, jos turi būti taikomos ir kitam subjektui, todėl, </w:t>
      </w:r>
      <w:r w:rsidRPr="00B504D7">
        <w:rPr>
          <w:rFonts w:cs="Times New Roman"/>
          <w:lang w:val="lt-LT"/>
        </w:rPr>
        <w:lastRenderedPageBreak/>
        <w:t xml:space="preserve">gynybos manymu, buvo pažeisti teisinės lygybės, stabilumo, teisinės valstybės principai, lemiantys asmenų teisę žinoti, ko tikėtis iš baudžiamojo proceso. </w:t>
      </w:r>
    </w:p>
    <w:p w14:paraId="7AF3914B" w14:textId="3D7EAA18" w:rsidR="002A5F9C" w:rsidRPr="00B504D7" w:rsidRDefault="002A5F9C" w:rsidP="002A5F9C">
      <w:pPr>
        <w:pStyle w:val="Pagrindinistekstas"/>
        <w:numPr>
          <w:ilvl w:val="1"/>
          <w:numId w:val="4"/>
        </w:numPr>
        <w:spacing w:after="120"/>
        <w:ind w:left="845" w:hanging="488"/>
        <w:rPr>
          <w:rStyle w:val="Numatytasispastraiposriftas1"/>
          <w:rFonts w:cs="Times New Roman"/>
          <w:lang w:val="lt-LT"/>
        </w:rPr>
      </w:pPr>
      <w:r w:rsidRPr="00B504D7">
        <w:rPr>
          <w:rFonts w:cs="Times New Roman"/>
          <w:lang w:val="lt-LT"/>
        </w:rPr>
        <w:t>Viena iš</w:t>
      </w:r>
      <w:bookmarkStart w:id="109" w:name="n92e3ae10-684f-4278-b63f-31edf262fdec"/>
      <w:r w:rsidRPr="00B504D7">
        <w:rPr>
          <w:rFonts w:cs="Times New Roman"/>
          <w:lang w:val="lt-LT"/>
        </w:rPr>
        <w:t xml:space="preserve"> </w:t>
      </w:r>
      <w:hyperlink r:id="rId26" w:tgtFrame="_blank" w:tooltip="Lietuvos Respublikos baudžiamasis kodeksas" w:history="1">
        <w:r w:rsidRPr="00B504D7">
          <w:rPr>
            <w:rStyle w:val="Hipersaitas"/>
            <w:rFonts w:cs="Times New Roman"/>
            <w:u w:val="none"/>
            <w:lang w:val="lt-LT"/>
          </w:rPr>
          <w:t>BK</w:t>
        </w:r>
      </w:hyperlink>
      <w:bookmarkStart w:id="110" w:name="pn92e3ae10-684f-4278-b63f-31edf262fdec"/>
      <w:bookmarkStart w:id="111" w:name="nb48be74c-346e-4616-ac0d-55157e4b4d43"/>
      <w:bookmarkEnd w:id="109"/>
      <w:bookmarkEnd w:id="110"/>
      <w:r w:rsidRPr="00B504D7">
        <w:rPr>
          <w:rFonts w:cs="Times New Roman"/>
          <w:lang w:val="lt-LT"/>
        </w:rPr>
        <w:t xml:space="preserve"> </w:t>
      </w:r>
      <w:hyperlink r:id="rId27" w:tgtFrame="_blank" w:tooltip="Atsakomybę sunkinančios aplinkybės" w:history="1">
        <w:r w:rsidRPr="00B504D7">
          <w:rPr>
            <w:rStyle w:val="Hipersaitas"/>
            <w:rFonts w:cs="Times New Roman"/>
            <w:u w:val="none"/>
            <w:lang w:val="lt-LT"/>
          </w:rPr>
          <w:t>60</w:t>
        </w:r>
      </w:hyperlink>
      <w:bookmarkStart w:id="112" w:name="pnb48be74c-346e-4616-ac0d-55157e4b4d43"/>
      <w:bookmarkEnd w:id="111"/>
      <w:bookmarkEnd w:id="112"/>
      <w:r w:rsidRPr="00B504D7">
        <w:rPr>
          <w:rFonts w:cs="Times New Roman"/>
          <w:lang w:val="lt-LT"/>
        </w:rPr>
        <w:t xml:space="preserve"> straipsnio 1 dalies 3 punkte nustatytų atsakomybę sunkinančių aplinkybių yra savanaudiškos paskatos. Vis dėlto savanaudiškos paskatos neturi būti vertinamos kaip atsakomybę sunkinanti aplinkybė ir BK 54 straipsnio 2 dalyje nustatyta aplinkybė, į kurią atsižvelgiama skiriant bausmę, kai BK specialiojoje dalyje nurodyta nusikalstama veika savo esme yra savanaudiška. Nusikalstama veika, už kurios padarymą yra nuteistas </w:t>
      </w:r>
      <w:bookmarkStart w:id="113" w:name="Buk_52"/>
      <w:r w:rsidR="004F1F30" w:rsidRPr="004F1F30">
        <w:rPr>
          <w:rFonts w:cs="Times New Roman"/>
          <w:color w:val="auto"/>
          <w:lang w:val="lt-LT"/>
        </w:rPr>
        <w:t>V. Š.</w:t>
      </w:r>
      <w:bookmarkEnd w:id="113"/>
      <w:r w:rsidRPr="00B504D7">
        <w:rPr>
          <w:rFonts w:cs="Times New Roman"/>
          <w:lang w:val="lt-LT"/>
        </w:rPr>
        <w:t xml:space="preserve">, savo prigimtimi yra savanaudiška. Todėl apeliacinės instancijos teismas neteisėtai ir nepagrįstai, skirdamas </w:t>
      </w:r>
      <w:bookmarkStart w:id="114" w:name="Buk_139"/>
      <w:r w:rsidR="004F1F30" w:rsidRPr="004F1F30">
        <w:rPr>
          <w:rFonts w:cs="Times New Roman"/>
          <w:color w:val="auto"/>
          <w:lang w:val="lt-LT"/>
        </w:rPr>
        <w:t xml:space="preserve">V. Š. </w:t>
      </w:r>
      <w:bookmarkEnd w:id="114"/>
      <w:r w:rsidRPr="00B504D7">
        <w:rPr>
          <w:rFonts w:cs="Times New Roman"/>
          <w:lang w:val="lt-LT"/>
        </w:rPr>
        <w:t xml:space="preserve">bausmę, atsižvelgė į nusikalstamos veikos savanaudiškus tikslus ir motyvus. Didesnis nei rūšinis nusikalstamos veikos, dėl kurios padarymo </w:t>
      </w:r>
      <w:bookmarkStart w:id="115" w:name="Buk_53"/>
      <w:r w:rsidR="004F1F30" w:rsidRPr="004F1F30">
        <w:rPr>
          <w:rFonts w:cs="Times New Roman"/>
          <w:color w:val="auto"/>
          <w:lang w:val="lt-LT"/>
        </w:rPr>
        <w:t xml:space="preserve">V. Š. </w:t>
      </w:r>
      <w:bookmarkEnd w:id="115"/>
      <w:r w:rsidRPr="00B504D7">
        <w:rPr>
          <w:rFonts w:cs="Times New Roman"/>
          <w:color w:val="auto"/>
          <w:lang w:val="lt-LT"/>
        </w:rPr>
        <w:t xml:space="preserve">pripažintas kaltu, pavojingumas nuosprendyje argumentuojamas </w:t>
      </w:r>
      <w:r w:rsidRPr="00B504D7">
        <w:rPr>
          <w:rFonts w:cs="Times New Roman"/>
          <w:lang w:val="lt-LT"/>
        </w:rPr>
        <w:t xml:space="preserve">paimto kyšio suma. </w:t>
      </w:r>
      <w:r w:rsidRPr="00B504D7">
        <w:rPr>
          <w:rFonts w:cs="Times New Roman"/>
          <w:color w:val="auto"/>
          <w:lang w:val="lt-LT"/>
        </w:rPr>
        <w:t>BK 225 straipsnio 3</w:t>
      </w:r>
      <w:r w:rsidR="007429A2">
        <w:rPr>
          <w:rFonts w:cs="Times New Roman"/>
          <w:color w:val="auto"/>
          <w:lang w:val="lt-LT"/>
        </w:rPr>
        <w:t> </w:t>
      </w:r>
      <w:r w:rsidRPr="00B504D7">
        <w:rPr>
          <w:rFonts w:cs="Times New Roman"/>
          <w:color w:val="auto"/>
          <w:lang w:val="lt-LT"/>
        </w:rPr>
        <w:t>dalyje nurodyta</w:t>
      </w:r>
      <w:r w:rsidRPr="00B504D7">
        <w:rPr>
          <w:rFonts w:cs="Times New Roman"/>
          <w:color w:val="auto"/>
          <w:shd w:val="clear" w:color="auto" w:fill="FFFFFF"/>
          <w:lang w:val="lt-LT"/>
        </w:rPr>
        <w:t xml:space="preserve"> nusikalstama veika ir yra </w:t>
      </w:r>
      <w:proofErr w:type="spellStart"/>
      <w:r w:rsidRPr="00B504D7">
        <w:rPr>
          <w:rFonts w:cs="Times New Roman"/>
          <w:color w:val="auto"/>
          <w:shd w:val="clear" w:color="auto" w:fill="FFFFFF"/>
          <w:lang w:val="lt-LT"/>
        </w:rPr>
        <w:t>kriminalizuota</w:t>
      </w:r>
      <w:proofErr w:type="spellEnd"/>
      <w:r w:rsidRPr="00B504D7">
        <w:rPr>
          <w:rFonts w:cs="Times New Roman"/>
          <w:color w:val="auto"/>
          <w:shd w:val="clear" w:color="auto" w:fill="FFFFFF"/>
          <w:lang w:val="lt-LT"/>
        </w:rPr>
        <w:t xml:space="preserve">, kai asmuo paima kyšį, kurio dydis viršija 250 MGL dydžio sumą. Taigi kyšio dydis yra nusikaltimo sudėties objektyviosios pusės požymis, o ne aplinkybė, į kurią teismas turi atsižvelgti, skirdamas bausmę. Šią nuostatą patvirtina ir BK 60 straipsnio 2 dalis, kurioje nustatyta, kad, </w:t>
      </w:r>
      <w:r w:rsidRPr="00B504D7">
        <w:rPr>
          <w:rFonts w:cs="Times New Roman"/>
          <w:color w:val="auto"/>
          <w:lang w:val="lt-LT"/>
        </w:rPr>
        <w:t>skirdamas bausmę, teismas neatsižvelgia į tokią atsakomybę sunkinančią aplinkybę, kuri įstatyme nurodyta kaip nusikaltimo sudėties požymis.</w:t>
      </w:r>
      <w:r w:rsidRPr="00B504D7">
        <w:rPr>
          <w:rFonts w:cs="Times New Roman"/>
          <w:lang w:val="lt-LT"/>
        </w:rPr>
        <w:t xml:space="preserve"> Taigi paimto</w:t>
      </w:r>
      <w:r w:rsidRPr="00B504D7">
        <w:rPr>
          <w:rStyle w:val="Numatytasispastraiposriftas1"/>
          <w:rFonts w:cs="Times New Roman"/>
          <w:lang w:val="lt-LT"/>
        </w:rPr>
        <w:t xml:space="preserve"> kyšio dydis negalėjo būti vertinamas kaip aplinkybė, į kurią atsižvelgiama skiriant bausmę ir jos dydį. </w:t>
      </w:r>
      <w:r w:rsidRPr="00B504D7">
        <w:rPr>
          <w:rFonts w:cs="Times New Roman"/>
          <w:lang w:val="lt-LT"/>
        </w:rPr>
        <w:t xml:space="preserve">Apeliacinės instancijos teismas neteikė reikšmės aplinkybėms, kurios turėjo būti įvertintos: nuteistasis anksčiau neteistas, galiojančių administracinių nuobaudų neturi, vedęs, dirbantis, išlaiko du mažamečius vaikus, rūpinasi pagyvenusio amžiaus tėvais, užsiima savanoriška veikla. Padaręs šiuos BK 54 straipsnio 2 dalies pažeidimus, apeliacinės instancijos teismas nuteistajam </w:t>
      </w:r>
      <w:bookmarkStart w:id="116" w:name="Buk_140"/>
      <w:r w:rsidR="004F1F30" w:rsidRPr="004F1F30">
        <w:rPr>
          <w:rFonts w:cs="Times New Roman"/>
          <w:color w:val="auto"/>
          <w:lang w:val="lt-LT"/>
        </w:rPr>
        <w:t>V. Š.</w:t>
      </w:r>
      <w:bookmarkEnd w:id="116"/>
      <w:r w:rsidRPr="00B504D7">
        <w:rPr>
          <w:rFonts w:cs="Times New Roman"/>
          <w:lang w:val="lt-LT"/>
        </w:rPr>
        <w:t xml:space="preserve">, t. y. pirmą kartą teisiamam asmeniui, skyrė terminuoto laisvės atėmimo bausmę, kurios dydis lygus sankcijoje nustatytam bausmės vidurkiui. </w:t>
      </w:r>
    </w:p>
    <w:p w14:paraId="6D19ECB2" w14:textId="77777777" w:rsidR="002A5F9C" w:rsidRPr="00B504D7" w:rsidRDefault="002A5F9C" w:rsidP="002A5F9C">
      <w:pPr>
        <w:pStyle w:val="Pagrindinistekstas"/>
        <w:numPr>
          <w:ilvl w:val="1"/>
          <w:numId w:val="4"/>
        </w:numPr>
        <w:spacing w:after="120"/>
        <w:ind w:left="845" w:hanging="488"/>
        <w:rPr>
          <w:rFonts w:cs="Times New Roman"/>
          <w:lang w:val="lt-LT"/>
        </w:rPr>
      </w:pPr>
      <w:r w:rsidRPr="00B504D7">
        <w:rPr>
          <w:rFonts w:cs="Times New Roman"/>
          <w:lang w:val="lt-LT"/>
        </w:rPr>
        <w:t xml:space="preserve">Apeliacinės instancijos teismas netiksliai interpretavo BK 54 straipsnio 3 dalį, todėl netinkamai pritaikė baudžiamąjį įstatymą. </w:t>
      </w:r>
      <w:bookmarkStart w:id="117" w:name="n469dd1de-f7bb-4815-8c58-54c518108f04"/>
      <w:r w:rsidRPr="00B504D7">
        <w:rPr>
          <w:rFonts w:cs="Times New Roman"/>
          <w:shd w:val="clear" w:color="auto" w:fill="FFFFFF"/>
          <w:lang w:val="lt-LT"/>
        </w:rPr>
        <w:t xml:space="preserve">Pagal </w:t>
      </w:r>
      <w:hyperlink r:id="rId28" w:tgtFrame="_blank" w:tooltip="Lietuvos Respublikos baudžiamasis kodeksas" w:history="1">
        <w:r w:rsidRPr="00B504D7">
          <w:rPr>
            <w:rStyle w:val="Hipersaitas"/>
            <w:rFonts w:cs="Times New Roman"/>
            <w:u w:val="none"/>
            <w:shd w:val="clear" w:color="auto" w:fill="FFFFFF"/>
            <w:lang w:val="lt-LT"/>
          </w:rPr>
          <w:t>BK</w:t>
        </w:r>
      </w:hyperlink>
      <w:bookmarkStart w:id="118" w:name="pn469dd1de-f7bb-4815-8c58-54c518108f04"/>
      <w:bookmarkStart w:id="119" w:name="n443f7d0f-bfd3-43ac-b6b4-177de6457600"/>
      <w:bookmarkEnd w:id="117"/>
      <w:bookmarkEnd w:id="118"/>
      <w:r w:rsidRPr="00B504D7">
        <w:rPr>
          <w:rFonts w:cs="Times New Roman"/>
          <w:lang w:val="lt-LT"/>
        </w:rPr>
        <w:t xml:space="preserve"> </w:t>
      </w:r>
      <w:hyperlink r:id="rId29" w:tgtFrame="_blank" w:tooltip="Bendrieji bausmės skyrimo pagrindai" w:history="1">
        <w:r w:rsidRPr="00B504D7">
          <w:rPr>
            <w:rStyle w:val="Hipersaitas"/>
            <w:rFonts w:cs="Times New Roman"/>
            <w:u w:val="none"/>
            <w:shd w:val="clear" w:color="auto" w:fill="FFFFFF"/>
            <w:lang w:val="lt-LT"/>
          </w:rPr>
          <w:t>54</w:t>
        </w:r>
      </w:hyperlink>
      <w:bookmarkStart w:id="120" w:name="pn443f7d0f-bfd3-43ac-b6b4-177de6457600"/>
      <w:bookmarkEnd w:id="119"/>
      <w:bookmarkEnd w:id="120"/>
      <w:r w:rsidRPr="00B504D7">
        <w:rPr>
          <w:rFonts w:cs="Times New Roman"/>
          <w:shd w:val="clear" w:color="auto" w:fill="FFFFFF"/>
          <w:lang w:val="lt-LT"/>
        </w:rPr>
        <w:t xml:space="preserve"> straipsnio 3 dalį, kitokia bausmė, nei nustatyta straipsnio, pagal kurį kvalifikuota veika, sankcijoje, paprastai gali būti paskiriama, kai yra išimtinių aplinkybių ir jei nėra pagrindo paskirti švelnesnę negu įstatymo nustatytą bausmę pagal</w:t>
      </w:r>
      <w:bookmarkStart w:id="121" w:name="nfe649e9b-05f7-49cb-9a3b-c7707bdf5760"/>
      <w:r w:rsidRPr="00B504D7">
        <w:rPr>
          <w:rFonts w:cs="Times New Roman"/>
          <w:shd w:val="clear" w:color="auto" w:fill="FFFFFF"/>
          <w:lang w:val="lt-LT"/>
        </w:rPr>
        <w:t xml:space="preserve"> </w:t>
      </w:r>
      <w:hyperlink r:id="rId30" w:tgtFrame="_blank" w:tooltip="Lietuvos Respublikos baudžiamasis kodeksas" w:history="1">
        <w:r w:rsidRPr="00B504D7">
          <w:rPr>
            <w:rStyle w:val="Hipersaitas"/>
            <w:rFonts w:cs="Times New Roman"/>
            <w:u w:val="none"/>
            <w:shd w:val="clear" w:color="auto" w:fill="FFFFFF"/>
            <w:lang w:val="lt-LT"/>
          </w:rPr>
          <w:t>BK</w:t>
        </w:r>
      </w:hyperlink>
      <w:bookmarkStart w:id="122" w:name="pnfe649e9b-05f7-49cb-9a3b-c7707bdf5760"/>
      <w:bookmarkStart w:id="123" w:name="nd24be213-3fa8-49fe-bb2f-83b47bddf125"/>
      <w:bookmarkEnd w:id="121"/>
      <w:bookmarkEnd w:id="122"/>
      <w:r w:rsidRPr="00B504D7">
        <w:rPr>
          <w:rFonts w:cs="Times New Roman"/>
          <w:shd w:val="clear" w:color="auto" w:fill="FFFFFF"/>
          <w:lang w:val="lt-LT"/>
        </w:rPr>
        <w:t xml:space="preserve"> </w:t>
      </w:r>
      <w:hyperlink r:id="rId31" w:tgtFrame="_blank" w:tooltip="Švelnesnės, negu įstatymo numatyta, bausmės skyrimas" w:history="1">
        <w:r w:rsidRPr="00B504D7">
          <w:rPr>
            <w:rStyle w:val="Hipersaitas"/>
            <w:rFonts w:cs="Times New Roman"/>
            <w:u w:val="none"/>
            <w:shd w:val="clear" w:color="auto" w:fill="FFFFFF"/>
            <w:lang w:val="lt-LT"/>
          </w:rPr>
          <w:t>62</w:t>
        </w:r>
      </w:hyperlink>
      <w:bookmarkStart w:id="124" w:name="pnd24be213-3fa8-49fe-bb2f-83b47bddf125"/>
      <w:bookmarkEnd w:id="123"/>
      <w:bookmarkEnd w:id="124"/>
      <w:r w:rsidRPr="00B504D7">
        <w:rPr>
          <w:rFonts w:cs="Times New Roman"/>
          <w:shd w:val="clear" w:color="auto" w:fill="FFFFFF"/>
          <w:lang w:val="lt-LT"/>
        </w:rPr>
        <w:t xml:space="preserve"> straipsnį, o įstatymo įtvirtintos bausmės paskyrimas būtų aiškiai neproporcingas (neadekvatus) konkrečiam baudžiamojo įstatymo pažeidimui, kaltininko asmenybei ir kitoms bylos aplinkybėms. Taigi šis bausmės švelninimo pagrindas sietinas su aplinkybių, apibūdinančių nusikalstamos veikos pavojingumą ir šią veiką padariusį asmenį, visumos vertinimu bei išvada, kad bendros bausmės skyrimo taisyklės nėra pakankamos teisingumo principui įgyvendinti ir teisingai bausmei paskirti (kasacinės nutartys baudžiamosiose bylose Nr.</w:t>
      </w:r>
      <w:bookmarkStart w:id="125" w:name="nc4ee7332-d8fa-49a6-a755-360620458805"/>
      <w:r w:rsidRPr="00B504D7">
        <w:rPr>
          <w:rFonts w:cs="Times New Roman"/>
          <w:shd w:val="clear" w:color="auto" w:fill="FFFFFF"/>
          <w:lang w:val="lt-LT"/>
        </w:rPr>
        <w:t xml:space="preserve"> </w:t>
      </w:r>
      <w:hyperlink r:id="rId32" w:tgtFrame="_blank" w:tooltip="2K-311/2011 A. B. pagal BK 260 str. 1 d." w:history="1">
        <w:r w:rsidRPr="00B504D7">
          <w:rPr>
            <w:rStyle w:val="Hipersaitas"/>
            <w:rFonts w:cs="Times New Roman"/>
            <w:u w:val="none"/>
            <w:shd w:val="clear" w:color="auto" w:fill="FFFFFF"/>
            <w:lang w:val="lt-LT"/>
          </w:rPr>
          <w:t>2K-311/2011</w:t>
        </w:r>
      </w:hyperlink>
      <w:bookmarkStart w:id="126" w:name="pnc4ee7332-d8fa-49a6-a755-360620458805"/>
      <w:bookmarkEnd w:id="125"/>
      <w:bookmarkEnd w:id="126"/>
      <w:r w:rsidRPr="00B504D7">
        <w:rPr>
          <w:rFonts w:cs="Times New Roman"/>
          <w:shd w:val="clear" w:color="auto" w:fill="FFFFFF"/>
          <w:lang w:val="lt-LT"/>
        </w:rPr>
        <w:t>,</w:t>
      </w:r>
      <w:bookmarkStart w:id="127" w:name="n66e31708-ea2b-4175-ab41-74ca2f9b12e1"/>
      <w:r w:rsidRPr="00B504D7">
        <w:rPr>
          <w:rFonts w:cs="Times New Roman"/>
          <w:shd w:val="clear" w:color="auto" w:fill="FFFFFF"/>
          <w:lang w:val="lt-LT"/>
        </w:rPr>
        <w:t xml:space="preserve"> </w:t>
      </w:r>
      <w:hyperlink r:id="rId33" w:tgtFrame="_blank" w:tooltip="2K-365/2011 Ž. D. pagal BK 182 str. 1 d., 300 str. 1 d." w:history="1">
        <w:r w:rsidRPr="00B504D7">
          <w:rPr>
            <w:rStyle w:val="Hipersaitas"/>
            <w:rFonts w:cs="Times New Roman"/>
            <w:u w:val="none"/>
            <w:shd w:val="clear" w:color="auto" w:fill="FFFFFF"/>
            <w:lang w:val="lt-LT"/>
          </w:rPr>
          <w:t>2K-365/2011</w:t>
        </w:r>
      </w:hyperlink>
      <w:bookmarkStart w:id="128" w:name="pn66e31708-ea2b-4175-ab41-74ca2f9b12e1"/>
      <w:bookmarkEnd w:id="127"/>
      <w:bookmarkEnd w:id="128"/>
      <w:r w:rsidRPr="00B504D7">
        <w:rPr>
          <w:rFonts w:cs="Times New Roman"/>
          <w:shd w:val="clear" w:color="auto" w:fill="FFFFFF"/>
          <w:lang w:val="lt-LT"/>
        </w:rPr>
        <w:t>,</w:t>
      </w:r>
      <w:bookmarkStart w:id="129" w:name="n57692abb-5214-4768-8335-9aaea0123f63"/>
      <w:r w:rsidRPr="00B504D7">
        <w:rPr>
          <w:rFonts w:cs="Times New Roman"/>
          <w:shd w:val="clear" w:color="auto" w:fill="FFFFFF"/>
          <w:lang w:val="lt-LT"/>
        </w:rPr>
        <w:t xml:space="preserve"> </w:t>
      </w:r>
      <w:hyperlink r:id="rId34" w:tgtFrame="_blank" w:tooltip="2K-432/2014 P. N. pagal BK 308 str. 2 d., 307 str. 2 d." w:history="1">
        <w:r w:rsidRPr="00B504D7">
          <w:rPr>
            <w:rStyle w:val="Hipersaitas"/>
            <w:rFonts w:cs="Times New Roman"/>
            <w:u w:val="none"/>
            <w:shd w:val="clear" w:color="auto" w:fill="FFFFFF"/>
            <w:lang w:val="lt-LT"/>
          </w:rPr>
          <w:t>2K-432/2014</w:t>
        </w:r>
      </w:hyperlink>
      <w:bookmarkStart w:id="130" w:name="pn57692abb-5214-4768-8335-9aaea0123f63"/>
      <w:bookmarkEnd w:id="129"/>
      <w:bookmarkEnd w:id="130"/>
      <w:r w:rsidRPr="00B504D7">
        <w:rPr>
          <w:rFonts w:cs="Times New Roman"/>
          <w:shd w:val="clear" w:color="auto" w:fill="FFFFFF"/>
          <w:lang w:val="lt-LT"/>
        </w:rPr>
        <w:t>,</w:t>
      </w:r>
      <w:bookmarkStart w:id="131" w:name="nf7366835-5254-4b3f-9a5a-fcaebc715ffc"/>
      <w:r w:rsidRPr="00B504D7">
        <w:rPr>
          <w:rFonts w:cs="Times New Roman"/>
          <w:shd w:val="clear" w:color="auto" w:fill="FFFFFF"/>
          <w:lang w:val="lt-LT"/>
        </w:rPr>
        <w:t xml:space="preserve"> </w:t>
      </w:r>
      <w:hyperlink r:id="rId35" w:tgtFrame="_blank" w:tooltip="2K-186-942/2015 M. A. pagal BK 182 str. 2 d." w:history="1">
        <w:r w:rsidRPr="00B504D7">
          <w:rPr>
            <w:rStyle w:val="Hipersaitas"/>
            <w:rFonts w:cs="Times New Roman"/>
            <w:u w:val="none"/>
            <w:shd w:val="clear" w:color="auto" w:fill="FFFFFF"/>
            <w:lang w:val="lt-LT"/>
          </w:rPr>
          <w:t>2K-186-942/2015</w:t>
        </w:r>
      </w:hyperlink>
      <w:bookmarkStart w:id="132" w:name="pnf7366835-5254-4b3f-9a5a-fcaebc715ffc"/>
      <w:bookmarkEnd w:id="131"/>
      <w:bookmarkEnd w:id="132"/>
      <w:r w:rsidRPr="00B504D7">
        <w:rPr>
          <w:rFonts w:cs="Times New Roman"/>
          <w:shd w:val="clear" w:color="auto" w:fill="FFFFFF"/>
          <w:lang w:val="lt-LT"/>
        </w:rPr>
        <w:t>,</w:t>
      </w:r>
      <w:bookmarkStart w:id="133" w:name="n172705ef-27ac-483d-9ceb-3f41ccddabd1"/>
      <w:r w:rsidRPr="00B504D7">
        <w:rPr>
          <w:rFonts w:cs="Times New Roman"/>
          <w:shd w:val="clear" w:color="auto" w:fill="FFFFFF"/>
          <w:lang w:val="lt-LT"/>
        </w:rPr>
        <w:t xml:space="preserve"> </w:t>
      </w:r>
      <w:hyperlink r:id="rId36" w:tgtFrame="_blank" w:tooltip="2K-126-693/2018 V. S. pagal BK 260 str. 2 d." w:history="1">
        <w:r w:rsidRPr="00B504D7">
          <w:rPr>
            <w:rStyle w:val="Hipersaitas"/>
            <w:rFonts w:cs="Times New Roman"/>
            <w:u w:val="none"/>
            <w:shd w:val="clear" w:color="auto" w:fill="FFFFFF"/>
            <w:lang w:val="lt-LT"/>
          </w:rPr>
          <w:t>2K-126-693/2018</w:t>
        </w:r>
      </w:hyperlink>
      <w:bookmarkStart w:id="134" w:name="pn172705ef-27ac-483d-9ceb-3f41ccddabd1"/>
      <w:bookmarkEnd w:id="133"/>
      <w:bookmarkEnd w:id="134"/>
      <w:r w:rsidRPr="00B504D7">
        <w:rPr>
          <w:rFonts w:cs="Times New Roman"/>
          <w:shd w:val="clear" w:color="auto" w:fill="FFFFFF"/>
          <w:lang w:val="lt-LT"/>
        </w:rPr>
        <w:t>, 2K-155-719/2022).</w:t>
      </w:r>
      <w:r w:rsidRPr="00B504D7">
        <w:rPr>
          <w:rFonts w:cs="Times New Roman"/>
          <w:lang w:val="lt-LT"/>
        </w:rPr>
        <w:t xml:space="preserve"> </w:t>
      </w:r>
      <w:r w:rsidRPr="00B504D7">
        <w:rPr>
          <w:rFonts w:cs="Times New Roman"/>
          <w:shd w:val="clear" w:color="auto" w:fill="FFFFFF"/>
          <w:lang w:val="lt-LT"/>
        </w:rPr>
        <w:t>Prie išimtinių aplinkybių, apibūdinančių nusikalstamos veikos pavojingumą ir šią veiką padariusį asmenį, visumos galima priskirti toliau dėstomas aplinkybes.</w:t>
      </w:r>
    </w:p>
    <w:p w14:paraId="169A4BA6" w14:textId="3172288A" w:rsidR="002A5F9C" w:rsidRPr="00B504D7" w:rsidRDefault="004F1F30" w:rsidP="002A5F9C">
      <w:pPr>
        <w:pStyle w:val="Pagrindinistekstas"/>
        <w:numPr>
          <w:ilvl w:val="1"/>
          <w:numId w:val="4"/>
        </w:numPr>
        <w:spacing w:after="120"/>
        <w:ind w:left="845" w:hanging="488"/>
        <w:rPr>
          <w:rFonts w:cs="Times New Roman"/>
          <w:lang w:val="lt-LT"/>
        </w:rPr>
      </w:pPr>
      <w:bookmarkStart w:id="135" w:name="Buk_54"/>
      <w:r w:rsidRPr="004F1F30">
        <w:rPr>
          <w:color w:val="auto"/>
          <w:lang w:val="lt-LT"/>
        </w:rPr>
        <w:t xml:space="preserve">V. Š. </w:t>
      </w:r>
      <w:bookmarkEnd w:id="135"/>
      <w:r w:rsidR="002A5F9C" w:rsidRPr="00B504D7">
        <w:rPr>
          <w:lang w:val="lt-LT"/>
        </w:rPr>
        <w:t xml:space="preserve">anksčiau neteistas, nebuvo traukiamas baudžiamojon atsakomybėn ar atleistas nuo jos, teigiamai charakterizuojamas. Prie bylos pateikti dokumentai, susiję su </w:t>
      </w:r>
      <w:bookmarkStart w:id="136" w:name="Buk_103"/>
      <w:r w:rsidRPr="004F1F30">
        <w:rPr>
          <w:color w:val="auto"/>
          <w:lang w:val="lt-LT"/>
        </w:rPr>
        <w:t xml:space="preserve">V. Š. </w:t>
      </w:r>
      <w:bookmarkEnd w:id="136"/>
      <w:r w:rsidR="002A5F9C" w:rsidRPr="00B504D7">
        <w:rPr>
          <w:lang w:val="lt-LT"/>
        </w:rPr>
        <w:t xml:space="preserve">veikla Kauno miesto savivaldybėje, padėkos raštai, pažymėjimai, duomenys, susiję su jo charakteristika ir žmogiškosiomis savybėmis: jis yra atsakingas, patikimas, reiklus, kruopštus, mandagus, komunikabilus, </w:t>
      </w:r>
      <w:r w:rsidR="002A5F9C" w:rsidRPr="00B504D7">
        <w:rPr>
          <w:color w:val="auto"/>
          <w:lang w:val="lt-LT"/>
        </w:rPr>
        <w:t>turintis aukštus moralinius standartus</w:t>
      </w:r>
      <w:r w:rsidR="007167B5" w:rsidRPr="00B504D7">
        <w:rPr>
          <w:color w:val="auto"/>
          <w:lang w:val="lt-LT"/>
        </w:rPr>
        <w:t xml:space="preserve">. </w:t>
      </w:r>
      <w:bookmarkStart w:id="137" w:name="Buk_55"/>
      <w:r w:rsidRPr="004F1F30">
        <w:rPr>
          <w:color w:val="auto"/>
          <w:lang w:val="lt-LT"/>
        </w:rPr>
        <w:t xml:space="preserve">V. Š. </w:t>
      </w:r>
      <w:bookmarkEnd w:id="137"/>
      <w:r w:rsidR="002A5F9C" w:rsidRPr="00B504D7">
        <w:rPr>
          <w:lang w:val="lt-LT"/>
        </w:rPr>
        <w:t xml:space="preserve">faktiškai vienas išlaiko savo šeimą, atlygino nusikaltimu padarytą žalą. </w:t>
      </w:r>
      <w:bookmarkStart w:id="138" w:name="Buk_56"/>
      <w:r w:rsidRPr="004F1F30">
        <w:rPr>
          <w:color w:val="auto"/>
          <w:lang w:val="lt-LT"/>
        </w:rPr>
        <w:t xml:space="preserve">V. Š. </w:t>
      </w:r>
      <w:bookmarkEnd w:id="138"/>
      <w:r w:rsidR="002A5F9C" w:rsidRPr="00B504D7">
        <w:rPr>
          <w:lang w:val="lt-LT"/>
        </w:rPr>
        <w:t xml:space="preserve">buvo pervedęs į pirmosios instancijos teismo depozitinę sąskaitą lėšų – sutiko jas skirti tam, kad būtų vykdoma jo būsima bausmė (bauda). Byloje yra identifikuotos aplinkybės, pasižyminčios savo ypatingumu ir susijusios su </w:t>
      </w:r>
      <w:bookmarkStart w:id="139" w:name="Buk_104"/>
      <w:r w:rsidRPr="004F1F30">
        <w:rPr>
          <w:color w:val="auto"/>
          <w:lang w:val="lt-LT"/>
        </w:rPr>
        <w:t xml:space="preserve">V. Š. </w:t>
      </w:r>
      <w:bookmarkEnd w:id="139"/>
      <w:r w:rsidR="002A5F9C" w:rsidRPr="00B504D7">
        <w:rPr>
          <w:lang w:val="lt-LT"/>
        </w:rPr>
        <w:t xml:space="preserve">ir jo šeimos narių sveikatos būkle. </w:t>
      </w:r>
      <w:r w:rsidR="002A5F9C" w:rsidRPr="00B504D7">
        <w:rPr>
          <w:color w:val="auto"/>
          <w:lang w:val="lt-LT"/>
        </w:rPr>
        <w:t xml:space="preserve">Byla pirmosios instancijos teisme buvo išnagrinėta iš esmės per vieną teisiamąjį posėdį, o apeliacinės instancijos teisme išnagrinėta per du posėdžius. Teismų praktika tokio pobūdžio bylose yra plėtojama ta kryptimi, kad teismas pirmą kartą teisiamam asmeniui paprastai skiria su laisvės atėmimu nesusijusias bausmes. Gynybos nurodyti procesiniai pažeidimai, susiję tiek su kriminaline žvalgyba, tiek </w:t>
      </w:r>
      <w:r w:rsidR="002A5F9C" w:rsidRPr="00B504D7">
        <w:rPr>
          <w:color w:val="auto"/>
          <w:lang w:val="lt-LT"/>
        </w:rPr>
        <w:lastRenderedPageBreak/>
        <w:t xml:space="preserve">su ikiteisminio tyrimo metu atliktais proceso veiksmais, jų gausa ir pobūdis patvirtina, kad buvo pagrindas taikyti BK 54 straipsnio 3 dalies nuostatas. </w:t>
      </w:r>
      <w:bookmarkStart w:id="140" w:name="Buk_57"/>
      <w:r w:rsidRPr="004F1F30">
        <w:rPr>
          <w:color w:val="auto"/>
          <w:lang w:val="lt-LT"/>
        </w:rPr>
        <w:t xml:space="preserve">V. Š. </w:t>
      </w:r>
      <w:bookmarkEnd w:id="140"/>
      <w:r w:rsidR="002A5F9C" w:rsidRPr="00B504D7">
        <w:rPr>
          <w:color w:val="auto"/>
          <w:lang w:val="lt-LT"/>
        </w:rPr>
        <w:t xml:space="preserve">savo iniciatyva suteikė STT ir prokuratūrai informaciją dėl virš 30 skirtingų nusikalstamų veikų, įvykdytų organizuotos grupės narių Kauno miesto savivaldybėje. Dėl šių veikų buvo pradėtas ikiteisminis tyrimas. </w:t>
      </w:r>
      <w:bookmarkStart w:id="141" w:name="Buk_105"/>
      <w:r w:rsidRPr="004F1F30">
        <w:rPr>
          <w:color w:val="auto"/>
          <w:lang w:val="lt-LT"/>
        </w:rPr>
        <w:t xml:space="preserve">V. Š. </w:t>
      </w:r>
      <w:bookmarkEnd w:id="141"/>
      <w:r w:rsidR="002A5F9C" w:rsidRPr="00B504D7">
        <w:rPr>
          <w:lang w:val="lt-LT"/>
        </w:rPr>
        <w:t xml:space="preserve">padarytai nusikalstamai veikai nėra būdingas </w:t>
      </w:r>
      <w:r w:rsidR="002A5F9C" w:rsidRPr="00B504D7">
        <w:rPr>
          <w:color w:val="auto"/>
          <w:lang w:val="lt-LT"/>
        </w:rPr>
        <w:t xml:space="preserve">didesnis nei rūšinis nusikalstamų veikų pavojingumas, nes byloje nėra jokių duomenų, kad šia veika buvo padaryta itin didelė ir ilgalaikė nepataisoma žala Kauno miesto savivaldybei ir jos bendruomenei. </w:t>
      </w:r>
      <w:r w:rsidR="002A5F9C" w:rsidRPr="00B504D7">
        <w:rPr>
          <w:lang w:val="lt-LT"/>
        </w:rPr>
        <w:t xml:space="preserve">Nebuvo nustatyti jokie </w:t>
      </w:r>
      <w:bookmarkStart w:id="142" w:name="Buk_106"/>
      <w:r w:rsidRPr="004F1F30">
        <w:rPr>
          <w:color w:val="auto"/>
          <w:lang w:val="lt-LT"/>
        </w:rPr>
        <w:t xml:space="preserve">V. Š. </w:t>
      </w:r>
      <w:bookmarkEnd w:id="142"/>
      <w:r w:rsidR="002A5F9C" w:rsidRPr="00B504D7">
        <w:rPr>
          <w:lang w:val="lt-LT"/>
        </w:rPr>
        <w:t xml:space="preserve">vadovavimo laikotarpiu jo padaryti tarnybiniai (drausminiai) nusižengimai, jis nebuvo trauktas </w:t>
      </w:r>
      <w:proofErr w:type="spellStart"/>
      <w:r w:rsidR="002A5F9C" w:rsidRPr="00B504D7">
        <w:rPr>
          <w:lang w:val="lt-LT"/>
        </w:rPr>
        <w:t>tarnybinėn</w:t>
      </w:r>
      <w:proofErr w:type="spellEnd"/>
      <w:r w:rsidR="002A5F9C" w:rsidRPr="00B504D7">
        <w:rPr>
          <w:lang w:val="lt-LT"/>
        </w:rPr>
        <w:t xml:space="preserve"> (</w:t>
      </w:r>
      <w:proofErr w:type="spellStart"/>
      <w:r w:rsidR="002A5F9C" w:rsidRPr="00B504D7">
        <w:rPr>
          <w:lang w:val="lt-LT"/>
        </w:rPr>
        <w:t>drausminėn</w:t>
      </w:r>
      <w:proofErr w:type="spellEnd"/>
      <w:r w:rsidR="002A5F9C" w:rsidRPr="00B504D7">
        <w:rPr>
          <w:lang w:val="lt-LT"/>
        </w:rPr>
        <w:t>) atsakomybėn, priešingai, tik skatintas.</w:t>
      </w:r>
      <w:r w:rsidR="002A5F9C" w:rsidRPr="00B504D7">
        <w:rPr>
          <w:color w:val="auto"/>
          <w:lang w:val="lt-LT"/>
        </w:rPr>
        <w:t xml:space="preserve"> </w:t>
      </w:r>
      <w:r w:rsidR="002A5F9C" w:rsidRPr="00B504D7">
        <w:rPr>
          <w:rFonts w:cs="Times New Roman"/>
          <w:lang w:val="lt-LT"/>
        </w:rPr>
        <w:t>Taigi visas prieš tai paminėtų ir aptartų aplinkybių spektras patvirtina, kad egzistuoja ne viena, o visuma išimtinių aplinkybių, kurios leido pirmosios instancijos teismui taikyti BK 54 straipsnio 3 dalies nuostatas.</w:t>
      </w:r>
    </w:p>
    <w:p w14:paraId="3854D0D5" w14:textId="77777777" w:rsidR="002A5F9C" w:rsidRPr="00B504D7" w:rsidRDefault="002A5F9C" w:rsidP="002A5F9C">
      <w:pPr>
        <w:pStyle w:val="Pagrindinistekstas"/>
        <w:numPr>
          <w:ilvl w:val="1"/>
          <w:numId w:val="4"/>
        </w:numPr>
        <w:spacing w:after="120"/>
        <w:ind w:left="845" w:hanging="488"/>
        <w:rPr>
          <w:rFonts w:cs="Times New Roman"/>
          <w:lang w:val="lt-LT"/>
        </w:rPr>
      </w:pPr>
      <w:r w:rsidRPr="00B504D7">
        <w:rPr>
          <w:rFonts w:cs="Times New Roman"/>
          <w:lang w:val="lt-LT"/>
        </w:rPr>
        <w:t>Kita vertus, kasacinėje nutartyje baudžiamojoje byloje Nr. 2K-316-788/2019 yra pasisakyta, kad nors nurodytos aplinkybės ir nepasižymi išskirtinumu, tačiau švelnesnės bausmės paskyrimą lemia jų visumos vertinimas bei išvada, kad net minimalios, bet itin griežtos bausmės taikymas neatitiktų teisingumo principo.</w:t>
      </w:r>
    </w:p>
    <w:p w14:paraId="428E860C" w14:textId="56C589D2" w:rsidR="00AC319F" w:rsidRPr="00B504D7" w:rsidRDefault="002A5F9C" w:rsidP="002A5F9C">
      <w:pPr>
        <w:pStyle w:val="Pagrindinistekstas"/>
        <w:numPr>
          <w:ilvl w:val="1"/>
          <w:numId w:val="4"/>
        </w:numPr>
        <w:ind w:left="845" w:hanging="488"/>
        <w:rPr>
          <w:rFonts w:cs="Times New Roman"/>
          <w:lang w:val="lt-LT"/>
        </w:rPr>
      </w:pPr>
      <w:r w:rsidRPr="00B504D7">
        <w:rPr>
          <w:rFonts w:cs="Times New Roman"/>
          <w:lang w:val="lt-LT"/>
        </w:rPr>
        <w:t>Nagrinėjamai situacijai yra svarbus ir kitas dalykas – valdžios institucijų, atsakingų už teisės aktų priėmimą, baudžiamoji politika, jos gairės ir pokyčiai teisiniame reguliavime. Manytina, kad apeliacinės instancijos teismas suklydo, nes neįsigilino į teisės aktų projektus ir jų lydimuosius dokumentus, taip suponuodamas teisės taikymo klaidą. Lietuvos Respublikos Vyriausybė 2023 m. rugsėjo 6 d. nutarimu Nr. 707</w:t>
      </w:r>
      <w:bookmarkStart w:id="143" w:name="part_319c384fd2ae42b689a77854c16f094c"/>
      <w:bookmarkStart w:id="144" w:name="part_b2f99ef5053549bea5c6acebcf966c09"/>
      <w:bookmarkEnd w:id="143"/>
      <w:bookmarkEnd w:id="144"/>
      <w:r w:rsidRPr="00B504D7">
        <w:rPr>
          <w:rFonts w:cs="Times New Roman"/>
          <w:lang w:val="lt-LT"/>
        </w:rPr>
        <w:t xml:space="preserve"> pritarė BK pakeitimo ir jo papildymo projektams ir pateikė juos Lietuvos Respublikos Seimui svarstyti. Įstatymo projekte numatyti tam tikri sisteminiai BK pakeitimai, kurie iš esmės keičia baudžiamosios atsakomybės taikymo standartus ir numato ženkliai lengvesnes nuostatas tokias veikas padariusiems asmenims, taip būtų suteikiama pirmenybė kitoms bausmėms, o ne laisvės atėmimui. Šie pakeitimai buvo priimti Lietuvos Respublikos Seimo 2024 m. balandžio 25 d. įstatymu Nr. XIV-2573 ir įsigalios 2024 m. lapkričio 1 d. </w:t>
      </w:r>
    </w:p>
    <w:p w14:paraId="24F9E102" w14:textId="77777777" w:rsidR="00A30CAC" w:rsidRPr="00B504D7" w:rsidRDefault="00A30CAC" w:rsidP="00392D46">
      <w:pPr>
        <w:pStyle w:val="Pagrindinistekstas"/>
        <w:ind w:left="845"/>
        <w:rPr>
          <w:rFonts w:cs="Times New Roman"/>
          <w:lang w:val="lt-LT"/>
        </w:rPr>
      </w:pPr>
    </w:p>
    <w:p w14:paraId="2139E2F8" w14:textId="1E643EB2" w:rsidR="00A30CAC" w:rsidRPr="00B504D7" w:rsidRDefault="00000000" w:rsidP="006D107D">
      <w:pPr>
        <w:pStyle w:val="Pagrindinistekstas"/>
        <w:jc w:val="center"/>
        <w:rPr>
          <w:rFonts w:cs="Times New Roman"/>
          <w:lang w:val="lt-LT"/>
        </w:rPr>
      </w:pPr>
      <w:r w:rsidRPr="00B504D7">
        <w:rPr>
          <w:rFonts w:cs="Times New Roman"/>
          <w:lang w:val="lt-LT"/>
        </w:rPr>
        <w:t>I</w:t>
      </w:r>
      <w:r w:rsidR="00EF73B5" w:rsidRPr="00B504D7">
        <w:rPr>
          <w:rFonts w:cs="Times New Roman"/>
          <w:lang w:val="lt-LT"/>
        </w:rPr>
        <w:t>V</w:t>
      </w:r>
      <w:r w:rsidRPr="00B504D7">
        <w:rPr>
          <w:rFonts w:cs="Times New Roman"/>
          <w:lang w:val="lt-LT"/>
        </w:rPr>
        <w:t>. Kasacinės instancijos teismo argumentai ir išvados</w:t>
      </w:r>
    </w:p>
    <w:p w14:paraId="44C50462" w14:textId="77777777" w:rsidR="00A30CAC" w:rsidRPr="00B504D7" w:rsidRDefault="00A30CAC" w:rsidP="000071F2">
      <w:pPr>
        <w:pStyle w:val="Pagrindinistekstas"/>
        <w:ind w:left="357"/>
        <w:jc w:val="center"/>
        <w:rPr>
          <w:rFonts w:cs="Times New Roman"/>
          <w:lang w:val="lt-LT"/>
        </w:rPr>
      </w:pPr>
    </w:p>
    <w:p w14:paraId="0C739AA6" w14:textId="2792404B" w:rsidR="00FD3D6A" w:rsidRPr="00B504D7" w:rsidRDefault="00406156" w:rsidP="00FD3D6A">
      <w:pPr>
        <w:pStyle w:val="Pagrindinistekstas"/>
        <w:numPr>
          <w:ilvl w:val="0"/>
          <w:numId w:val="2"/>
        </w:numPr>
        <w:rPr>
          <w:rFonts w:cs="Times New Roman"/>
          <w:color w:val="auto"/>
          <w:lang w:val="lt-LT"/>
        </w:rPr>
      </w:pPr>
      <w:r w:rsidRPr="00B504D7">
        <w:rPr>
          <w:rFonts w:cs="Times New Roman"/>
          <w:lang w:val="lt-LT"/>
        </w:rPr>
        <w:t>Prokuror</w:t>
      </w:r>
      <w:r w:rsidR="00F378FC" w:rsidRPr="00B504D7">
        <w:rPr>
          <w:rFonts w:cs="Times New Roman"/>
          <w:lang w:val="lt-LT"/>
        </w:rPr>
        <w:t>o</w:t>
      </w:r>
      <w:r w:rsidRPr="00B504D7">
        <w:rPr>
          <w:rFonts w:cs="Times New Roman"/>
          <w:lang w:val="lt-LT"/>
        </w:rPr>
        <w:t xml:space="preserve"> </w:t>
      </w:r>
      <w:r w:rsidR="00FE2E1F" w:rsidRPr="00B504D7">
        <w:rPr>
          <w:rFonts w:cs="Times New Roman"/>
          <w:lang w:val="lt-LT"/>
        </w:rPr>
        <w:t xml:space="preserve">ir nuteistojo gynėjo </w:t>
      </w:r>
      <w:r w:rsidRPr="00B504D7">
        <w:rPr>
          <w:rFonts w:cs="Times New Roman"/>
          <w:lang w:val="lt-LT"/>
        </w:rPr>
        <w:t>kasacini</w:t>
      </w:r>
      <w:r w:rsidR="00FE2E1F" w:rsidRPr="00B504D7">
        <w:rPr>
          <w:rFonts w:cs="Times New Roman"/>
          <w:lang w:val="lt-LT"/>
        </w:rPr>
        <w:t>ai</w:t>
      </w:r>
      <w:r w:rsidRPr="00B504D7">
        <w:rPr>
          <w:rFonts w:cs="Times New Roman"/>
          <w:lang w:val="lt-LT"/>
        </w:rPr>
        <w:t xml:space="preserve"> </w:t>
      </w:r>
      <w:r w:rsidRPr="00B504D7">
        <w:rPr>
          <w:rFonts w:cs="Times New Roman"/>
          <w:color w:val="auto"/>
          <w:lang w:val="lt-LT"/>
        </w:rPr>
        <w:t>skunda</w:t>
      </w:r>
      <w:r w:rsidR="00FE2E1F" w:rsidRPr="00B504D7">
        <w:rPr>
          <w:rFonts w:cs="Times New Roman"/>
          <w:color w:val="auto"/>
          <w:lang w:val="lt-LT"/>
        </w:rPr>
        <w:t>i atmestini</w:t>
      </w:r>
      <w:r w:rsidRPr="00B504D7">
        <w:rPr>
          <w:rFonts w:cs="Times New Roman"/>
          <w:color w:val="auto"/>
          <w:lang w:val="lt-LT"/>
        </w:rPr>
        <w:t>.</w:t>
      </w:r>
    </w:p>
    <w:p w14:paraId="19401CDB" w14:textId="77777777" w:rsidR="00953F05" w:rsidRPr="00B504D7" w:rsidRDefault="00953F05" w:rsidP="00C97F82">
      <w:pPr>
        <w:pStyle w:val="Default"/>
        <w:spacing w:before="0" w:line="240" w:lineRule="auto"/>
        <w:ind w:firstLine="357"/>
        <w:rPr>
          <w:rFonts w:ascii="Times New Roman" w:hAnsi="Times New Roman" w:cs="Times New Roman"/>
          <w:i/>
          <w:iCs/>
          <w:lang w:val="lt-LT"/>
        </w:rPr>
      </w:pPr>
    </w:p>
    <w:p w14:paraId="6C2B347D" w14:textId="3EC4A6CF" w:rsidR="0023243C" w:rsidRPr="00B504D7" w:rsidRDefault="0023243C" w:rsidP="00C97F82">
      <w:pPr>
        <w:pStyle w:val="Default"/>
        <w:spacing w:before="0" w:line="240" w:lineRule="auto"/>
        <w:ind w:firstLine="357"/>
        <w:rPr>
          <w:rFonts w:ascii="Times New Roman" w:eastAsia="Times New Roman" w:hAnsi="Times New Roman" w:cs="Times New Roman"/>
          <w:i/>
          <w:iCs/>
          <w:shd w:val="clear" w:color="auto" w:fill="FFFFFF"/>
          <w:lang w:val="lt-LT"/>
        </w:rPr>
      </w:pPr>
      <w:r w:rsidRPr="00B504D7">
        <w:rPr>
          <w:rFonts w:ascii="Times New Roman" w:hAnsi="Times New Roman" w:cs="Times New Roman"/>
          <w:i/>
          <w:iCs/>
          <w:lang w:val="lt-LT"/>
        </w:rPr>
        <w:t xml:space="preserve">Dėl </w:t>
      </w:r>
      <w:r w:rsidRPr="00B504D7">
        <w:rPr>
          <w:rFonts w:ascii="Times New Roman" w:hAnsi="Times New Roman" w:cs="Times New Roman"/>
          <w:i/>
          <w:iCs/>
          <w:shd w:val="clear" w:color="auto" w:fill="FFFFFF"/>
          <w:lang w:val="lt-LT"/>
        </w:rPr>
        <w:t>bylos nagrinėjimo kasacine tvarka ribų</w:t>
      </w:r>
    </w:p>
    <w:p w14:paraId="508988FC" w14:textId="77777777" w:rsidR="0023243C" w:rsidRPr="00B504D7" w:rsidRDefault="0023243C" w:rsidP="00C97F82">
      <w:pPr>
        <w:pStyle w:val="Default"/>
        <w:spacing w:before="0" w:line="240" w:lineRule="auto"/>
        <w:rPr>
          <w:rFonts w:ascii="Times New Roman" w:eastAsia="Times New Roman" w:hAnsi="Times New Roman" w:cs="Times New Roman"/>
          <w:i/>
          <w:iCs/>
          <w:shd w:val="clear" w:color="auto" w:fill="FFFFFF"/>
          <w:lang w:val="lt-LT"/>
        </w:rPr>
      </w:pPr>
    </w:p>
    <w:p w14:paraId="3202E941" w14:textId="55A73B50" w:rsidR="00E11E00" w:rsidRPr="00B504D7" w:rsidRDefault="0023243C" w:rsidP="00B23BA3">
      <w:pPr>
        <w:pStyle w:val="Pagrindinistekstas"/>
        <w:numPr>
          <w:ilvl w:val="0"/>
          <w:numId w:val="2"/>
        </w:numPr>
        <w:spacing w:after="120"/>
        <w:rPr>
          <w:rFonts w:cs="Times New Roman"/>
          <w:lang w:val="lt-LT"/>
        </w:rPr>
      </w:pPr>
      <w:r w:rsidRPr="00B504D7">
        <w:rPr>
          <w:rFonts w:cs="Times New Roman"/>
          <w:lang w:val="lt-LT"/>
        </w:rPr>
        <w:t>Kasacinės instancijos teismas priimtus nuosprendžius ir nutartis, dėl kurių paduotas kasacinis skundas, tikrina teisės taikymo aspektu (</w:t>
      </w:r>
      <w:hyperlink r:id="rId37" w:history="1">
        <w:r w:rsidRPr="00B504D7">
          <w:rPr>
            <w:rFonts w:cs="Times New Roman"/>
            <w:lang w:val="lt-LT"/>
          </w:rPr>
          <w:t>BPK</w:t>
        </w:r>
      </w:hyperlink>
      <w:r w:rsidRPr="00B504D7">
        <w:rPr>
          <w:rFonts w:cs="Times New Roman"/>
          <w:lang w:val="lt-LT"/>
        </w:rPr>
        <w:t xml:space="preserve"> 376 straipsnio 1 dalis). Tai reiškia, kad kasacinės instancijos teismas byloje surinktų įrodymų iš naujo nevertina, naujų įrodymų nerenka ir faktinių bylos aplinkybių nenustato. Ar teisingai įvertinti įrodymai ir nustatytos faktinės bylos aplinkybės, sprendžia apeliacinės instancijos teismas (kasacinės nutartys baudžiamosiose bylose Nr. </w:t>
      </w:r>
      <w:hyperlink r:id="rId38" w:history="1">
        <w:r w:rsidRPr="00B504D7">
          <w:rPr>
            <w:rFonts w:cs="Times New Roman"/>
            <w:lang w:val="lt-LT"/>
          </w:rPr>
          <w:t>2K-P-181/2008</w:t>
        </w:r>
      </w:hyperlink>
      <w:r w:rsidRPr="00B504D7">
        <w:rPr>
          <w:rFonts w:cs="Times New Roman"/>
          <w:lang w:val="lt-LT"/>
        </w:rPr>
        <w:t xml:space="preserve">, </w:t>
      </w:r>
      <w:hyperlink r:id="rId39" w:history="1">
        <w:r w:rsidRPr="00B504D7">
          <w:rPr>
            <w:rFonts w:cs="Times New Roman"/>
            <w:lang w:val="lt-LT"/>
          </w:rPr>
          <w:t>2K-7-107/2013</w:t>
        </w:r>
      </w:hyperlink>
      <w:r w:rsidRPr="00B504D7">
        <w:rPr>
          <w:rFonts w:cs="Times New Roman"/>
          <w:lang w:val="lt-LT"/>
        </w:rPr>
        <w:t xml:space="preserve">, </w:t>
      </w:r>
      <w:hyperlink r:id="rId40" w:history="1">
        <w:r w:rsidRPr="00B504D7">
          <w:rPr>
            <w:rFonts w:cs="Times New Roman"/>
            <w:lang w:val="lt-LT"/>
          </w:rPr>
          <w:t>2K-7-88/2014</w:t>
        </w:r>
      </w:hyperlink>
      <w:r w:rsidRPr="00B504D7">
        <w:rPr>
          <w:rFonts w:cs="Times New Roman"/>
          <w:lang w:val="lt-LT"/>
        </w:rPr>
        <w:t xml:space="preserve">, </w:t>
      </w:r>
      <w:hyperlink r:id="rId41" w:history="1">
        <w:r w:rsidRPr="00B504D7">
          <w:rPr>
            <w:rFonts w:cs="Times New Roman"/>
            <w:lang w:val="lt-LT"/>
          </w:rPr>
          <w:t>2K-148-719/2020</w:t>
        </w:r>
      </w:hyperlink>
      <w:r w:rsidRPr="00B504D7">
        <w:rPr>
          <w:rFonts w:cs="Times New Roman"/>
          <w:lang w:val="lt-LT"/>
        </w:rPr>
        <w:t xml:space="preserve">, </w:t>
      </w:r>
      <w:hyperlink r:id="rId42" w:history="1">
        <w:r w:rsidRPr="00B504D7">
          <w:rPr>
            <w:rFonts w:cs="Times New Roman"/>
            <w:lang w:val="lt-LT"/>
          </w:rPr>
          <w:t>2K-75-511/2022</w:t>
        </w:r>
      </w:hyperlink>
      <w:r w:rsidRPr="00B504D7">
        <w:rPr>
          <w:rFonts w:cs="Times New Roman"/>
          <w:lang w:val="lt-LT"/>
        </w:rPr>
        <w:t xml:space="preserve">, </w:t>
      </w:r>
      <w:hyperlink r:id="rId43" w:history="1">
        <w:r w:rsidRPr="00B504D7">
          <w:rPr>
            <w:rFonts w:cs="Times New Roman"/>
            <w:lang w:val="lt-LT"/>
          </w:rPr>
          <w:t>2K-58-719/2023</w:t>
        </w:r>
      </w:hyperlink>
      <w:r w:rsidRPr="00B504D7">
        <w:rPr>
          <w:rFonts w:cs="Times New Roman"/>
          <w:lang w:val="lt-LT"/>
        </w:rPr>
        <w:t>). Skundžiamų teismų sprendimų teisėtumas kasacine tvarka tikrinamas vadovaujantis sprendimuose nustatytomis bylos aplinkybėmis (kasacinės nutartys baudžiamosiose bylose Nr. </w:t>
      </w:r>
      <w:hyperlink r:id="rId44" w:history="1">
        <w:r w:rsidRPr="00B504D7">
          <w:rPr>
            <w:rFonts w:cs="Times New Roman"/>
            <w:lang w:val="lt-LT"/>
          </w:rPr>
          <w:t>2K-P-9/2012</w:t>
        </w:r>
      </w:hyperlink>
      <w:r w:rsidRPr="00B504D7">
        <w:rPr>
          <w:rFonts w:cs="Times New Roman"/>
          <w:lang w:val="lt-LT"/>
        </w:rPr>
        <w:t xml:space="preserve">, </w:t>
      </w:r>
      <w:hyperlink r:id="rId45" w:history="1">
        <w:r w:rsidRPr="00B504D7">
          <w:rPr>
            <w:rFonts w:cs="Times New Roman"/>
            <w:lang w:val="lt-LT"/>
          </w:rPr>
          <w:t>2K-P-89/2014</w:t>
        </w:r>
      </w:hyperlink>
      <w:r w:rsidRPr="00B504D7">
        <w:rPr>
          <w:rFonts w:cs="Times New Roman"/>
          <w:lang w:val="lt-LT"/>
        </w:rPr>
        <w:t xml:space="preserve">, </w:t>
      </w:r>
      <w:hyperlink r:id="rId46" w:history="1">
        <w:r w:rsidRPr="00B504D7">
          <w:rPr>
            <w:rFonts w:cs="Times New Roman"/>
            <w:lang w:val="lt-LT"/>
          </w:rPr>
          <w:t>2K-P-58-697/2019</w:t>
        </w:r>
      </w:hyperlink>
      <w:r w:rsidRPr="00B504D7">
        <w:rPr>
          <w:rFonts w:cs="Times New Roman"/>
          <w:lang w:val="lt-LT"/>
        </w:rPr>
        <w:t xml:space="preserve">, </w:t>
      </w:r>
      <w:hyperlink r:id="rId47" w:history="1">
        <w:r w:rsidRPr="00B504D7">
          <w:rPr>
            <w:rFonts w:cs="Times New Roman"/>
            <w:lang w:val="lt-LT"/>
          </w:rPr>
          <w:t>2K-43-489/2020</w:t>
        </w:r>
      </w:hyperlink>
      <w:r w:rsidRPr="00B504D7">
        <w:rPr>
          <w:rFonts w:cs="Times New Roman"/>
          <w:lang w:val="lt-LT"/>
        </w:rPr>
        <w:t xml:space="preserve">, </w:t>
      </w:r>
      <w:hyperlink r:id="rId48" w:history="1">
        <w:r w:rsidRPr="00B504D7">
          <w:rPr>
            <w:rFonts w:cs="Times New Roman"/>
            <w:lang w:val="lt-LT"/>
          </w:rPr>
          <w:t>2K-143-788/2022</w:t>
        </w:r>
      </w:hyperlink>
      <w:r w:rsidRPr="00B504D7">
        <w:rPr>
          <w:rFonts w:cs="Times New Roman"/>
          <w:lang w:val="lt-LT"/>
        </w:rPr>
        <w:t xml:space="preserve">). Kartu pažymėtina, kad kasaciniame skunde turi būti nurodyti teisiniai argumentai, pagrindžiantys </w:t>
      </w:r>
      <w:hyperlink r:id="rId49" w:history="1">
        <w:r w:rsidRPr="00B504D7">
          <w:rPr>
            <w:rFonts w:cs="Times New Roman"/>
            <w:lang w:val="lt-LT"/>
          </w:rPr>
          <w:t>BPK</w:t>
        </w:r>
      </w:hyperlink>
      <w:r w:rsidRPr="00B504D7">
        <w:rPr>
          <w:rFonts w:cs="Times New Roman"/>
          <w:lang w:val="lt-LT"/>
        </w:rPr>
        <w:t xml:space="preserve"> 369 straipsnyje nurodytų apskundimo ir bylos nagrinėjimo kasacine tvarka pagrindų buvimą (</w:t>
      </w:r>
      <w:hyperlink r:id="rId50" w:history="1">
        <w:r w:rsidRPr="00B504D7">
          <w:rPr>
            <w:rFonts w:cs="Times New Roman"/>
            <w:lang w:val="lt-LT"/>
          </w:rPr>
          <w:t>BPK</w:t>
        </w:r>
      </w:hyperlink>
      <w:r w:rsidRPr="00B504D7">
        <w:rPr>
          <w:rFonts w:cs="Times New Roman"/>
          <w:lang w:val="lt-LT"/>
        </w:rPr>
        <w:t xml:space="preserve"> 368 straipsnio 2 dalis). Taigi tai reiškia, kad formalus nesutikimas su nepalankiais teismų sprendimais, dėstant įstatymų nuostatas, cituojant teismų praktiką, pateikiant savą įrodymų interpretavimą ir savaip nustatant veikos faktines aplinkybes, nėra vienas iš apskundimo ir bylos nagrinėjimo kasacine tvarka pagrindų, juo labiau grindžiamas teisiniais argumentais (kasacinės nutartys baudžiamosiose bylose Nr. </w:t>
      </w:r>
      <w:hyperlink r:id="rId51" w:history="1">
        <w:r w:rsidRPr="00B504D7">
          <w:rPr>
            <w:rFonts w:cs="Times New Roman"/>
            <w:lang w:val="lt-LT"/>
          </w:rPr>
          <w:t>2K-200-697/2023</w:t>
        </w:r>
      </w:hyperlink>
      <w:r w:rsidRPr="00B504D7">
        <w:rPr>
          <w:rFonts w:cs="Times New Roman"/>
          <w:lang w:val="lt-LT"/>
        </w:rPr>
        <w:t>, 2K-149-648/2023</w:t>
      </w:r>
      <w:r w:rsidR="00C1055B" w:rsidRPr="00B504D7">
        <w:rPr>
          <w:rFonts w:cs="Times New Roman"/>
          <w:lang w:val="lt-LT"/>
        </w:rPr>
        <w:t xml:space="preserve">, </w:t>
      </w:r>
      <w:r w:rsidR="00DF3F83" w:rsidRPr="00B504D7">
        <w:rPr>
          <w:rFonts w:cs="Times New Roman"/>
          <w:lang w:val="lt-LT"/>
        </w:rPr>
        <w:t>2K-4-594/2024</w:t>
      </w:r>
      <w:r w:rsidRPr="00B504D7">
        <w:rPr>
          <w:rFonts w:cs="Times New Roman"/>
          <w:lang w:val="lt-LT"/>
        </w:rPr>
        <w:t>).</w:t>
      </w:r>
    </w:p>
    <w:p w14:paraId="6C0F1F87" w14:textId="637F4A86" w:rsidR="009C320B" w:rsidRPr="00B504D7" w:rsidRDefault="009C320B" w:rsidP="00C83CD2">
      <w:pPr>
        <w:pStyle w:val="Pagrindinistekstas"/>
        <w:numPr>
          <w:ilvl w:val="0"/>
          <w:numId w:val="2"/>
        </w:numPr>
        <w:spacing w:after="120"/>
        <w:rPr>
          <w:lang w:val="lt-LT"/>
        </w:rPr>
      </w:pPr>
      <w:r w:rsidRPr="00B504D7">
        <w:rPr>
          <w:lang w:val="lt-LT"/>
        </w:rPr>
        <w:lastRenderedPageBreak/>
        <w:t xml:space="preserve">Kaip matyti iš nuteistojo gynėjo kasacinio skundo, jis savo turiniu iš esmės yra tapatus jo apeliaciniam skundui. Didžioji dauguma kasaciniame skunde keliamų klausimų yra grindžiami savaip pateikiama įstatymų interpretacija, nesutikimu su apeliacinės instancijos teismo padarytomis išvadomis, pateikiant ir savą byloje nustatytų aplinkybių bei įrodymų vertinimą, </w:t>
      </w:r>
      <w:r w:rsidR="00162DB7" w:rsidRPr="00B504D7">
        <w:rPr>
          <w:lang w:val="lt-LT"/>
        </w:rPr>
        <w:t xml:space="preserve">juos </w:t>
      </w:r>
      <w:r w:rsidRPr="00B504D7">
        <w:rPr>
          <w:lang w:val="lt-LT"/>
        </w:rPr>
        <w:t xml:space="preserve">dirbtinai siejant su argumentais, kuriais siekiama švelnesnės bausmės nuteistajam. </w:t>
      </w:r>
      <w:r w:rsidR="00EF5B5F" w:rsidRPr="00B504D7">
        <w:rPr>
          <w:lang w:val="lt-LT"/>
        </w:rPr>
        <w:t>Į</w:t>
      </w:r>
      <w:r w:rsidRPr="00B504D7">
        <w:rPr>
          <w:lang w:val="lt-LT"/>
        </w:rPr>
        <w:t>rodymų leistinumas</w:t>
      </w:r>
      <w:r w:rsidR="00EF5B5F" w:rsidRPr="00B504D7">
        <w:rPr>
          <w:lang w:val="lt-LT"/>
        </w:rPr>
        <w:t xml:space="preserve"> ginčijamas ne teisiniais argumentais, </w:t>
      </w:r>
      <w:r w:rsidRPr="00B504D7">
        <w:rPr>
          <w:lang w:val="lt-LT"/>
        </w:rPr>
        <w:t xml:space="preserve">o gynėjo prielaidomis, todėl tokio pobūdžio kasacinio skundo </w:t>
      </w:r>
      <w:r w:rsidR="00956385" w:rsidRPr="00B504D7">
        <w:rPr>
          <w:lang w:val="lt-LT"/>
        </w:rPr>
        <w:t>argumentai</w:t>
      </w:r>
      <w:r w:rsidRPr="00B504D7">
        <w:rPr>
          <w:lang w:val="lt-LT"/>
        </w:rPr>
        <w:t xml:space="preserve"> </w:t>
      </w:r>
      <w:r w:rsidR="00EF5B5F" w:rsidRPr="00B504D7">
        <w:rPr>
          <w:lang w:val="lt-LT"/>
        </w:rPr>
        <w:t>nebus n</w:t>
      </w:r>
      <w:r w:rsidRPr="00B504D7">
        <w:rPr>
          <w:lang w:val="lt-LT"/>
        </w:rPr>
        <w:t>agrinėjami</w:t>
      </w:r>
      <w:r w:rsidR="00EF5B5F" w:rsidRPr="00B504D7">
        <w:rPr>
          <w:lang w:val="lt-LT"/>
        </w:rPr>
        <w:t xml:space="preserve">. </w:t>
      </w:r>
      <w:r w:rsidRPr="00B504D7">
        <w:rPr>
          <w:lang w:val="lt-LT"/>
        </w:rPr>
        <w:t xml:space="preserve">Pažymėtina, kad nagrinėjamoje byloje kaltinamasis aktas su byla buvo perduotas pirmosios instancijos teismui tik dėl </w:t>
      </w:r>
      <w:bookmarkStart w:id="145" w:name="Buk_107"/>
      <w:r w:rsidR="004F1F30" w:rsidRPr="004F1F30">
        <w:rPr>
          <w:color w:val="auto"/>
          <w:lang w:val="lt-LT"/>
        </w:rPr>
        <w:t>V. Š.</w:t>
      </w:r>
      <w:bookmarkEnd w:id="145"/>
      <w:r w:rsidRPr="00B504D7">
        <w:rPr>
          <w:lang w:val="lt-LT"/>
        </w:rPr>
        <w:t xml:space="preserve">, atitinkamai apkaltinamuoju nuosprendžiu buvo nuteistas tik </w:t>
      </w:r>
      <w:bookmarkStart w:id="146" w:name="Buk_58"/>
      <w:r w:rsidR="004F1F30" w:rsidRPr="004F1F30">
        <w:rPr>
          <w:color w:val="auto"/>
          <w:lang w:val="lt-LT"/>
        </w:rPr>
        <w:t>V. Š.</w:t>
      </w:r>
      <w:bookmarkEnd w:id="146"/>
      <w:r w:rsidRPr="00B504D7">
        <w:rPr>
          <w:lang w:val="lt-LT"/>
        </w:rPr>
        <w:t>, todėl kasacinės instancijos teismas neturi jokio teisinio pagrindo tikrinti</w:t>
      </w:r>
      <w:r w:rsidR="003A25F4" w:rsidRPr="00B504D7">
        <w:rPr>
          <w:lang w:val="lt-LT"/>
        </w:rPr>
        <w:t>,</w:t>
      </w:r>
      <w:r w:rsidRPr="00B504D7">
        <w:rPr>
          <w:lang w:val="lt-LT"/>
        </w:rPr>
        <w:t xml:space="preserve"> ar pagrįstai nuo baudžiamosios atsakomybės buvo atleistas </w:t>
      </w:r>
      <w:bookmarkStart w:id="147" w:name="Buk_7"/>
      <w:r w:rsidR="004F1F30" w:rsidRPr="004F1F30">
        <w:rPr>
          <w:color w:val="auto"/>
          <w:lang w:val="lt-LT"/>
        </w:rPr>
        <w:t>J. K.</w:t>
      </w:r>
      <w:bookmarkEnd w:id="147"/>
      <w:r w:rsidRPr="00B504D7">
        <w:rPr>
          <w:lang w:val="lt-LT"/>
        </w:rPr>
        <w:t xml:space="preserve">, </w:t>
      </w:r>
      <w:r w:rsidR="00956385" w:rsidRPr="00B504D7">
        <w:rPr>
          <w:lang w:val="lt-LT"/>
        </w:rPr>
        <w:t>taip pat ir</w:t>
      </w:r>
      <w:r w:rsidRPr="00B504D7">
        <w:rPr>
          <w:lang w:val="lt-LT"/>
        </w:rPr>
        <w:t xml:space="preserve"> tai, ar pagrįstai kasaciniame skunde minimas juridinis asmuo nebuvo traukiamas baudžiamojon atsakomybėn. </w:t>
      </w:r>
    </w:p>
    <w:p w14:paraId="6168EDCA" w14:textId="2B613992" w:rsidR="00D0275D" w:rsidRPr="00B504D7" w:rsidRDefault="00FF4E3F" w:rsidP="007D2C18">
      <w:pPr>
        <w:pStyle w:val="Pagrindinistekstas"/>
        <w:numPr>
          <w:ilvl w:val="0"/>
          <w:numId w:val="2"/>
        </w:numPr>
        <w:rPr>
          <w:rFonts w:cs="Times New Roman"/>
          <w:color w:val="auto"/>
          <w:lang w:val="lt-LT"/>
        </w:rPr>
      </w:pPr>
      <w:r w:rsidRPr="00B504D7">
        <w:rPr>
          <w:color w:val="auto"/>
          <w:lang w:val="lt-LT"/>
        </w:rPr>
        <w:t xml:space="preserve">Atsižvelgiant į kasacinio teismo kompetenciją ir </w:t>
      </w:r>
      <w:r w:rsidR="00956385" w:rsidRPr="00B504D7">
        <w:rPr>
          <w:color w:val="auto"/>
          <w:lang w:val="lt-LT"/>
        </w:rPr>
        <w:t xml:space="preserve">BPK 369 straipsnyje įtvirtintus apskundimo ir </w:t>
      </w:r>
      <w:r w:rsidRPr="00B504D7">
        <w:rPr>
          <w:color w:val="auto"/>
          <w:lang w:val="lt-LT"/>
        </w:rPr>
        <w:t xml:space="preserve">bylos nagrinėjimo kasacine tvarka pagrindus, šioje nutartyje bus nagrinėjami </w:t>
      </w:r>
      <w:r w:rsidR="002A21CF" w:rsidRPr="00B504D7">
        <w:rPr>
          <w:color w:val="auto"/>
          <w:lang w:val="lt-LT"/>
        </w:rPr>
        <w:t xml:space="preserve">nuteistojo gynėjo </w:t>
      </w:r>
      <w:r w:rsidRPr="00B504D7">
        <w:rPr>
          <w:color w:val="auto"/>
          <w:lang w:val="lt-LT"/>
        </w:rPr>
        <w:t>kasacini</w:t>
      </w:r>
      <w:r w:rsidR="002A21CF" w:rsidRPr="00B504D7">
        <w:rPr>
          <w:color w:val="auto"/>
          <w:lang w:val="lt-LT"/>
        </w:rPr>
        <w:t>o</w:t>
      </w:r>
      <w:r w:rsidRPr="00B504D7">
        <w:rPr>
          <w:color w:val="auto"/>
          <w:lang w:val="lt-LT"/>
        </w:rPr>
        <w:t xml:space="preserve"> skund</w:t>
      </w:r>
      <w:r w:rsidR="002A21CF" w:rsidRPr="00B504D7">
        <w:rPr>
          <w:color w:val="auto"/>
          <w:lang w:val="lt-LT"/>
        </w:rPr>
        <w:t>o</w:t>
      </w:r>
      <w:r w:rsidRPr="00B504D7">
        <w:rPr>
          <w:color w:val="auto"/>
          <w:lang w:val="lt-LT"/>
        </w:rPr>
        <w:t xml:space="preserve"> argumentai</w:t>
      </w:r>
      <w:r w:rsidR="00DF2BE7" w:rsidRPr="00B504D7">
        <w:rPr>
          <w:color w:val="auto"/>
          <w:lang w:val="lt-LT"/>
        </w:rPr>
        <w:t xml:space="preserve"> </w:t>
      </w:r>
      <w:r w:rsidRPr="00B504D7">
        <w:rPr>
          <w:color w:val="000000" w:themeColor="text1"/>
          <w:lang w:val="lt-LT"/>
        </w:rPr>
        <w:t xml:space="preserve">dėl </w:t>
      </w:r>
      <w:r w:rsidR="00DB214D" w:rsidRPr="00B504D7">
        <w:rPr>
          <w:color w:val="000000" w:themeColor="text1"/>
          <w:lang w:val="lt-LT"/>
        </w:rPr>
        <w:t>esmini</w:t>
      </w:r>
      <w:r w:rsidR="00956385" w:rsidRPr="00B504D7">
        <w:rPr>
          <w:color w:val="000000" w:themeColor="text1"/>
          <w:lang w:val="lt-LT"/>
        </w:rPr>
        <w:t>o</w:t>
      </w:r>
      <w:r w:rsidR="00DB214D" w:rsidRPr="00B504D7">
        <w:rPr>
          <w:color w:val="000000" w:themeColor="text1"/>
          <w:lang w:val="lt-LT"/>
        </w:rPr>
        <w:t xml:space="preserve"> BPK 20 straipsnio nuostatų pažeidimo (</w:t>
      </w:r>
      <w:r w:rsidRPr="00B504D7">
        <w:rPr>
          <w:color w:val="000000" w:themeColor="text1"/>
          <w:lang w:val="lt-LT"/>
        </w:rPr>
        <w:t xml:space="preserve">Kriminalinės žvalgybos įstatyme nustatyta tvarka gautų duomenų </w:t>
      </w:r>
      <w:r w:rsidR="00B9669E" w:rsidRPr="00B504D7">
        <w:rPr>
          <w:color w:val="000000" w:themeColor="text1"/>
          <w:lang w:val="lt-LT"/>
        </w:rPr>
        <w:t xml:space="preserve">ir </w:t>
      </w:r>
      <w:r w:rsidR="00A276A5" w:rsidRPr="00B504D7">
        <w:rPr>
          <w:color w:val="000000" w:themeColor="text1"/>
          <w:lang w:val="lt-LT"/>
        </w:rPr>
        <w:t>kratos teisėtumo</w:t>
      </w:r>
      <w:r w:rsidR="00DB214D" w:rsidRPr="00B504D7">
        <w:rPr>
          <w:color w:val="000000" w:themeColor="text1"/>
          <w:lang w:val="lt-LT"/>
        </w:rPr>
        <w:t>)</w:t>
      </w:r>
      <w:r w:rsidR="00A276A5" w:rsidRPr="00B504D7">
        <w:rPr>
          <w:color w:val="000000" w:themeColor="text1"/>
          <w:lang w:val="lt-LT"/>
        </w:rPr>
        <w:t xml:space="preserve">, </w:t>
      </w:r>
      <w:r w:rsidR="00956385" w:rsidRPr="00B504D7">
        <w:rPr>
          <w:color w:val="000000" w:themeColor="text1"/>
          <w:lang w:val="lt-LT"/>
        </w:rPr>
        <w:t xml:space="preserve">taip pat tai, </w:t>
      </w:r>
      <w:r w:rsidR="00E11E00" w:rsidRPr="00B504D7">
        <w:rPr>
          <w:rFonts w:cs="Times New Roman"/>
          <w:lang w:val="lt-LT"/>
        </w:rPr>
        <w:t xml:space="preserve">ar </w:t>
      </w:r>
      <w:r w:rsidR="00463B00" w:rsidRPr="00B504D7">
        <w:rPr>
          <w:rFonts w:cs="Times New Roman"/>
          <w:lang w:val="lt-LT"/>
        </w:rPr>
        <w:t xml:space="preserve">apeliacinės instancijos teismas tinkamai taikė baudžiamąjį įstatymą – BK 59 straipsnio 1 dalies </w:t>
      </w:r>
      <w:r w:rsidR="001C57CA" w:rsidRPr="00B504D7">
        <w:rPr>
          <w:rFonts w:cs="Times New Roman"/>
          <w:lang w:val="lt-LT"/>
        </w:rPr>
        <w:t>2</w:t>
      </w:r>
      <w:r w:rsidR="00156FCF" w:rsidRPr="00B504D7">
        <w:rPr>
          <w:rFonts w:cs="Times New Roman"/>
          <w:lang w:val="lt-LT"/>
        </w:rPr>
        <w:t> </w:t>
      </w:r>
      <w:r w:rsidR="001C57CA" w:rsidRPr="00B504D7">
        <w:rPr>
          <w:rFonts w:cs="Times New Roman"/>
          <w:lang w:val="lt-LT"/>
        </w:rPr>
        <w:t>punktą, nepripažindamas nuteistojo atsakomyb</w:t>
      </w:r>
      <w:r w:rsidR="0045113B" w:rsidRPr="00B504D7">
        <w:rPr>
          <w:rFonts w:cs="Times New Roman"/>
          <w:lang w:val="lt-LT"/>
        </w:rPr>
        <w:t>ę</w:t>
      </w:r>
      <w:r w:rsidR="001C57CA" w:rsidRPr="00B504D7">
        <w:rPr>
          <w:rFonts w:cs="Times New Roman"/>
          <w:lang w:val="lt-LT"/>
        </w:rPr>
        <w:t xml:space="preserve"> lengvinančios aplinkybės, </w:t>
      </w:r>
      <w:r w:rsidR="00956385" w:rsidRPr="00B504D7">
        <w:rPr>
          <w:rFonts w:cs="Times New Roman"/>
          <w:lang w:val="lt-LT"/>
        </w:rPr>
        <w:t xml:space="preserve">ir </w:t>
      </w:r>
      <w:r w:rsidR="001C57CA" w:rsidRPr="00B504D7">
        <w:rPr>
          <w:rFonts w:cs="Times New Roman"/>
          <w:lang w:val="lt-LT"/>
        </w:rPr>
        <w:t>BK 54 straipsnio 3 dalį, nepaskirdamas švelnesnės</w:t>
      </w:r>
      <w:r w:rsidR="00156FCF" w:rsidRPr="00B504D7">
        <w:rPr>
          <w:rFonts w:cs="Times New Roman"/>
          <w:lang w:val="lt-LT"/>
        </w:rPr>
        <w:t>,</w:t>
      </w:r>
      <w:r w:rsidR="001C57CA" w:rsidRPr="00B504D7">
        <w:rPr>
          <w:rFonts w:cs="Times New Roman"/>
          <w:lang w:val="lt-LT"/>
        </w:rPr>
        <w:t xml:space="preserve"> nei sankcijoje nustatyta</w:t>
      </w:r>
      <w:r w:rsidR="00156FCF" w:rsidRPr="00B504D7">
        <w:rPr>
          <w:rFonts w:cs="Times New Roman"/>
          <w:lang w:val="lt-LT"/>
        </w:rPr>
        <w:t>,</w:t>
      </w:r>
      <w:r w:rsidR="001C57CA" w:rsidRPr="00B504D7">
        <w:rPr>
          <w:rFonts w:cs="Times New Roman"/>
          <w:lang w:val="lt-LT"/>
        </w:rPr>
        <w:t xml:space="preserve"> bausmė</w:t>
      </w:r>
      <w:r w:rsidR="00156FCF" w:rsidRPr="00B504D7">
        <w:rPr>
          <w:rFonts w:cs="Times New Roman"/>
          <w:lang w:val="lt-LT"/>
        </w:rPr>
        <w:t>s</w:t>
      </w:r>
      <w:r w:rsidR="00F83D25" w:rsidRPr="00B504D7">
        <w:rPr>
          <w:rFonts w:cs="Times New Roman"/>
          <w:lang w:val="lt-LT"/>
        </w:rPr>
        <w:t xml:space="preserve">, </w:t>
      </w:r>
      <w:r w:rsidR="00DE00E6" w:rsidRPr="00B504D7">
        <w:rPr>
          <w:rFonts w:cs="Times New Roman"/>
          <w:lang w:val="lt-LT"/>
        </w:rPr>
        <w:t>o pagal prokuroro kasacinį skundą</w:t>
      </w:r>
      <w:r w:rsidR="00A276A5" w:rsidRPr="00B504D7">
        <w:rPr>
          <w:rFonts w:cs="Times New Roman"/>
          <w:lang w:val="lt-LT"/>
        </w:rPr>
        <w:t xml:space="preserve"> </w:t>
      </w:r>
      <w:r w:rsidR="00156FCF" w:rsidRPr="00B504D7">
        <w:rPr>
          <w:rFonts w:cs="Times New Roman"/>
          <w:lang w:val="lt-LT"/>
        </w:rPr>
        <w:t>–</w:t>
      </w:r>
      <w:r w:rsidR="00DE00E6" w:rsidRPr="00B504D7">
        <w:rPr>
          <w:rFonts w:cs="Times New Roman"/>
          <w:lang w:val="lt-LT"/>
        </w:rPr>
        <w:t xml:space="preserve"> ar apeliacinės instancijos teisme buvo tinkamai pritaikytas </w:t>
      </w:r>
      <w:r w:rsidR="00F83D25" w:rsidRPr="00B504D7">
        <w:rPr>
          <w:rFonts w:cs="Times New Roman"/>
          <w:lang w:val="lt-LT"/>
        </w:rPr>
        <w:t>BK 64</w:t>
      </w:r>
      <w:r w:rsidR="00F83D25" w:rsidRPr="00B504D7">
        <w:rPr>
          <w:rFonts w:cs="Times New Roman"/>
          <w:vertAlign w:val="superscript"/>
          <w:lang w:val="lt-LT"/>
        </w:rPr>
        <w:t>1</w:t>
      </w:r>
      <w:r w:rsidR="00F83D25" w:rsidRPr="00B504D7">
        <w:rPr>
          <w:rFonts w:cs="Times New Roman"/>
          <w:lang w:val="lt-LT"/>
        </w:rPr>
        <w:t xml:space="preserve"> straipsn</w:t>
      </w:r>
      <w:r w:rsidR="00DE00E6" w:rsidRPr="00B504D7">
        <w:rPr>
          <w:rFonts w:cs="Times New Roman"/>
          <w:lang w:val="lt-LT"/>
        </w:rPr>
        <w:t>is</w:t>
      </w:r>
      <w:r w:rsidR="00F83D25" w:rsidRPr="00B504D7">
        <w:rPr>
          <w:rFonts w:cs="Times New Roman"/>
          <w:lang w:val="lt-LT"/>
        </w:rPr>
        <w:t>, paskirtą bausmę sumažin</w:t>
      </w:r>
      <w:r w:rsidR="00DE00E6" w:rsidRPr="00B504D7">
        <w:rPr>
          <w:rFonts w:cs="Times New Roman"/>
          <w:lang w:val="lt-LT"/>
        </w:rPr>
        <w:t>ant</w:t>
      </w:r>
      <w:r w:rsidR="00F83D25" w:rsidRPr="00B504D7">
        <w:rPr>
          <w:rFonts w:cs="Times New Roman"/>
          <w:lang w:val="lt-LT"/>
        </w:rPr>
        <w:t xml:space="preserve"> vienu trečdaliu. </w:t>
      </w:r>
    </w:p>
    <w:p w14:paraId="48A86B3F" w14:textId="77777777" w:rsidR="00675C0F" w:rsidRPr="00B504D7" w:rsidRDefault="00675C0F" w:rsidP="007D2C18">
      <w:pPr>
        <w:pStyle w:val="Pagrindinistekstas"/>
        <w:ind w:left="357"/>
        <w:rPr>
          <w:rFonts w:cs="Times New Roman"/>
          <w:i/>
          <w:iCs/>
          <w:color w:val="auto"/>
          <w:lang w:val="lt-LT"/>
        </w:rPr>
      </w:pPr>
    </w:p>
    <w:p w14:paraId="7408E06C" w14:textId="77777777" w:rsidR="007E1F35" w:rsidRPr="00B504D7" w:rsidRDefault="00684D7D" w:rsidP="007D2C18">
      <w:pPr>
        <w:pStyle w:val="Pagrindinistekstas"/>
        <w:ind w:firstLine="357"/>
        <w:rPr>
          <w:rFonts w:cs="Times New Roman"/>
          <w:i/>
          <w:iCs/>
          <w:color w:val="auto"/>
          <w:lang w:val="lt-LT"/>
        </w:rPr>
      </w:pPr>
      <w:bookmarkStart w:id="148" w:name="_Hlk184210364"/>
      <w:r w:rsidRPr="00B504D7">
        <w:rPr>
          <w:rFonts w:cs="Times New Roman"/>
          <w:i/>
          <w:iCs/>
          <w:color w:val="auto"/>
          <w:lang w:val="lt-LT"/>
        </w:rPr>
        <w:t>Dėl esminių BPK 20 straipsnio nuostatų pažeidim</w:t>
      </w:r>
      <w:r w:rsidR="00675C0F" w:rsidRPr="00B504D7">
        <w:rPr>
          <w:rFonts w:cs="Times New Roman"/>
          <w:i/>
          <w:iCs/>
          <w:color w:val="auto"/>
          <w:lang w:val="lt-LT"/>
        </w:rPr>
        <w:t>o</w:t>
      </w:r>
    </w:p>
    <w:bookmarkEnd w:id="148"/>
    <w:p w14:paraId="60631E91" w14:textId="77777777" w:rsidR="007E1F35" w:rsidRPr="00B504D7" w:rsidRDefault="007E1F35" w:rsidP="007D2C18">
      <w:pPr>
        <w:pStyle w:val="Pagrindinistekstas"/>
        <w:rPr>
          <w:rFonts w:cs="Times New Roman"/>
          <w:i/>
          <w:iCs/>
          <w:color w:val="auto"/>
          <w:lang w:val="lt-LT"/>
        </w:rPr>
      </w:pPr>
    </w:p>
    <w:p w14:paraId="020D103D" w14:textId="2906C418" w:rsidR="007E1F35" w:rsidRPr="00B504D7" w:rsidRDefault="00684D7D" w:rsidP="007E1F35">
      <w:pPr>
        <w:pStyle w:val="Pagrindinistekstas"/>
        <w:numPr>
          <w:ilvl w:val="0"/>
          <w:numId w:val="2"/>
        </w:numPr>
        <w:spacing w:after="120"/>
        <w:rPr>
          <w:rFonts w:cs="Times New Roman"/>
          <w:i/>
          <w:iCs/>
          <w:color w:val="auto"/>
          <w:lang w:val="lt-LT"/>
        </w:rPr>
      </w:pPr>
      <w:r w:rsidRPr="00B504D7">
        <w:rPr>
          <w:rFonts w:cs="Times New Roman"/>
          <w:color w:val="auto"/>
          <w:lang w:val="lt-LT"/>
        </w:rPr>
        <w:t xml:space="preserve">Nuteistojo gynėjas kasaciniame skunde, akcentuodamas esminį BPK 20 straipsnio nuostatų pažeidimą, didelį dėmesį </w:t>
      </w:r>
      <w:r w:rsidR="00D11B73" w:rsidRPr="00B504D7">
        <w:rPr>
          <w:rFonts w:cs="Times New Roman"/>
          <w:color w:val="auto"/>
          <w:lang w:val="lt-LT"/>
        </w:rPr>
        <w:t>skiria</w:t>
      </w:r>
      <w:r w:rsidRPr="00B504D7">
        <w:rPr>
          <w:rFonts w:cs="Times New Roman"/>
          <w:color w:val="auto"/>
          <w:lang w:val="lt-LT"/>
        </w:rPr>
        <w:t xml:space="preserve"> kriminalinės žvalgybos veiksmų ir </w:t>
      </w:r>
      <w:bookmarkStart w:id="149" w:name="Buk_108"/>
      <w:r w:rsidR="004F1F30" w:rsidRPr="004F1F30">
        <w:rPr>
          <w:rFonts w:cs="Times New Roman"/>
          <w:color w:val="auto"/>
          <w:lang w:val="lt-LT"/>
        </w:rPr>
        <w:t xml:space="preserve">V. Š. </w:t>
      </w:r>
      <w:bookmarkEnd w:id="149"/>
      <w:r w:rsidRPr="00B504D7">
        <w:rPr>
          <w:rFonts w:cs="Times New Roman"/>
          <w:color w:val="auto"/>
          <w:lang w:val="lt-LT"/>
        </w:rPr>
        <w:t>gyvenamojoje vietoje 2023 m. kovo 9</w:t>
      </w:r>
      <w:r w:rsidR="00156FCF" w:rsidRPr="00B504D7">
        <w:rPr>
          <w:rFonts w:cs="Times New Roman"/>
          <w:lang w:val="lt-LT"/>
        </w:rPr>
        <w:t>–</w:t>
      </w:r>
      <w:r w:rsidRPr="00B504D7">
        <w:rPr>
          <w:rFonts w:cs="Times New Roman"/>
          <w:color w:val="auto"/>
          <w:lang w:val="lt-LT"/>
        </w:rPr>
        <w:t>10 d. atliktos kratos teisėtumui.</w:t>
      </w:r>
    </w:p>
    <w:p w14:paraId="69719A59" w14:textId="79323AAB" w:rsidR="001D54B6" w:rsidRPr="00B504D7" w:rsidRDefault="001D54B6" w:rsidP="00F26166">
      <w:pPr>
        <w:pStyle w:val="Pagrindinistekstas"/>
        <w:numPr>
          <w:ilvl w:val="0"/>
          <w:numId w:val="2"/>
        </w:numPr>
        <w:spacing w:after="120"/>
        <w:rPr>
          <w:rFonts w:cs="Times New Roman"/>
          <w:color w:val="auto"/>
          <w:lang w:val="lt-LT"/>
        </w:rPr>
      </w:pPr>
      <w:r w:rsidRPr="00B504D7">
        <w:rPr>
          <w:rFonts w:cs="Times New Roman"/>
          <w:color w:val="auto"/>
          <w:lang w:val="lt-LT"/>
        </w:rPr>
        <w:t>Kriterijai, pagal kuriuos sprendžiama dėl duomenų pripažinimo įrodymais, nustatyti BPK</w:t>
      </w:r>
      <w:r w:rsidR="00156FCF" w:rsidRPr="00B504D7">
        <w:rPr>
          <w:rFonts w:cs="Times New Roman"/>
          <w:color w:val="auto"/>
          <w:lang w:val="lt-LT"/>
        </w:rPr>
        <w:t> </w:t>
      </w:r>
      <w:r w:rsidRPr="00B504D7">
        <w:rPr>
          <w:rFonts w:cs="Times New Roman"/>
          <w:color w:val="auto"/>
          <w:lang w:val="lt-LT"/>
        </w:rPr>
        <w:t>20</w:t>
      </w:r>
      <w:r w:rsidR="00956385" w:rsidRPr="00B504D7">
        <w:rPr>
          <w:rFonts w:cs="Times New Roman"/>
          <w:color w:val="auto"/>
          <w:lang w:val="lt-LT"/>
        </w:rPr>
        <w:t> </w:t>
      </w:r>
      <w:r w:rsidRPr="00B504D7">
        <w:rPr>
          <w:rFonts w:cs="Times New Roman"/>
          <w:color w:val="auto"/>
          <w:lang w:val="lt-LT"/>
        </w:rPr>
        <w:t>straipsnio 1, 3 ir 4 dalyse. Pagal šias nuostatas, įrodymais baudžiamajame procese pripažįstami įstatymų nustatyta tvarka gauti, BPK nurodytais proceso veiksmais patikrinti, teisiamajame posėdyje išnagrinėti ir teismo pripažinti duomenys, kuriais vadovaudamasis teismas daro išvadas dėl nusikalstamos veikos buvimo ar nebuvimo, šią veiką padariusio asmens kaltumo ar nekaltumo ir kitų aplinkybių, turinčių reikšmės bylai išspręsti teisingai. Taigi, įrodymais pripažintini tik leistini ir su sprendžiama byla susiję duomenys.‏‏‎ Kasacinės instancijos teismo praktikoje nurodoma, kad BPK 20 straipsnio 1, 4 dalyse nustatytas reikalavimas laikytis įstatymų gaunant įrodymus yra ypač svarbus, nes priešingu atveju nebūtų užtikrintas bylos nagrinėjimo teisingumas. Bet kuriuo atveju, ar informacija surinkta pagal BPK, ar ji gauta kitų įstatymų nustatyta tvarka, teismas turi pareigą patikrinti, ar teisiamajame posėdyje išnagrinėti duomenys atitinka BPK 20 straipsnyje nustatytus reikalavimus, t. y. ar jų gavimo būdas neprieštarauja įstatyme nurodytiems reikalavimams ir ar jie patikrinti BPK nurodytais veiksmais (kasacinės nutartys baudžiamosiose bylose Nr. 2K-81-895/2020, 2K-119-303/2021, 2K-218-976/2023). Duomenys, kurie gaunami suvaržant įstatymų garantuotas žmogaus teises, nesilaikant įstatymais nustatytos tvarkos, laikomi gautais neteisėtu būdu ir pažeidžia BPK 20 straipsnio 4 dalies reikalavimus. Neteisėtu būdu gauta informacija negali būti pripažįstama įrodymais baudžiamajame procese (kasacinės nutartys baudžiamosiose bylose Nr. 2K-7-141/2008, 2K-7-40-511/2019).</w:t>
      </w:r>
    </w:p>
    <w:p w14:paraId="7C7730E9" w14:textId="56F75480" w:rsidR="00F26166" w:rsidRPr="00B504D7" w:rsidRDefault="00684D7D" w:rsidP="00F26166">
      <w:pPr>
        <w:pStyle w:val="Pagrindinistekstas"/>
        <w:numPr>
          <w:ilvl w:val="0"/>
          <w:numId w:val="2"/>
        </w:numPr>
        <w:spacing w:after="120"/>
        <w:rPr>
          <w:rFonts w:cs="Times New Roman"/>
          <w:i/>
          <w:iCs/>
          <w:color w:val="auto"/>
          <w:lang w:val="lt-LT"/>
        </w:rPr>
      </w:pPr>
      <w:r w:rsidRPr="00B504D7">
        <w:rPr>
          <w:rFonts w:cs="Times New Roman"/>
          <w:color w:val="auto"/>
          <w:lang w:val="lt-LT"/>
        </w:rPr>
        <w:t xml:space="preserve">BPK 20 straipsnio 5 dalyje nurodyta, kad teisėjai įrodymus įvertina pagal savo vidinį įsitikinimą, pagrįstą išsamiu ir nešališku visų bylos aplinkybių išnagrinėjimu, vadovaudamiesi įstatymu. Esminiu BPK 20 straipsnio 5 dalies nuostatų pažeidimu gali būti pripažįstami atvejai, kai kasacine tvarka apskųstame nuosprendyje ar nutartyje teismo išvados darytos nesiėmus įmanomų priemonių visoms bylai teisingai išspręsti reikšmingoms aplinkybėms nustatyti; nebuvo vertinti </w:t>
      </w:r>
      <w:r w:rsidRPr="00B504D7">
        <w:rPr>
          <w:rFonts w:cs="Times New Roman"/>
          <w:color w:val="auto"/>
          <w:lang w:val="lt-LT"/>
        </w:rPr>
        <w:lastRenderedPageBreak/>
        <w:t xml:space="preserve">visi proceso metu surinkti bylai išspręsti reikšmingi įrodymai; vertinant įrodymus daryta klaidų dėl įrodymų turinio; remtasi duomenimis, kurie dėl neatitikties BPK 20 straipsnio 1–4 dalyse nustatytiems reikalavimams negalėjo būti pripažinti įrodymais; įrodymais nepagrįstai nepripažinti duomenys, kurie atitinka BPK 20 straipsnio 1–4 dalių reikalavimus; neišdėstyti teisiniai argumentai dėl ištirtų įrodymų vertinimo ir pan. (kasacinės nutartys baudžiamosiose bylose Nr. 2K-587/2014, 2K-149-648/2023, 2K-100-719/2024, 2K-110-628/2024).‏‏‎ Nagrinėjamoje byloje nė vienas iš pirmiau nurodytų atvejų nenustatytas. </w:t>
      </w:r>
    </w:p>
    <w:p w14:paraId="23E8DA83" w14:textId="4CE708DA" w:rsidR="00F26166" w:rsidRPr="00B504D7" w:rsidRDefault="00D31146" w:rsidP="00F26166">
      <w:pPr>
        <w:pStyle w:val="Pagrindinistekstas"/>
        <w:numPr>
          <w:ilvl w:val="0"/>
          <w:numId w:val="2"/>
        </w:numPr>
        <w:spacing w:after="120"/>
        <w:rPr>
          <w:rFonts w:cs="Times New Roman"/>
          <w:i/>
          <w:iCs/>
          <w:color w:val="auto"/>
          <w:lang w:val="lt-LT"/>
        </w:rPr>
      </w:pPr>
      <w:r w:rsidRPr="00B504D7">
        <w:rPr>
          <w:rFonts w:cs="Times New Roman"/>
          <w:color w:val="auto"/>
          <w:lang w:val="lt-LT"/>
        </w:rPr>
        <w:t>Pažymėtina, kad p</w:t>
      </w:r>
      <w:r w:rsidR="00684D7D" w:rsidRPr="00B504D7">
        <w:rPr>
          <w:rFonts w:cs="Times New Roman"/>
          <w:color w:val="auto"/>
          <w:lang w:val="lt-LT"/>
        </w:rPr>
        <w:t xml:space="preserve">irmosios instancijos teisme nebuvo keliami klausimai, susiję su kratos ir kriminalinės žvalgybos veiksmų teisėtumu. Esant BPK 273 straipsnio 1 dalyje nurodytoms sąlygoms, buvo atliktas sutrumpintas įrodymų tyrimas. Gynėjas pirmosios instancijos teisme baigiamojoje kalboje nurodė, kad gynyba nekvestionuoja kaltės, kad </w:t>
      </w:r>
      <w:bookmarkStart w:id="150" w:name="Buk_109"/>
      <w:r w:rsidR="004F1F30" w:rsidRPr="004F1F30">
        <w:rPr>
          <w:rFonts w:cs="Times New Roman"/>
          <w:color w:val="auto"/>
          <w:lang w:val="lt-LT"/>
        </w:rPr>
        <w:t xml:space="preserve">V. Š. </w:t>
      </w:r>
      <w:bookmarkEnd w:id="150"/>
      <w:r w:rsidR="00684D7D" w:rsidRPr="00B504D7">
        <w:rPr>
          <w:rFonts w:cs="Times New Roman"/>
          <w:color w:val="auto"/>
          <w:lang w:val="lt-LT"/>
        </w:rPr>
        <w:t xml:space="preserve">kaltė įrodyta kaltinamojo parodymais, liudytojo parodymais, kriminalinės žvalgybos veiksmų atlikimo protokolais, kratos protokolu ir jos metu paimtų </w:t>
      </w:r>
      <w:r w:rsidR="00156FCF" w:rsidRPr="00B504D7">
        <w:rPr>
          <w:rFonts w:cs="Times New Roman"/>
          <w:color w:val="auto"/>
          <w:lang w:val="lt-LT"/>
        </w:rPr>
        <w:t xml:space="preserve">daiktų </w:t>
      </w:r>
      <w:r w:rsidR="00684D7D" w:rsidRPr="00B504D7">
        <w:rPr>
          <w:rFonts w:cs="Times New Roman"/>
          <w:color w:val="auto"/>
          <w:lang w:val="lt-LT"/>
        </w:rPr>
        <w:t>apžiūros protokolais, kita medžiaga.</w:t>
      </w:r>
    </w:p>
    <w:p w14:paraId="31CB1B19" w14:textId="78319139" w:rsidR="00F26166" w:rsidRPr="00B504D7" w:rsidRDefault="00684D7D" w:rsidP="00F26166">
      <w:pPr>
        <w:pStyle w:val="Pagrindinistekstas"/>
        <w:numPr>
          <w:ilvl w:val="0"/>
          <w:numId w:val="2"/>
        </w:numPr>
        <w:spacing w:after="120"/>
        <w:rPr>
          <w:rFonts w:cs="Times New Roman"/>
          <w:i/>
          <w:iCs/>
          <w:color w:val="auto"/>
          <w:lang w:val="lt-LT"/>
        </w:rPr>
      </w:pPr>
      <w:r w:rsidRPr="00B504D7">
        <w:rPr>
          <w:rFonts w:cs="Times New Roman"/>
          <w:color w:val="auto"/>
          <w:lang w:val="lt-LT"/>
        </w:rPr>
        <w:t>Apeliaciniu skundu gynėjas</w:t>
      </w:r>
      <w:r w:rsidR="00257BA5" w:rsidRPr="00B504D7">
        <w:rPr>
          <w:rFonts w:cs="Times New Roman"/>
          <w:color w:val="auto"/>
          <w:lang w:val="lt-LT"/>
        </w:rPr>
        <w:t xml:space="preserve">, </w:t>
      </w:r>
      <w:bookmarkStart w:id="151" w:name="_Hlk190344947"/>
      <w:r w:rsidR="00257BA5" w:rsidRPr="00B504D7">
        <w:rPr>
          <w:rFonts w:cs="Times New Roman"/>
          <w:color w:val="auto"/>
          <w:lang w:val="lt-LT"/>
        </w:rPr>
        <w:t>argumentuodamas t</w:t>
      </w:r>
      <w:r w:rsidR="00312F5A" w:rsidRPr="00B504D7">
        <w:rPr>
          <w:rFonts w:cs="Times New Roman"/>
          <w:color w:val="auto"/>
          <w:lang w:val="lt-LT"/>
        </w:rPr>
        <w:t>u</w:t>
      </w:r>
      <w:r w:rsidR="00257BA5" w:rsidRPr="00B504D7">
        <w:rPr>
          <w:rFonts w:cs="Times New Roman"/>
          <w:color w:val="auto"/>
          <w:lang w:val="lt-LT"/>
        </w:rPr>
        <w:t xml:space="preserve">o, kad šios aplinkybės reikšmingos </w:t>
      </w:r>
      <w:r w:rsidR="00156FCF" w:rsidRPr="00B504D7">
        <w:rPr>
          <w:rFonts w:cs="Times New Roman"/>
          <w:color w:val="auto"/>
          <w:lang w:val="lt-LT"/>
        </w:rPr>
        <w:t xml:space="preserve">bausmei </w:t>
      </w:r>
      <w:r w:rsidR="00BE2BEC" w:rsidRPr="00B504D7">
        <w:rPr>
          <w:rFonts w:cs="Times New Roman"/>
          <w:color w:val="auto"/>
          <w:lang w:val="lt-LT"/>
        </w:rPr>
        <w:t>individualizuoti</w:t>
      </w:r>
      <w:r w:rsidR="00257BA5" w:rsidRPr="00B504D7">
        <w:rPr>
          <w:rFonts w:cs="Times New Roman"/>
          <w:color w:val="auto"/>
          <w:lang w:val="lt-LT"/>
        </w:rPr>
        <w:t>,</w:t>
      </w:r>
      <w:r w:rsidRPr="00B504D7">
        <w:rPr>
          <w:rFonts w:cs="Times New Roman"/>
          <w:color w:val="auto"/>
          <w:lang w:val="lt-LT"/>
        </w:rPr>
        <w:t xml:space="preserve"> jau nesutiko su </w:t>
      </w:r>
      <w:r w:rsidR="00F468C0" w:rsidRPr="00B504D7">
        <w:rPr>
          <w:rFonts w:cs="Times New Roman"/>
          <w:color w:val="auto"/>
          <w:lang w:val="lt-LT"/>
        </w:rPr>
        <w:t>dalies įrodymų procesiniu teisingumu</w:t>
      </w:r>
      <w:r w:rsidR="008E4CEF" w:rsidRPr="00B504D7">
        <w:rPr>
          <w:rFonts w:cs="Times New Roman"/>
          <w:color w:val="auto"/>
          <w:lang w:val="lt-LT"/>
        </w:rPr>
        <w:t xml:space="preserve"> –</w:t>
      </w:r>
      <w:r w:rsidR="00F468C0" w:rsidRPr="00B504D7">
        <w:rPr>
          <w:rFonts w:cs="Times New Roman"/>
          <w:color w:val="auto"/>
          <w:lang w:val="lt-LT"/>
        </w:rPr>
        <w:t xml:space="preserve"> </w:t>
      </w:r>
      <w:r w:rsidRPr="00B504D7">
        <w:rPr>
          <w:rFonts w:cs="Times New Roman"/>
          <w:color w:val="auto"/>
          <w:lang w:val="lt-LT"/>
        </w:rPr>
        <w:t xml:space="preserve">atliktos kratos ir kriminalinės žvalgybos veiksmų teisėtumu, </w:t>
      </w:r>
      <w:r w:rsidR="00C372D3" w:rsidRPr="00B504D7">
        <w:rPr>
          <w:rFonts w:cs="Times New Roman"/>
          <w:color w:val="auto"/>
          <w:lang w:val="lt-LT"/>
        </w:rPr>
        <w:t xml:space="preserve">pateikdamas </w:t>
      </w:r>
      <w:r w:rsidR="00F468C0" w:rsidRPr="00B504D7">
        <w:rPr>
          <w:rFonts w:cs="Times New Roman"/>
          <w:color w:val="auto"/>
          <w:lang w:val="lt-LT"/>
        </w:rPr>
        <w:t xml:space="preserve">argumentus, kurie </w:t>
      </w:r>
      <w:r w:rsidRPr="00B504D7">
        <w:rPr>
          <w:rFonts w:cs="Times New Roman"/>
          <w:color w:val="auto"/>
          <w:lang w:val="lt-LT"/>
        </w:rPr>
        <w:t>analogišk</w:t>
      </w:r>
      <w:r w:rsidR="00F468C0" w:rsidRPr="00B504D7">
        <w:rPr>
          <w:rFonts w:cs="Times New Roman"/>
          <w:color w:val="auto"/>
          <w:lang w:val="lt-LT"/>
        </w:rPr>
        <w:t>i</w:t>
      </w:r>
      <w:r w:rsidRPr="00B504D7">
        <w:rPr>
          <w:rFonts w:cs="Times New Roman"/>
          <w:color w:val="auto"/>
          <w:lang w:val="lt-LT"/>
        </w:rPr>
        <w:t xml:space="preserve"> kasaciniame skunde </w:t>
      </w:r>
      <w:r w:rsidR="00F468C0" w:rsidRPr="00B504D7">
        <w:rPr>
          <w:rFonts w:cs="Times New Roman"/>
          <w:color w:val="auto"/>
          <w:lang w:val="lt-LT"/>
        </w:rPr>
        <w:t xml:space="preserve">pakartotinai </w:t>
      </w:r>
      <w:r w:rsidRPr="00B504D7">
        <w:rPr>
          <w:rFonts w:cs="Times New Roman"/>
          <w:color w:val="auto"/>
          <w:lang w:val="lt-LT"/>
        </w:rPr>
        <w:t>išdėstytiems</w:t>
      </w:r>
      <w:r w:rsidR="00257BA5" w:rsidRPr="00B504D7">
        <w:rPr>
          <w:rFonts w:cs="Times New Roman"/>
          <w:color w:val="auto"/>
          <w:lang w:val="lt-LT"/>
        </w:rPr>
        <w:t>, tačiau nuteistojo kaltės nek</w:t>
      </w:r>
      <w:r w:rsidR="00535B3C" w:rsidRPr="00B504D7">
        <w:rPr>
          <w:rFonts w:cs="Times New Roman"/>
          <w:color w:val="auto"/>
          <w:lang w:val="lt-LT"/>
        </w:rPr>
        <w:t xml:space="preserve">vestionavo. </w:t>
      </w:r>
      <w:bookmarkEnd w:id="151"/>
    </w:p>
    <w:p w14:paraId="4D07C44B" w14:textId="708B0E59" w:rsidR="00F26166" w:rsidRPr="00B504D7" w:rsidRDefault="00684D7D" w:rsidP="00F26166">
      <w:pPr>
        <w:pStyle w:val="Pagrindinistekstas"/>
        <w:numPr>
          <w:ilvl w:val="0"/>
          <w:numId w:val="2"/>
        </w:numPr>
        <w:spacing w:after="120"/>
        <w:rPr>
          <w:rFonts w:cs="Times New Roman"/>
          <w:i/>
          <w:iCs/>
          <w:color w:val="auto"/>
          <w:lang w:val="lt-LT"/>
        </w:rPr>
      </w:pPr>
      <w:r w:rsidRPr="00B504D7">
        <w:rPr>
          <w:rFonts w:cs="Times New Roman"/>
          <w:color w:val="auto"/>
          <w:lang w:val="lt-LT"/>
        </w:rPr>
        <w:t>Procesinės prievartos priemonės – kratos – atlikimo bendros taisyklės ir tvarka yra reglamentuotos BPK 145 straipsnyje „Krata“ ir 149 straipsnyje „Kratos ir poėmio tvarka“. BPK</w:t>
      </w:r>
      <w:r w:rsidR="00BE2BEC" w:rsidRPr="00B504D7">
        <w:rPr>
          <w:rFonts w:cs="Times New Roman"/>
          <w:color w:val="auto"/>
          <w:lang w:val="lt-LT"/>
        </w:rPr>
        <w:t> </w:t>
      </w:r>
      <w:r w:rsidRPr="00B504D7">
        <w:rPr>
          <w:rFonts w:cs="Times New Roman"/>
          <w:color w:val="auto"/>
          <w:lang w:val="lt-LT"/>
        </w:rPr>
        <w:t>160</w:t>
      </w:r>
      <w:r w:rsidRPr="00B504D7">
        <w:rPr>
          <w:rFonts w:cs="Times New Roman"/>
          <w:color w:val="auto"/>
          <w:vertAlign w:val="superscript"/>
          <w:lang w:val="lt-LT"/>
        </w:rPr>
        <w:t>1</w:t>
      </w:r>
      <w:r w:rsidRPr="00B504D7">
        <w:rPr>
          <w:rFonts w:cs="Times New Roman"/>
          <w:color w:val="auto"/>
          <w:lang w:val="lt-LT"/>
        </w:rPr>
        <w:t xml:space="preserve"> straipsnyje „Procesinių prievartos priemonių taikymas neatidėliotinais atvejais“ yra </w:t>
      </w:r>
      <w:r w:rsidR="00535B3C" w:rsidRPr="00B504D7">
        <w:rPr>
          <w:rFonts w:cs="Times New Roman"/>
          <w:color w:val="auto"/>
          <w:lang w:val="lt-LT"/>
        </w:rPr>
        <w:t>įtvirtintos atitinkamos nuostatos</w:t>
      </w:r>
      <w:r w:rsidRPr="00B504D7">
        <w:rPr>
          <w:rFonts w:cs="Times New Roman"/>
          <w:color w:val="auto"/>
          <w:lang w:val="lt-LT"/>
        </w:rPr>
        <w:t xml:space="preserve">, susijusios su kratos atlikimu neatidėliotinais atvejais. </w:t>
      </w:r>
    </w:p>
    <w:p w14:paraId="38B06DA6" w14:textId="68C6B682" w:rsidR="00F26166" w:rsidRPr="00B504D7" w:rsidRDefault="00684D7D" w:rsidP="00F26166">
      <w:pPr>
        <w:pStyle w:val="Pagrindinistekstas"/>
        <w:numPr>
          <w:ilvl w:val="0"/>
          <w:numId w:val="2"/>
        </w:numPr>
        <w:spacing w:after="120"/>
        <w:rPr>
          <w:rFonts w:cs="Times New Roman"/>
          <w:i/>
          <w:iCs/>
          <w:color w:val="auto"/>
          <w:lang w:val="lt-LT"/>
        </w:rPr>
      </w:pPr>
      <w:r w:rsidRPr="00B504D7">
        <w:rPr>
          <w:rFonts w:cs="Times New Roman"/>
          <w:color w:val="auto"/>
          <w:lang w:val="lt-LT"/>
        </w:rPr>
        <w:t xml:space="preserve">Nagrinėjamoje byloje nustatyta, kad ikiteisminio tyrimo pareigūnės V. </w:t>
      </w:r>
      <w:proofErr w:type="spellStart"/>
      <w:r w:rsidRPr="00B504D7">
        <w:rPr>
          <w:rFonts w:cs="Times New Roman"/>
          <w:color w:val="auto"/>
          <w:lang w:val="lt-LT"/>
        </w:rPr>
        <w:t>Rasalaitės</w:t>
      </w:r>
      <w:proofErr w:type="spellEnd"/>
      <w:r w:rsidRPr="00B504D7">
        <w:rPr>
          <w:rFonts w:cs="Times New Roman"/>
          <w:color w:val="auto"/>
          <w:lang w:val="lt-LT"/>
        </w:rPr>
        <w:t xml:space="preserve"> 2022 m. rugsėjo</w:t>
      </w:r>
      <w:r w:rsidR="00BE2BEC" w:rsidRPr="00B504D7">
        <w:rPr>
          <w:rFonts w:cs="Times New Roman"/>
          <w:color w:val="auto"/>
          <w:lang w:val="lt-LT"/>
        </w:rPr>
        <w:t> </w:t>
      </w:r>
      <w:r w:rsidRPr="00B504D7">
        <w:rPr>
          <w:rFonts w:cs="Times New Roman"/>
          <w:color w:val="auto"/>
          <w:lang w:val="lt-LT"/>
        </w:rPr>
        <w:t>9 d. nutarimu nutarta atlikti kratą gyvenamajame name ir jo priklausiniuose adresu</w:t>
      </w:r>
      <w:r w:rsidR="00BE2BEC" w:rsidRPr="00B504D7">
        <w:rPr>
          <w:rFonts w:cs="Times New Roman"/>
          <w:color w:val="auto"/>
          <w:lang w:val="lt-LT"/>
        </w:rPr>
        <w:t>:</w:t>
      </w:r>
      <w:r w:rsidRPr="00B504D7">
        <w:rPr>
          <w:rFonts w:cs="Times New Roman"/>
          <w:color w:val="auto"/>
          <w:lang w:val="lt-LT"/>
        </w:rPr>
        <w:t xml:space="preserve"> </w:t>
      </w:r>
      <w:r w:rsidR="004704A2">
        <w:rPr>
          <w:rFonts w:cs="Times New Roman"/>
          <w:color w:val="auto"/>
          <w:lang w:val="lt-LT"/>
        </w:rPr>
        <w:t>(</w:t>
      </w:r>
      <w:r w:rsidR="004704A2" w:rsidRPr="004704A2">
        <w:rPr>
          <w:rFonts w:cs="Times New Roman"/>
          <w:i/>
          <w:iCs/>
          <w:color w:val="auto"/>
          <w:lang w:val="lt-LT"/>
        </w:rPr>
        <w:t>duomenys neskelbtini</w:t>
      </w:r>
      <w:r w:rsidR="004704A2">
        <w:rPr>
          <w:rFonts w:cs="Times New Roman"/>
          <w:color w:val="auto"/>
          <w:lang w:val="lt-LT"/>
        </w:rPr>
        <w:t>)</w:t>
      </w:r>
      <w:r w:rsidRPr="00B504D7">
        <w:rPr>
          <w:rFonts w:cs="Times New Roman"/>
          <w:color w:val="auto"/>
          <w:lang w:val="lt-LT"/>
        </w:rPr>
        <w:t xml:space="preserve">, ir dviejuose automobiliuose „Mercedes </w:t>
      </w:r>
      <w:proofErr w:type="spellStart"/>
      <w:r w:rsidRPr="00B504D7">
        <w:rPr>
          <w:rFonts w:cs="Times New Roman"/>
          <w:color w:val="auto"/>
          <w:lang w:val="lt-LT"/>
        </w:rPr>
        <w:t>Benz</w:t>
      </w:r>
      <w:proofErr w:type="spellEnd"/>
      <w:r w:rsidRPr="00B504D7">
        <w:rPr>
          <w:rFonts w:cs="Times New Roman"/>
          <w:color w:val="auto"/>
          <w:lang w:val="lt-LT"/>
        </w:rPr>
        <w:t>“ ir „Hyundai</w:t>
      </w:r>
      <w:r w:rsidR="00FD22A1" w:rsidRPr="00B504D7">
        <w:rPr>
          <w:rFonts w:cs="Times New Roman"/>
          <w:color w:val="auto"/>
          <w:lang w:val="lt-LT"/>
        </w:rPr>
        <w:t> </w:t>
      </w:r>
      <w:proofErr w:type="spellStart"/>
      <w:r w:rsidRPr="00B504D7">
        <w:rPr>
          <w:rFonts w:cs="Times New Roman"/>
          <w:color w:val="auto"/>
          <w:lang w:val="lt-LT"/>
        </w:rPr>
        <w:t>Kona</w:t>
      </w:r>
      <w:proofErr w:type="spellEnd"/>
      <w:r w:rsidRPr="00B504D7">
        <w:rPr>
          <w:rFonts w:cs="Times New Roman"/>
          <w:color w:val="auto"/>
          <w:lang w:val="lt-LT"/>
        </w:rPr>
        <w:t>“ (12 t., b. l. 1–2). Ši krata buvo pradėta 2022 m. kovo 9 d. 8.31 val., o baigta 2022 m. kovo</w:t>
      </w:r>
      <w:r w:rsidR="00BE2BEC" w:rsidRPr="00B504D7">
        <w:rPr>
          <w:rFonts w:cs="Times New Roman"/>
          <w:color w:val="auto"/>
          <w:lang w:val="lt-LT"/>
        </w:rPr>
        <w:t> </w:t>
      </w:r>
      <w:r w:rsidRPr="00B504D7">
        <w:rPr>
          <w:rFonts w:cs="Times New Roman"/>
          <w:color w:val="auto"/>
          <w:lang w:val="lt-LT"/>
        </w:rPr>
        <w:t>10 d. 0.43</w:t>
      </w:r>
      <w:r w:rsidR="004704A2">
        <w:rPr>
          <w:rFonts w:cs="Times New Roman"/>
          <w:color w:val="auto"/>
          <w:lang w:val="lt-LT"/>
        </w:rPr>
        <w:t> </w:t>
      </w:r>
      <w:r w:rsidRPr="00B504D7">
        <w:rPr>
          <w:rFonts w:cs="Times New Roman"/>
          <w:color w:val="auto"/>
          <w:lang w:val="lt-LT"/>
        </w:rPr>
        <w:t>val. (12 t., b. l. 16). BPK 160</w:t>
      </w:r>
      <w:r w:rsidRPr="00B504D7">
        <w:rPr>
          <w:rFonts w:cs="Times New Roman"/>
          <w:color w:val="auto"/>
          <w:vertAlign w:val="superscript"/>
          <w:lang w:val="lt-LT"/>
        </w:rPr>
        <w:t>1</w:t>
      </w:r>
      <w:r w:rsidRPr="00B504D7">
        <w:rPr>
          <w:rFonts w:cs="Times New Roman"/>
          <w:color w:val="auto"/>
          <w:lang w:val="lt-LT"/>
        </w:rPr>
        <w:t xml:space="preserve"> straipsnio 1 dalyje nustatyta tvarka minėtos kratos taikymo teisėtumas buvo patvirtintas ikiteisminio tyrimo teisėjo 2022 m. rugsėjo 10 d. nutartimi (12 t., b. l. 12–14).</w:t>
      </w:r>
    </w:p>
    <w:p w14:paraId="1AF387D9" w14:textId="27B6B787" w:rsidR="00F26166" w:rsidRPr="00B504D7" w:rsidRDefault="00684D7D" w:rsidP="00E76436">
      <w:pPr>
        <w:pStyle w:val="Pagrindinistekstas"/>
        <w:numPr>
          <w:ilvl w:val="0"/>
          <w:numId w:val="2"/>
        </w:numPr>
        <w:spacing w:after="120"/>
        <w:rPr>
          <w:rFonts w:cs="Times New Roman"/>
          <w:i/>
          <w:iCs/>
          <w:color w:val="auto"/>
          <w:lang w:val="lt-LT"/>
        </w:rPr>
      </w:pPr>
      <w:r w:rsidRPr="00B504D7">
        <w:rPr>
          <w:rFonts w:cs="Times New Roman"/>
          <w:color w:val="auto"/>
          <w:lang w:val="lt-LT"/>
        </w:rPr>
        <w:t>Apeliacinės instancijos teismas nuosprendžio 31–42 punktuose atsakė į gynėjo keliamus klausimus, susijusius su atlikt</w:t>
      </w:r>
      <w:r w:rsidR="00F468C0" w:rsidRPr="00B504D7">
        <w:rPr>
          <w:rFonts w:cs="Times New Roman"/>
          <w:color w:val="auto"/>
          <w:lang w:val="lt-LT"/>
        </w:rPr>
        <w:t>os kratos teisėtumu ir pagrįstumu</w:t>
      </w:r>
      <w:r w:rsidRPr="00B504D7">
        <w:rPr>
          <w:rFonts w:cs="Times New Roman"/>
          <w:color w:val="auto"/>
          <w:lang w:val="lt-LT"/>
        </w:rPr>
        <w:t xml:space="preserve">: </w:t>
      </w:r>
      <w:r w:rsidR="00FD2BC2" w:rsidRPr="00B504D7">
        <w:rPr>
          <w:rFonts w:cs="Times New Roman"/>
          <w:color w:val="auto"/>
          <w:lang w:val="lt-LT"/>
        </w:rPr>
        <w:t xml:space="preserve">nuosprendyje </w:t>
      </w:r>
      <w:r w:rsidR="00F468C0" w:rsidRPr="00B504D7">
        <w:rPr>
          <w:rFonts w:cs="Times New Roman"/>
          <w:color w:val="auto"/>
          <w:lang w:val="lt-LT"/>
        </w:rPr>
        <w:t xml:space="preserve">pasisakyta </w:t>
      </w:r>
      <w:r w:rsidRPr="00B504D7">
        <w:rPr>
          <w:rFonts w:cs="Times New Roman"/>
          <w:color w:val="auto"/>
          <w:lang w:val="lt-LT"/>
        </w:rPr>
        <w:t xml:space="preserve">tiek dėl subjektų, dalyvavusių </w:t>
      </w:r>
      <w:r w:rsidR="00BE2BEC" w:rsidRPr="00B504D7">
        <w:rPr>
          <w:rFonts w:cs="Times New Roman"/>
          <w:color w:val="auto"/>
          <w:lang w:val="lt-LT"/>
        </w:rPr>
        <w:t xml:space="preserve">atliekant </w:t>
      </w:r>
      <w:r w:rsidRPr="00B504D7">
        <w:rPr>
          <w:rFonts w:cs="Times New Roman"/>
          <w:color w:val="auto"/>
          <w:lang w:val="lt-LT"/>
        </w:rPr>
        <w:t>krat</w:t>
      </w:r>
      <w:r w:rsidR="00BE2BEC" w:rsidRPr="00B504D7">
        <w:rPr>
          <w:rFonts w:cs="Times New Roman"/>
          <w:color w:val="auto"/>
          <w:lang w:val="lt-LT"/>
        </w:rPr>
        <w:t>ą</w:t>
      </w:r>
      <w:r w:rsidRPr="00B504D7">
        <w:rPr>
          <w:rFonts w:cs="Times New Roman"/>
          <w:color w:val="auto"/>
          <w:lang w:val="lt-LT"/>
        </w:rPr>
        <w:t xml:space="preserve">, tiek dėl neva penkių kratų atlikimo, tiek dėl </w:t>
      </w:r>
      <w:r w:rsidR="00535B3C" w:rsidRPr="00B504D7">
        <w:rPr>
          <w:rFonts w:cs="Times New Roman"/>
          <w:color w:val="auto"/>
          <w:lang w:val="lt-LT"/>
        </w:rPr>
        <w:t>tariamai</w:t>
      </w:r>
      <w:r w:rsidRPr="00B504D7">
        <w:rPr>
          <w:rFonts w:cs="Times New Roman"/>
          <w:color w:val="auto"/>
          <w:lang w:val="lt-LT"/>
        </w:rPr>
        <w:t xml:space="preserve"> ikiteisminio tyrimo teisėjo nepatvirtinto kratos teisėtumo. Šis teismas nustatė, kad krata buvo atlikta laikantis BPK 145, 149 ir 160</w:t>
      </w:r>
      <w:r w:rsidRPr="00B504D7">
        <w:rPr>
          <w:rFonts w:cs="Times New Roman"/>
          <w:color w:val="auto"/>
          <w:vertAlign w:val="superscript"/>
          <w:lang w:val="lt-LT"/>
        </w:rPr>
        <w:t>1</w:t>
      </w:r>
      <w:r w:rsidRPr="00B504D7">
        <w:rPr>
          <w:rFonts w:cs="Times New Roman"/>
          <w:color w:val="auto"/>
          <w:lang w:val="lt-LT"/>
        </w:rPr>
        <w:t xml:space="preserve"> </w:t>
      </w:r>
      <w:r w:rsidR="00BE2BEC" w:rsidRPr="00B504D7">
        <w:rPr>
          <w:rFonts w:cs="Times New Roman"/>
          <w:color w:val="auto"/>
          <w:lang w:val="lt-LT"/>
        </w:rPr>
        <w:t xml:space="preserve">straipsniuose </w:t>
      </w:r>
      <w:r w:rsidRPr="00B504D7">
        <w:rPr>
          <w:rFonts w:cs="Times New Roman"/>
          <w:color w:val="auto"/>
          <w:lang w:val="lt-LT"/>
        </w:rPr>
        <w:t>nustatytos tvarkos, kratos teisėtumas patvirtintas, kaip tai nustatyta BPK 160</w:t>
      </w:r>
      <w:r w:rsidRPr="00B504D7">
        <w:rPr>
          <w:rFonts w:cs="Times New Roman"/>
          <w:color w:val="auto"/>
          <w:vertAlign w:val="superscript"/>
          <w:lang w:val="lt-LT"/>
        </w:rPr>
        <w:t>1</w:t>
      </w:r>
      <w:r w:rsidRPr="00B504D7">
        <w:rPr>
          <w:rFonts w:cs="Times New Roman"/>
          <w:color w:val="auto"/>
          <w:lang w:val="lt-LT"/>
        </w:rPr>
        <w:t xml:space="preserve"> straipsnyje, kratą atliko subjektai, turintys teisę ją atlikti ir joje dalyvauti, nebuvo nepagrįstai suvaržytos ir juolab pažeistos </w:t>
      </w:r>
      <w:bookmarkStart w:id="152" w:name="Buk_110"/>
      <w:r w:rsidR="004F1F30" w:rsidRPr="004F1F30">
        <w:rPr>
          <w:rFonts w:cs="Times New Roman"/>
          <w:color w:val="auto"/>
          <w:lang w:val="lt-LT"/>
        </w:rPr>
        <w:t xml:space="preserve">V. Š. </w:t>
      </w:r>
      <w:bookmarkEnd w:id="152"/>
      <w:r w:rsidRPr="00B504D7">
        <w:rPr>
          <w:rFonts w:cs="Times New Roman"/>
          <w:color w:val="auto"/>
          <w:lang w:val="lt-LT"/>
        </w:rPr>
        <w:t>ir jo šeimos narių teisės, buvo atlikta viena nepertraukiama, o ne kelios kratos. Be kita ko, šis teismas atkreipė dėmesį į nustatytus netikslumus ikiteisminio tyrimo teisėjo nutartyje. Nustatyta, kad minėtą kratą atliko M. Kavaliauskas (12 t., b. l. 16</w:t>
      </w:r>
      <w:r w:rsidR="00BE2BEC" w:rsidRPr="00B504D7">
        <w:rPr>
          <w:rFonts w:cs="Times New Roman"/>
          <w:color w:val="auto"/>
          <w:lang w:val="lt-LT"/>
        </w:rPr>
        <w:t>–</w:t>
      </w:r>
      <w:r w:rsidRPr="00B504D7">
        <w:rPr>
          <w:rFonts w:cs="Times New Roman"/>
          <w:color w:val="auto"/>
          <w:lang w:val="lt-LT"/>
        </w:rPr>
        <w:t>22), būtent jis kreipėsi į prokurorą dėl kratos teisėtumo patvirtinimo (12 t., b. l. 3</w:t>
      </w:r>
      <w:r w:rsidR="00BE2BEC" w:rsidRPr="00B504D7">
        <w:rPr>
          <w:rFonts w:cs="Times New Roman"/>
          <w:color w:val="auto"/>
          <w:lang w:val="lt-LT"/>
        </w:rPr>
        <w:t>–</w:t>
      </w:r>
      <w:r w:rsidRPr="00B504D7">
        <w:rPr>
          <w:rFonts w:cs="Times New Roman"/>
          <w:color w:val="auto"/>
          <w:lang w:val="lt-LT"/>
        </w:rPr>
        <w:t>4). Prokuroras, kreipdamasis į teismą dėl kratos teisėtumo patvirtinimo</w:t>
      </w:r>
      <w:r w:rsidR="00BE2BEC" w:rsidRPr="00B504D7">
        <w:rPr>
          <w:rFonts w:cs="Times New Roman"/>
          <w:color w:val="auto"/>
          <w:lang w:val="lt-LT"/>
        </w:rPr>
        <w:t>,</w:t>
      </w:r>
      <w:r w:rsidRPr="00B504D7">
        <w:rPr>
          <w:rFonts w:cs="Times New Roman"/>
          <w:color w:val="auto"/>
          <w:lang w:val="lt-LT"/>
        </w:rPr>
        <w:t xml:space="preserve"> nurodė, kad 2022 m. kovo 9 d. nutarimą priėmė M.</w:t>
      </w:r>
      <w:r w:rsidR="001738CF" w:rsidRPr="00B504D7">
        <w:rPr>
          <w:rFonts w:cs="Times New Roman"/>
          <w:color w:val="auto"/>
          <w:lang w:val="lt-LT"/>
        </w:rPr>
        <w:t> </w:t>
      </w:r>
      <w:r w:rsidRPr="00B504D7">
        <w:rPr>
          <w:rFonts w:cs="Times New Roman"/>
          <w:color w:val="auto"/>
          <w:lang w:val="lt-LT"/>
        </w:rPr>
        <w:t xml:space="preserve">Kavaliauskas (12 t., b. l. 8), todėl toks teiginys buvo perrašytas į ikiteisminio tyrimo teisėjo nutartį (12 t., b. l. 12). Kratos protokolas datuotas 2022 m. kovo 9 d., protokole matyti, kad krata pradėta 8.31 val., baigta 0.43 val. Rankraštinis įrašas padarytas, nurodant datą </w:t>
      </w:r>
      <w:r w:rsidR="00956385" w:rsidRPr="00B504D7">
        <w:rPr>
          <w:rFonts w:cs="Times New Roman"/>
          <w:color w:val="auto"/>
          <w:lang w:val="lt-LT"/>
        </w:rPr>
        <w:t>„</w:t>
      </w:r>
      <w:r w:rsidRPr="00B504D7">
        <w:rPr>
          <w:rFonts w:cs="Times New Roman"/>
          <w:color w:val="auto"/>
          <w:lang w:val="lt-LT"/>
        </w:rPr>
        <w:t>2022-03-09 – 2022-03-10</w:t>
      </w:r>
      <w:r w:rsidR="00956385" w:rsidRPr="00B504D7">
        <w:rPr>
          <w:rFonts w:cs="Times New Roman"/>
          <w:color w:val="auto"/>
          <w:lang w:val="lt-LT"/>
        </w:rPr>
        <w:t>“</w:t>
      </w:r>
      <w:r w:rsidRPr="00B504D7">
        <w:rPr>
          <w:rFonts w:cs="Times New Roman"/>
          <w:color w:val="auto"/>
          <w:lang w:val="lt-LT"/>
        </w:rPr>
        <w:t>, šis rankraštinis taisymas pasirašytas (12 t., b. l. 16). Ikiteisminio tyrimo teisėja 2022</w:t>
      </w:r>
      <w:r w:rsidR="001738CF" w:rsidRPr="00B504D7">
        <w:rPr>
          <w:rFonts w:cs="Times New Roman"/>
          <w:color w:val="auto"/>
          <w:lang w:val="lt-LT"/>
        </w:rPr>
        <w:t> </w:t>
      </w:r>
      <w:r w:rsidRPr="00B504D7">
        <w:rPr>
          <w:rFonts w:cs="Times New Roman"/>
          <w:color w:val="auto"/>
          <w:lang w:val="lt-LT"/>
        </w:rPr>
        <w:t>m. kovo 10 d. nutartimi patvirtino kratos, atliktos 2022 m. kovo 9 d.</w:t>
      </w:r>
      <w:r w:rsidR="00BE2BEC" w:rsidRPr="00B504D7">
        <w:rPr>
          <w:rFonts w:cs="Times New Roman"/>
          <w:color w:val="auto"/>
          <w:lang w:val="lt-LT"/>
        </w:rPr>
        <w:t>,</w:t>
      </w:r>
      <w:r w:rsidRPr="00B504D7">
        <w:rPr>
          <w:rFonts w:cs="Times New Roman"/>
          <w:color w:val="auto"/>
          <w:lang w:val="lt-LT"/>
        </w:rPr>
        <w:t xml:space="preserve"> teisėtumą (12 t., b. l. 12–14). Taigi nustatyti akivaizdūs rašymo netikslumai, padaryti tiek prokuroro, tiek ikiteisminio tyrimo teisėjo, bet jie nereiškia nei atliktos kratos neteisėtumo, nei juolab</w:t>
      </w:r>
      <w:r w:rsidR="001738CF" w:rsidRPr="00B504D7">
        <w:rPr>
          <w:rFonts w:cs="Times New Roman"/>
          <w:color w:val="auto"/>
          <w:lang w:val="lt-LT"/>
        </w:rPr>
        <w:t xml:space="preserve"> esminio</w:t>
      </w:r>
      <w:r w:rsidRPr="00B504D7">
        <w:rPr>
          <w:rFonts w:cs="Times New Roman"/>
          <w:color w:val="auto"/>
          <w:lang w:val="lt-LT"/>
        </w:rPr>
        <w:t xml:space="preserve"> BPK nuostatų pažeidimo. </w:t>
      </w:r>
      <w:r w:rsidR="008C343A" w:rsidRPr="00B504D7">
        <w:rPr>
          <w:rFonts w:cs="Times New Roman"/>
          <w:color w:val="auto"/>
          <w:lang w:val="lt-LT"/>
        </w:rPr>
        <w:t>Išplėstinė t</w:t>
      </w:r>
      <w:r w:rsidRPr="00B504D7">
        <w:rPr>
          <w:rFonts w:cs="Times New Roman"/>
          <w:color w:val="auto"/>
          <w:lang w:val="lt-LT"/>
        </w:rPr>
        <w:t>eisėjų kolegija</w:t>
      </w:r>
      <w:r w:rsidR="008C343A" w:rsidRPr="00B504D7">
        <w:rPr>
          <w:rFonts w:cs="Times New Roman"/>
          <w:color w:val="auto"/>
          <w:lang w:val="lt-LT"/>
        </w:rPr>
        <w:t xml:space="preserve"> visiškai pritaria </w:t>
      </w:r>
      <w:r w:rsidRPr="00B504D7">
        <w:rPr>
          <w:rFonts w:cs="Times New Roman"/>
          <w:color w:val="auto"/>
          <w:lang w:val="lt-LT"/>
        </w:rPr>
        <w:t xml:space="preserve">apeliacinės instancijos teismo </w:t>
      </w:r>
      <w:r w:rsidR="008C343A" w:rsidRPr="00B504D7">
        <w:rPr>
          <w:rFonts w:cs="Times New Roman"/>
          <w:color w:val="auto"/>
          <w:lang w:val="lt-LT"/>
        </w:rPr>
        <w:t xml:space="preserve">nuosprendyje padarytoms išvadoms ir motyvams, </w:t>
      </w:r>
      <w:r w:rsidR="001738CF" w:rsidRPr="00B504D7">
        <w:rPr>
          <w:rFonts w:cs="Times New Roman"/>
          <w:color w:val="000000" w:themeColor="text1"/>
          <w:lang w:val="lt-LT"/>
        </w:rPr>
        <w:t>todėl p</w:t>
      </w:r>
      <w:r w:rsidRPr="00B504D7">
        <w:rPr>
          <w:rFonts w:cs="Times New Roman"/>
          <w:color w:val="000000" w:themeColor="text1"/>
          <w:lang w:val="lt-LT"/>
        </w:rPr>
        <w:t xml:space="preserve">lačiau šiuo klausimu </w:t>
      </w:r>
      <w:r w:rsidR="001738CF" w:rsidRPr="00B504D7">
        <w:rPr>
          <w:rFonts w:cs="Times New Roman"/>
          <w:color w:val="000000" w:themeColor="text1"/>
          <w:lang w:val="lt-LT"/>
        </w:rPr>
        <w:t xml:space="preserve">nepasisako. </w:t>
      </w:r>
    </w:p>
    <w:p w14:paraId="6F0377FF" w14:textId="469A89BE" w:rsidR="00F26166" w:rsidRPr="00B504D7" w:rsidRDefault="00792AF4" w:rsidP="00F26166">
      <w:pPr>
        <w:pStyle w:val="Pagrindinistekstas"/>
        <w:numPr>
          <w:ilvl w:val="0"/>
          <w:numId w:val="2"/>
        </w:numPr>
        <w:spacing w:after="120"/>
        <w:rPr>
          <w:rFonts w:cs="Times New Roman"/>
          <w:i/>
          <w:iCs/>
          <w:color w:val="auto"/>
          <w:lang w:val="lt-LT"/>
        </w:rPr>
      </w:pPr>
      <w:r w:rsidRPr="00B504D7">
        <w:rPr>
          <w:rFonts w:cs="Times New Roman"/>
          <w:color w:val="auto"/>
          <w:lang w:val="lt-LT"/>
        </w:rPr>
        <w:t>Išplėstinė septynių t</w:t>
      </w:r>
      <w:r w:rsidR="008C343A" w:rsidRPr="00B504D7">
        <w:rPr>
          <w:rFonts w:cs="Times New Roman"/>
          <w:color w:val="auto"/>
          <w:lang w:val="lt-LT"/>
        </w:rPr>
        <w:t xml:space="preserve">eisėjų kolegija neturi pagrindo sutikti ir su kasatoriaus keliamais klausimais, susijusiais su kriminalinės žvalgybos veiksmų teisėtumu. </w:t>
      </w:r>
      <w:r w:rsidR="003E3D3E" w:rsidRPr="00B504D7">
        <w:rPr>
          <w:rFonts w:cs="Times New Roman"/>
          <w:color w:val="auto"/>
          <w:lang w:val="lt-LT"/>
        </w:rPr>
        <w:t>P</w:t>
      </w:r>
      <w:r w:rsidR="00684D7D" w:rsidRPr="00B504D7">
        <w:rPr>
          <w:rFonts w:cs="Times New Roman"/>
          <w:color w:val="auto"/>
          <w:lang w:val="lt-LT"/>
        </w:rPr>
        <w:t xml:space="preserve">ažymėtina, kad teismas, nagrinėjantis </w:t>
      </w:r>
      <w:r w:rsidR="00684D7D" w:rsidRPr="00B504D7">
        <w:rPr>
          <w:rFonts w:cs="Times New Roman"/>
          <w:color w:val="auto"/>
          <w:lang w:val="lt-LT"/>
        </w:rPr>
        <w:lastRenderedPageBreak/>
        <w:t>bylą, kurioje kaltinimas grindžiamas duomenimis, gautais atliekant kriminalinę žvalgybą, šių duomenų leistinumą vertina pagal tai, ar buvo teisinis ir faktinis pagrindas atlikti kriminalinės žvalgybos veiksmus; ar šie veiksmai atlikti nepažeidžiant KŽĮ nustatytos tvarkos; ar duomenis, gautus atliekant kriminalinės žvalgybos tyrimą, patvirtina duomenys, gauti BPK nustatytais veiksmais; ar tyrimo veiksmų trukmė atitinka pagrįstumo, tikslingumo ir proporcingumo reikalavimus (kasacinės nutartys baudžiamosiose bylose Nr. 2K-P-94-895/2015, 2K-7-8-788/2018, 2K-7-1-788/2024, 2K-7-119-719/2024).</w:t>
      </w:r>
    </w:p>
    <w:p w14:paraId="41030770" w14:textId="4F22BECA" w:rsidR="009B423D" w:rsidRPr="00B504D7" w:rsidRDefault="00684D7D" w:rsidP="00231126">
      <w:pPr>
        <w:pStyle w:val="Pagrindinistekstas"/>
        <w:numPr>
          <w:ilvl w:val="0"/>
          <w:numId w:val="2"/>
        </w:numPr>
        <w:spacing w:after="120"/>
        <w:rPr>
          <w:rFonts w:cs="Times New Roman"/>
          <w:i/>
          <w:iCs/>
          <w:strike/>
          <w:color w:val="auto"/>
          <w:lang w:val="lt-LT"/>
        </w:rPr>
      </w:pPr>
      <w:r w:rsidRPr="00B504D7">
        <w:rPr>
          <w:rFonts w:cs="Times New Roman"/>
          <w:color w:val="auto"/>
          <w:lang w:val="lt-LT"/>
        </w:rPr>
        <w:t>Apeliacinės instancijos teismas nuosprendžio 17–30 punktuose</w:t>
      </w:r>
      <w:r w:rsidR="00956385" w:rsidRPr="00B504D7">
        <w:rPr>
          <w:rFonts w:cs="Times New Roman"/>
          <w:color w:val="auto"/>
          <w:lang w:val="lt-LT"/>
        </w:rPr>
        <w:t xml:space="preserve"> </w:t>
      </w:r>
      <w:r w:rsidRPr="00B504D7">
        <w:rPr>
          <w:rFonts w:cs="Times New Roman"/>
          <w:color w:val="auto"/>
          <w:lang w:val="lt-LT"/>
        </w:rPr>
        <w:t>į gynėjo apeliaciniame skunde keltus klausimus</w:t>
      </w:r>
      <w:r w:rsidR="003E3D3E" w:rsidRPr="00B504D7">
        <w:rPr>
          <w:rFonts w:cs="Times New Roman"/>
          <w:color w:val="auto"/>
          <w:lang w:val="lt-LT"/>
        </w:rPr>
        <w:t>, susijusius su kriminalinės žvalgybos veiksmų teisėtumu,</w:t>
      </w:r>
      <w:r w:rsidRPr="00B504D7">
        <w:rPr>
          <w:rFonts w:cs="Times New Roman"/>
          <w:color w:val="auto"/>
          <w:lang w:val="lt-LT"/>
        </w:rPr>
        <w:t xml:space="preserve"> atsakė. Šis teismas, be kita ko, atsižvelgdamas į nuteistojo gynėjo apeliacinį skundą, kreipėsi į STT, prašydamas pateikti išslaptintus dokumentus, susijusius su atliktais kriminalinės žvalgybos veiksmais, atliko įrodymų tyrimą ir juos ištyrė. Nustatyta, kad teismas patikrino tiek teisinį, tiek faktinį kriminalinės žvalgybos veiksmų atlikimo pagrindus, pasisakė dėl KŽĮ nuostatų, aktualių nagrinėjamai bylai, taikymo, motyvuotai paneigė gynybos teiginius apie provokaciją</w:t>
      </w:r>
      <w:r w:rsidR="00C372D3" w:rsidRPr="00B504D7">
        <w:rPr>
          <w:rFonts w:cs="Times New Roman"/>
          <w:color w:val="auto"/>
          <w:lang w:val="lt-LT"/>
        </w:rPr>
        <w:t>.</w:t>
      </w:r>
    </w:p>
    <w:p w14:paraId="0625103C" w14:textId="13ECF474" w:rsidR="00F26166" w:rsidRPr="00B504D7" w:rsidRDefault="009B423D" w:rsidP="007D2C18">
      <w:pPr>
        <w:pStyle w:val="Pagrindinistekstas"/>
        <w:numPr>
          <w:ilvl w:val="0"/>
          <w:numId w:val="2"/>
        </w:numPr>
        <w:rPr>
          <w:rFonts w:cs="Times New Roman"/>
          <w:i/>
          <w:iCs/>
          <w:strike/>
          <w:color w:val="auto"/>
          <w:lang w:val="lt-LT"/>
        </w:rPr>
      </w:pPr>
      <w:r w:rsidRPr="00B504D7">
        <w:rPr>
          <w:rFonts w:cs="Times New Roman"/>
          <w:color w:val="auto"/>
          <w:lang w:val="lt-LT"/>
        </w:rPr>
        <w:t>Taigi, i</w:t>
      </w:r>
      <w:r w:rsidR="00786FE4" w:rsidRPr="00B504D7">
        <w:rPr>
          <w:rFonts w:cs="Times New Roman"/>
          <w:color w:val="auto"/>
          <w:lang w:val="lt-LT"/>
        </w:rPr>
        <w:t>šplėstinė septynių t</w:t>
      </w:r>
      <w:r w:rsidR="00A73124" w:rsidRPr="00B504D7">
        <w:rPr>
          <w:rFonts w:cs="Times New Roman"/>
          <w:color w:val="auto"/>
          <w:lang w:val="lt-LT"/>
        </w:rPr>
        <w:t xml:space="preserve">eisėjų kolegija, patikrinusi skundžiamą apeliacinės instancijos teismo nuosprendį teisės taikymo aspektu, nenustatė jokių esminių BPK 20 straipsnio nuostatų pažeidimų, todėl </w:t>
      </w:r>
      <w:r w:rsidR="00C372D3" w:rsidRPr="00B504D7">
        <w:rPr>
          <w:rFonts w:cs="Times New Roman"/>
          <w:color w:val="auto"/>
          <w:lang w:val="lt-LT"/>
        </w:rPr>
        <w:t>iš esmės pritardama apeliacinės instancijos teismo išvadoms ir motyvams aptariamu klausimu jų nekartoja.</w:t>
      </w:r>
      <w:r w:rsidR="00CD7FEB" w:rsidRPr="00B504D7">
        <w:rPr>
          <w:rFonts w:cs="Times New Roman"/>
          <w:strike/>
          <w:color w:val="auto"/>
          <w:lang w:val="lt-LT"/>
        </w:rPr>
        <w:t xml:space="preserve"> </w:t>
      </w:r>
    </w:p>
    <w:p w14:paraId="526CA063" w14:textId="77777777" w:rsidR="006438E2" w:rsidRPr="00B504D7" w:rsidRDefault="006438E2" w:rsidP="007D2C18">
      <w:pPr>
        <w:pStyle w:val="Pagrindinistekstas"/>
        <w:ind w:firstLine="357"/>
        <w:rPr>
          <w:rFonts w:cs="Times New Roman"/>
          <w:i/>
          <w:iCs/>
          <w:color w:val="auto"/>
          <w:lang w:val="lt-LT"/>
        </w:rPr>
      </w:pPr>
    </w:p>
    <w:p w14:paraId="65C9B120" w14:textId="135F848C" w:rsidR="00281A2C" w:rsidRPr="00B504D7" w:rsidRDefault="00281A2C" w:rsidP="007D2C18">
      <w:pPr>
        <w:pStyle w:val="Pagrindinistekstas"/>
        <w:ind w:firstLine="357"/>
        <w:rPr>
          <w:rFonts w:cs="Times New Roman"/>
          <w:i/>
          <w:iCs/>
          <w:color w:val="auto"/>
          <w:lang w:val="lt-LT"/>
        </w:rPr>
      </w:pPr>
      <w:r w:rsidRPr="00B504D7">
        <w:rPr>
          <w:rFonts w:cs="Times New Roman"/>
          <w:i/>
          <w:iCs/>
          <w:color w:val="auto"/>
          <w:lang w:val="lt-LT"/>
        </w:rPr>
        <w:t>Dėl BK 59 straipsnio 1 dalies 2 punkto taikymo</w:t>
      </w:r>
    </w:p>
    <w:p w14:paraId="3D0009A3" w14:textId="77777777" w:rsidR="003E6B58" w:rsidRPr="00B504D7" w:rsidRDefault="003E6B58" w:rsidP="007D2C18">
      <w:pPr>
        <w:pStyle w:val="Pagrindinistekstas"/>
        <w:rPr>
          <w:lang w:val="lt-LT"/>
        </w:rPr>
      </w:pPr>
    </w:p>
    <w:p w14:paraId="489C3673" w14:textId="62A0366D" w:rsidR="00F53B09" w:rsidRPr="00B504D7" w:rsidRDefault="006977D4" w:rsidP="00085637">
      <w:pPr>
        <w:pStyle w:val="Pagrindinistekstas"/>
        <w:numPr>
          <w:ilvl w:val="0"/>
          <w:numId w:val="2"/>
        </w:numPr>
        <w:spacing w:after="120"/>
        <w:rPr>
          <w:lang w:val="lt-LT"/>
        </w:rPr>
      </w:pPr>
      <w:r w:rsidRPr="00B504D7">
        <w:rPr>
          <w:lang w:val="lt-LT"/>
        </w:rPr>
        <w:t xml:space="preserve">Kasatorius teigia, kad apeliacinės instancijos teismas nepagrįstai pašalino pirmosios instancijos teismo nustatytą atsakomybę lengvinančią aplinkybę, </w:t>
      </w:r>
      <w:r w:rsidR="00F07AFB" w:rsidRPr="00B504D7">
        <w:rPr>
          <w:lang w:val="lt-LT"/>
        </w:rPr>
        <w:t>nu</w:t>
      </w:r>
      <w:r w:rsidR="009B423D" w:rsidRPr="00B504D7">
        <w:rPr>
          <w:lang w:val="lt-LT"/>
        </w:rPr>
        <w:t xml:space="preserve">rodytą </w:t>
      </w:r>
      <w:bookmarkStart w:id="153" w:name="n2b4d6347-e4a2-40da-a8f4-7ba9a9c5cd5a"/>
      <w:r w:rsidR="00F07AFB" w:rsidRPr="00B504D7">
        <w:fldChar w:fldCharType="begin"/>
      </w:r>
      <w:r w:rsidR="00F07AFB" w:rsidRPr="00B504D7">
        <w:rPr>
          <w:lang w:val="lt-LT"/>
        </w:rPr>
        <w:instrText>HYPERLINK "https://www.infolex.lt/ta/66150" \t "_blank" \o "Lietuvos Respublikos baudžiamasis kodeksas"</w:instrText>
      </w:r>
      <w:r w:rsidR="00F07AFB" w:rsidRPr="00B504D7">
        <w:fldChar w:fldCharType="separate"/>
      </w:r>
      <w:r w:rsidR="00F07AFB" w:rsidRPr="00B504D7">
        <w:rPr>
          <w:rStyle w:val="Hipersaitas"/>
          <w:u w:val="none"/>
          <w:lang w:val="lt-LT"/>
        </w:rPr>
        <w:t>BK</w:t>
      </w:r>
      <w:r w:rsidR="00F07AFB" w:rsidRPr="00B504D7">
        <w:rPr>
          <w:rStyle w:val="Hipersaitas"/>
          <w:u w:val="none"/>
          <w:lang w:val="lt-LT"/>
        </w:rPr>
        <w:fldChar w:fldCharType="end"/>
      </w:r>
      <w:bookmarkStart w:id="154" w:name="pn2b4d6347-e4a2-40da-a8f4-7ba9a9c5cd5a"/>
      <w:bookmarkStart w:id="155" w:name="n92679b6c-c99b-45c5-925e-35faa2af7a80"/>
      <w:bookmarkEnd w:id="153"/>
      <w:bookmarkEnd w:id="154"/>
      <w:r w:rsidR="00F07AFB" w:rsidRPr="00B504D7">
        <w:rPr>
          <w:lang w:val="lt-LT"/>
        </w:rPr>
        <w:t xml:space="preserve"> </w:t>
      </w:r>
      <w:hyperlink r:id="rId52" w:tgtFrame="_blank" w:tooltip="Atsakomybę lengvinančios aplinkybės" w:history="1">
        <w:r w:rsidR="00F07AFB" w:rsidRPr="00B504D7">
          <w:rPr>
            <w:rStyle w:val="Hipersaitas"/>
            <w:u w:val="none"/>
            <w:lang w:val="lt-LT"/>
          </w:rPr>
          <w:t>59</w:t>
        </w:r>
      </w:hyperlink>
      <w:bookmarkStart w:id="156" w:name="pn92679b6c-c99b-45c5-925e-35faa2af7a80"/>
      <w:bookmarkEnd w:id="155"/>
      <w:bookmarkEnd w:id="156"/>
      <w:r w:rsidR="00F07AFB" w:rsidRPr="00B504D7">
        <w:rPr>
          <w:lang w:val="lt-LT"/>
        </w:rPr>
        <w:t xml:space="preserve"> straipsnio 1 dalies 2</w:t>
      </w:r>
      <w:r w:rsidR="00BE2BEC" w:rsidRPr="00B504D7">
        <w:rPr>
          <w:lang w:val="lt-LT"/>
        </w:rPr>
        <w:t> </w:t>
      </w:r>
      <w:r w:rsidR="00F07AFB" w:rsidRPr="00B504D7">
        <w:rPr>
          <w:lang w:val="lt-LT"/>
        </w:rPr>
        <w:t xml:space="preserve">punkte, </w:t>
      </w:r>
      <w:r w:rsidR="009B423D" w:rsidRPr="00B504D7">
        <w:rPr>
          <w:lang w:val="lt-LT"/>
        </w:rPr>
        <w:t xml:space="preserve">t. y. </w:t>
      </w:r>
      <w:r w:rsidRPr="00B504D7">
        <w:rPr>
          <w:lang w:val="lt-LT"/>
        </w:rPr>
        <w:t xml:space="preserve">kad </w:t>
      </w:r>
      <w:bookmarkStart w:id="157" w:name="Buk_59"/>
      <w:r w:rsidR="004F1F30" w:rsidRPr="004F1F30">
        <w:rPr>
          <w:color w:val="auto"/>
          <w:lang w:val="lt-LT"/>
        </w:rPr>
        <w:t xml:space="preserve">V. Š. </w:t>
      </w:r>
      <w:bookmarkEnd w:id="157"/>
      <w:r w:rsidRPr="00B504D7">
        <w:rPr>
          <w:lang w:val="lt-LT"/>
        </w:rPr>
        <w:t xml:space="preserve">prisipažino padaręs nusikalstamą veiką ir nuoširdžiai gailisi. </w:t>
      </w:r>
      <w:r w:rsidR="00F53B09" w:rsidRPr="00B504D7">
        <w:rPr>
          <w:lang w:val="lt-LT"/>
        </w:rPr>
        <w:t>Su tokiais kasatoriaus teiginiais nesutiktina</w:t>
      </w:r>
      <w:r w:rsidRPr="00B504D7">
        <w:rPr>
          <w:lang w:val="lt-LT"/>
        </w:rPr>
        <w:t>.</w:t>
      </w:r>
      <w:r w:rsidR="00E1266B" w:rsidRPr="00B504D7">
        <w:rPr>
          <w:lang w:val="lt-LT"/>
        </w:rPr>
        <w:t xml:space="preserve"> </w:t>
      </w:r>
      <w:r w:rsidR="00F83FF9" w:rsidRPr="00B504D7">
        <w:rPr>
          <w:lang w:val="lt-LT"/>
        </w:rPr>
        <w:t>P</w:t>
      </w:r>
      <w:r w:rsidR="00E1266B" w:rsidRPr="00B504D7">
        <w:rPr>
          <w:lang w:val="lt-LT"/>
        </w:rPr>
        <w:t xml:space="preserve">ašalindamas šią aplinkybę, </w:t>
      </w:r>
      <w:r w:rsidR="009B423D" w:rsidRPr="00B504D7">
        <w:rPr>
          <w:lang w:val="lt-LT"/>
        </w:rPr>
        <w:t xml:space="preserve">apeliacinės instancijos </w:t>
      </w:r>
      <w:r w:rsidR="00F83FF9" w:rsidRPr="00B504D7">
        <w:rPr>
          <w:lang w:val="lt-LT"/>
        </w:rPr>
        <w:t xml:space="preserve">teismas </w:t>
      </w:r>
      <w:r w:rsidR="00E1266B" w:rsidRPr="00B504D7">
        <w:rPr>
          <w:lang w:val="lt-LT"/>
        </w:rPr>
        <w:t xml:space="preserve">BK </w:t>
      </w:r>
      <w:r w:rsidR="00BE2BEC" w:rsidRPr="00B504D7">
        <w:rPr>
          <w:lang w:val="lt-LT"/>
        </w:rPr>
        <w:t xml:space="preserve">nustatytų </w:t>
      </w:r>
      <w:r w:rsidR="00E1266B" w:rsidRPr="00B504D7">
        <w:rPr>
          <w:lang w:val="lt-LT"/>
        </w:rPr>
        <w:t>bendrųjų bausm</w:t>
      </w:r>
      <w:r w:rsidR="009B423D" w:rsidRPr="00B504D7">
        <w:rPr>
          <w:lang w:val="lt-LT"/>
        </w:rPr>
        <w:t>ės</w:t>
      </w:r>
      <w:r w:rsidR="00E1266B" w:rsidRPr="00B504D7">
        <w:rPr>
          <w:lang w:val="lt-LT"/>
        </w:rPr>
        <w:t xml:space="preserve"> skyrimo taisyklių </w:t>
      </w:r>
      <w:r w:rsidR="00D20A62" w:rsidRPr="00B504D7">
        <w:rPr>
          <w:lang w:val="lt-LT"/>
        </w:rPr>
        <w:t>nepažeidė</w:t>
      </w:r>
      <w:r w:rsidR="009B423D" w:rsidRPr="00B504D7">
        <w:rPr>
          <w:lang w:val="lt-LT"/>
        </w:rPr>
        <w:t xml:space="preserve"> ir</w:t>
      </w:r>
      <w:r w:rsidR="00FD2BC2" w:rsidRPr="00B504D7">
        <w:rPr>
          <w:lang w:val="lt-LT"/>
        </w:rPr>
        <w:t xml:space="preserve"> nenukrypo nuo teismų praktikos</w:t>
      </w:r>
      <w:r w:rsidR="0045113B" w:rsidRPr="00B504D7">
        <w:rPr>
          <w:lang w:val="lt-LT"/>
        </w:rPr>
        <w:t>.</w:t>
      </w:r>
    </w:p>
    <w:p w14:paraId="71C673BC" w14:textId="65BA543C" w:rsidR="00281A2C" w:rsidRPr="00B504D7" w:rsidRDefault="00CB65F1" w:rsidP="00085637">
      <w:pPr>
        <w:pStyle w:val="Pagrindinistekstas"/>
        <w:numPr>
          <w:ilvl w:val="0"/>
          <w:numId w:val="2"/>
        </w:numPr>
        <w:spacing w:after="120"/>
        <w:rPr>
          <w:lang w:val="lt-LT"/>
        </w:rPr>
      </w:pPr>
      <w:r w:rsidRPr="00B504D7">
        <w:rPr>
          <w:lang w:val="lt-LT"/>
        </w:rPr>
        <w:t>Kasacinės instancijos teismo praktikoje, aiškinant</w:t>
      </w:r>
      <w:bookmarkStart w:id="158" w:name="n16060f2f-4a43-4a01-9280-e56995a3a71a"/>
      <w:r w:rsidRPr="00B504D7">
        <w:rPr>
          <w:lang w:val="lt-LT"/>
        </w:rPr>
        <w:t xml:space="preserve"> </w:t>
      </w:r>
      <w:hyperlink r:id="rId53" w:tgtFrame="_blank" w:tooltip="Lietuvos Respublikos baudžiamasis kodeksas" w:history="1">
        <w:r w:rsidRPr="00B504D7">
          <w:rPr>
            <w:rStyle w:val="Hipersaitas"/>
            <w:u w:val="none"/>
            <w:lang w:val="lt-LT"/>
          </w:rPr>
          <w:t>BK</w:t>
        </w:r>
      </w:hyperlink>
      <w:bookmarkStart w:id="159" w:name="pn16060f2f-4a43-4a01-9280-e56995a3a71a"/>
      <w:bookmarkStart w:id="160" w:name="n3672d3a9-3876-47ae-b4bb-2f1e106bb450"/>
      <w:bookmarkEnd w:id="158"/>
      <w:bookmarkEnd w:id="159"/>
      <w:r w:rsidRPr="00B504D7">
        <w:rPr>
          <w:lang w:val="lt-LT"/>
        </w:rPr>
        <w:t xml:space="preserve"> </w:t>
      </w:r>
      <w:hyperlink r:id="rId54" w:tgtFrame="_blank" w:tooltip="Atsakomybę lengvinančios aplinkybės" w:history="1">
        <w:r w:rsidRPr="00B504D7">
          <w:rPr>
            <w:rStyle w:val="Hipersaitas"/>
            <w:u w:val="none"/>
            <w:lang w:val="lt-LT"/>
          </w:rPr>
          <w:t>59</w:t>
        </w:r>
      </w:hyperlink>
      <w:bookmarkStart w:id="161" w:name="pn3672d3a9-3876-47ae-b4bb-2f1e106bb450"/>
      <w:bookmarkEnd w:id="160"/>
      <w:bookmarkEnd w:id="161"/>
      <w:r w:rsidRPr="00B504D7">
        <w:rPr>
          <w:lang w:val="lt-LT"/>
        </w:rPr>
        <w:t xml:space="preserve"> straipsnio 1 dalies 2 punkte nurodytos atsakomybę lengvinančios aplinkybės turinį, nurodyta, kad kaltininko prisipažinimas padarius baudžiamojo įstatymo nurodytą veiką ir nuoširdus gailėjimasis arba padėjimas išaiškinti veiką ar joje dalyvavusius asmenis yra pripažįstama kaltininko atsakomybę lengvinančia aplinkybe, jei teismas nustato du šios aplinkybės aspektus – kaltininko prisipažinimą padarius baudžiamojo įstatymo nurodytą veiką ir kaltininko nuoširdų gailėjimąsi arba padėjimą išaiškinti šią veiką ar joje dalyvavusius asmenis. Nesant bent vieno iš nurodytų momentų,</w:t>
      </w:r>
      <w:bookmarkStart w:id="162" w:name="n0d6ca5c5-92f4-48a6-84eb-d309cd4c23e0"/>
      <w:r w:rsidRPr="00B504D7">
        <w:rPr>
          <w:lang w:val="lt-LT"/>
        </w:rPr>
        <w:t xml:space="preserve"> </w:t>
      </w:r>
      <w:hyperlink r:id="rId55" w:tgtFrame="_blank" w:tooltip="Lietuvos Respublikos baudžiamasis kodeksas" w:history="1">
        <w:r w:rsidRPr="00B504D7">
          <w:rPr>
            <w:rStyle w:val="Hipersaitas"/>
            <w:u w:val="none"/>
            <w:lang w:val="lt-LT"/>
          </w:rPr>
          <w:t>BK</w:t>
        </w:r>
      </w:hyperlink>
      <w:bookmarkStart w:id="163" w:name="pn0d6ca5c5-92f4-48a6-84eb-d309cd4c23e0"/>
      <w:bookmarkStart w:id="164" w:name="n821c6d69-ac21-4b27-8fec-fb1ddb98ca88"/>
      <w:bookmarkEnd w:id="162"/>
      <w:bookmarkEnd w:id="163"/>
      <w:r w:rsidRPr="00B504D7">
        <w:rPr>
          <w:lang w:val="lt-LT"/>
        </w:rPr>
        <w:t xml:space="preserve"> </w:t>
      </w:r>
      <w:hyperlink r:id="rId56" w:tgtFrame="_blank" w:tooltip="Atsakomybę lengvinančios aplinkybės" w:history="1">
        <w:r w:rsidRPr="00B504D7">
          <w:rPr>
            <w:rStyle w:val="Hipersaitas"/>
            <w:u w:val="none"/>
            <w:lang w:val="lt-LT"/>
          </w:rPr>
          <w:t>59</w:t>
        </w:r>
      </w:hyperlink>
      <w:bookmarkStart w:id="165" w:name="pn821c6d69-ac21-4b27-8fec-fb1ddb98ca88"/>
      <w:bookmarkEnd w:id="164"/>
      <w:bookmarkEnd w:id="165"/>
      <w:r w:rsidRPr="00B504D7">
        <w:rPr>
          <w:lang w:val="lt-LT"/>
        </w:rPr>
        <w:t xml:space="preserve"> straipsnio 1 dalies 2</w:t>
      </w:r>
      <w:r w:rsidR="00BE2BEC" w:rsidRPr="00B504D7">
        <w:rPr>
          <w:lang w:val="lt-LT"/>
        </w:rPr>
        <w:t> </w:t>
      </w:r>
      <w:r w:rsidRPr="00B504D7">
        <w:rPr>
          <w:lang w:val="lt-LT"/>
        </w:rPr>
        <w:t>punkte nurodyta atsakomybę lengvinanti aplinkybė negali būti konstatuota. Kaltininko prisipažinimas padarius nusikalstamą veiką yra kaltinamojo asmeninės valios aktas, kai kaltininkas savanoriškai, o ne dėl surinktų įrodymų byloje pripažįsta esmines jam inkriminuoto nusikaltimo faktines aplinkybes ikiteisminio tyrimo ar teisminio bylos nagrinėjimo metu (kasacinės nutartys baudžiamosiose bylose Nr.</w:t>
      </w:r>
      <w:bookmarkStart w:id="166" w:name="n6d3e6b32-ef39-4237-a88a-dca60746a8e3"/>
      <w:r w:rsidRPr="00B504D7">
        <w:rPr>
          <w:lang w:val="lt-LT"/>
        </w:rPr>
        <w:t xml:space="preserve"> </w:t>
      </w:r>
      <w:hyperlink r:id="rId57" w:tgtFrame="_blank" w:tooltip="2K-7-107/2013 D. Č. pagal BK 260 str. 3 d., 238 str. 1 d., 238 str. 1 d., 199 str. 2 d." w:history="1">
        <w:r w:rsidRPr="00B504D7">
          <w:rPr>
            <w:rStyle w:val="Hipersaitas"/>
            <w:u w:val="none"/>
            <w:lang w:val="lt-LT"/>
          </w:rPr>
          <w:t>2K-7-107/2013</w:t>
        </w:r>
      </w:hyperlink>
      <w:bookmarkStart w:id="167" w:name="pn6d3e6b32-ef39-4237-a88a-dca60746a8e3"/>
      <w:bookmarkEnd w:id="166"/>
      <w:bookmarkEnd w:id="167"/>
      <w:r w:rsidRPr="00B504D7">
        <w:rPr>
          <w:lang w:val="lt-LT"/>
        </w:rPr>
        <w:t>,</w:t>
      </w:r>
      <w:bookmarkStart w:id="168" w:name="n12811825-ba9e-48e3-ac92-34bf2d717c64"/>
      <w:r w:rsidRPr="00B504D7">
        <w:rPr>
          <w:lang w:val="lt-LT"/>
        </w:rPr>
        <w:t xml:space="preserve"> </w:t>
      </w:r>
      <w:hyperlink r:id="rId58" w:tgtFrame="_blank" w:tooltip="2K-381-507/2016 Š. Ž. pagal BK 129 str. 2 d. 6, 9 p." w:history="1">
        <w:r w:rsidRPr="00B504D7">
          <w:rPr>
            <w:rStyle w:val="Hipersaitas"/>
            <w:u w:val="none"/>
            <w:lang w:val="lt-LT"/>
          </w:rPr>
          <w:t>2K-381-507/2016</w:t>
        </w:r>
      </w:hyperlink>
      <w:bookmarkStart w:id="169" w:name="pn12811825-ba9e-48e3-ac92-34bf2d717c64"/>
      <w:bookmarkEnd w:id="168"/>
      <w:bookmarkEnd w:id="169"/>
      <w:r w:rsidRPr="00B504D7">
        <w:rPr>
          <w:lang w:val="lt-LT"/>
        </w:rPr>
        <w:t>,</w:t>
      </w:r>
      <w:bookmarkStart w:id="170" w:name="n0acf6d21-c194-4dec-8482-bbfa099f6e13"/>
      <w:r w:rsidRPr="00B504D7">
        <w:rPr>
          <w:lang w:val="lt-LT"/>
        </w:rPr>
        <w:t xml:space="preserve"> </w:t>
      </w:r>
      <w:hyperlink r:id="rId59" w:tgtFrame="_blank" w:tooltip="2K-334-699/2017 A. V. pagal BK 135 str. 2 d. 8 p." w:history="1">
        <w:r w:rsidRPr="00B504D7">
          <w:rPr>
            <w:rStyle w:val="Hipersaitas"/>
            <w:u w:val="none"/>
            <w:lang w:val="lt-LT"/>
          </w:rPr>
          <w:t>2K-334-699/2017</w:t>
        </w:r>
      </w:hyperlink>
      <w:bookmarkStart w:id="171" w:name="pn0acf6d21-c194-4dec-8482-bbfa099f6e13"/>
      <w:bookmarkEnd w:id="170"/>
      <w:bookmarkEnd w:id="171"/>
      <w:r w:rsidRPr="00B504D7">
        <w:rPr>
          <w:lang w:val="lt-LT"/>
        </w:rPr>
        <w:t>,</w:t>
      </w:r>
      <w:bookmarkStart w:id="172" w:name="ne2a2dab0-09e4-45fc-bb2a-db3964b94c7b"/>
      <w:r w:rsidRPr="00B504D7">
        <w:rPr>
          <w:lang w:val="lt-LT"/>
        </w:rPr>
        <w:t xml:space="preserve"> </w:t>
      </w:r>
      <w:hyperlink r:id="rId60" w:tgtFrame="_blank" w:tooltip="2K-281-942/2018 Ž. A. pagal BK 260 str. 3 d." w:history="1">
        <w:r w:rsidRPr="00B504D7">
          <w:rPr>
            <w:rStyle w:val="Hipersaitas"/>
            <w:u w:val="none"/>
            <w:lang w:val="lt-LT"/>
          </w:rPr>
          <w:t>2K-281-942/2018</w:t>
        </w:r>
      </w:hyperlink>
      <w:bookmarkStart w:id="173" w:name="pne2a2dab0-09e4-45fc-bb2a-db3964b94c7b"/>
      <w:bookmarkEnd w:id="172"/>
      <w:bookmarkEnd w:id="173"/>
      <w:r w:rsidRPr="00B504D7">
        <w:rPr>
          <w:lang w:val="lt-LT"/>
        </w:rPr>
        <w:t>). Kaltininko nuoširdus gailėjimasis dėl padaryto nusikaltimo yra tada, kai kaltininkas laisva valia prisipažįsta padaręs nusikalstamą veiką, kritiškai vertina savo elgesį, išgyvena dėl padarytų veiksmų ir stengiasi sušvelninti nusikalstamos veikos padarinius (atlyginti žalą, teikia nukentėjusiajam neatidėliotiną pagalbą, jo atsiprašo ir pan.). Ši aplinkybė parodo asmens požiūrį į padarytą nusikalstamą veiką (kasacinės nutartys baudžiamosiose bylose Nr.</w:t>
      </w:r>
      <w:bookmarkStart w:id="174" w:name="nf0076f9b-74da-462a-8010-5a7ec75a67ae"/>
      <w:r w:rsidRPr="00B504D7">
        <w:rPr>
          <w:lang w:val="lt-LT"/>
        </w:rPr>
        <w:t xml:space="preserve"> </w:t>
      </w:r>
      <w:hyperlink r:id="rId61" w:tgtFrame="_blank" w:tooltip="2K-7-107/2013 D. Č. pagal BK 260 str. 3 d., 238 str. 1 d., 238 str. 1 d., 199 str. 2 d." w:history="1">
        <w:r w:rsidRPr="00B504D7">
          <w:rPr>
            <w:rStyle w:val="Hipersaitas"/>
            <w:u w:val="none"/>
            <w:lang w:val="lt-LT"/>
          </w:rPr>
          <w:t>2K-7-107/2013</w:t>
        </w:r>
      </w:hyperlink>
      <w:bookmarkStart w:id="175" w:name="pnf0076f9b-74da-462a-8010-5a7ec75a67ae"/>
      <w:bookmarkEnd w:id="174"/>
      <w:bookmarkEnd w:id="175"/>
      <w:r w:rsidRPr="00B504D7">
        <w:rPr>
          <w:lang w:val="lt-LT"/>
        </w:rPr>
        <w:t>,</w:t>
      </w:r>
      <w:bookmarkStart w:id="176" w:name="n4912a7fa-d3bc-4106-ae4c-5810ef02aeb8"/>
      <w:r w:rsidRPr="00B504D7">
        <w:rPr>
          <w:lang w:val="lt-LT"/>
        </w:rPr>
        <w:t xml:space="preserve"> </w:t>
      </w:r>
      <w:hyperlink r:id="rId62" w:tgtFrame="_blank" w:tooltip="2K-381-507/2016 Š. Ž. pagal BK 129 str. 2 d. 6, 9 p." w:history="1">
        <w:r w:rsidRPr="00B504D7">
          <w:rPr>
            <w:rStyle w:val="Hipersaitas"/>
            <w:u w:val="none"/>
            <w:lang w:val="lt-LT"/>
          </w:rPr>
          <w:t>2K-381-507/2016</w:t>
        </w:r>
      </w:hyperlink>
      <w:bookmarkStart w:id="177" w:name="pn4912a7fa-d3bc-4106-ae4c-5810ef02aeb8"/>
      <w:bookmarkEnd w:id="176"/>
      <w:bookmarkEnd w:id="177"/>
      <w:r w:rsidRPr="00B504D7">
        <w:rPr>
          <w:lang w:val="lt-LT"/>
        </w:rPr>
        <w:t>,</w:t>
      </w:r>
      <w:bookmarkStart w:id="178" w:name="nc1f20d73-2a4e-41f9-9c25-b9dbc5654469"/>
      <w:r w:rsidRPr="00B504D7">
        <w:rPr>
          <w:lang w:val="lt-LT"/>
        </w:rPr>
        <w:t xml:space="preserve"> </w:t>
      </w:r>
      <w:hyperlink r:id="rId63" w:tgtFrame="_blank" w:tooltip="2K-334-699/2017 A. V. pagal BK 135 str. 2 d. 8 p." w:history="1">
        <w:r w:rsidRPr="00B504D7">
          <w:rPr>
            <w:rStyle w:val="Hipersaitas"/>
            <w:u w:val="none"/>
            <w:lang w:val="lt-LT"/>
          </w:rPr>
          <w:t>2K-334-699/2017</w:t>
        </w:r>
      </w:hyperlink>
      <w:bookmarkStart w:id="179" w:name="pnc1f20d73-2a4e-41f9-9c25-b9dbc5654469"/>
      <w:bookmarkEnd w:id="178"/>
      <w:bookmarkEnd w:id="179"/>
      <w:r w:rsidRPr="00B504D7">
        <w:rPr>
          <w:lang w:val="lt-LT"/>
        </w:rPr>
        <w:t>,</w:t>
      </w:r>
      <w:bookmarkStart w:id="180" w:name="n267b8b4f-6037-4a3d-806e-927267853163"/>
      <w:r w:rsidRPr="00B504D7">
        <w:rPr>
          <w:lang w:val="lt-LT"/>
        </w:rPr>
        <w:t xml:space="preserve"> </w:t>
      </w:r>
      <w:hyperlink r:id="rId64" w:tgtFrame="_blank" w:tooltip="2K-281-942/2018 Ž. A. pagal BK 260 str. 3 d." w:history="1">
        <w:r w:rsidRPr="00B504D7">
          <w:rPr>
            <w:rStyle w:val="Hipersaitas"/>
            <w:u w:val="none"/>
            <w:lang w:val="lt-LT"/>
          </w:rPr>
          <w:t>2K-281-942/2018</w:t>
        </w:r>
      </w:hyperlink>
      <w:bookmarkStart w:id="181" w:name="pn267b8b4f-6037-4a3d-806e-927267853163"/>
      <w:bookmarkEnd w:id="180"/>
      <w:bookmarkEnd w:id="181"/>
      <w:r w:rsidRPr="00B504D7">
        <w:rPr>
          <w:lang w:val="lt-LT"/>
        </w:rPr>
        <w:t xml:space="preserve">). Pabrėžtina, kad nuoširdus gailėjimasis nustatomas ne vien pagal bendrus pareiškimus dėl kaltės pripažinimo – jis turi būti objektyviai įvertinamas pagal bylos aplinkybių visumą (duotus parodymus, kaltininko elgesį po įvykio ir vėliau, ir pan.) (kasacinė nutartis baudžiamojoje byloje Nr. </w:t>
      </w:r>
      <w:r w:rsidR="00F92162" w:rsidRPr="00B504D7">
        <w:rPr>
          <w:lang w:val="lt-LT"/>
        </w:rPr>
        <w:t xml:space="preserve">2K-203-511/2022). </w:t>
      </w:r>
    </w:p>
    <w:p w14:paraId="439B3BE5" w14:textId="79DE783D" w:rsidR="00B76809" w:rsidRPr="00B504D7" w:rsidRDefault="00B76809" w:rsidP="00085637">
      <w:pPr>
        <w:pStyle w:val="Pagrindinistekstas"/>
        <w:numPr>
          <w:ilvl w:val="0"/>
          <w:numId w:val="2"/>
        </w:numPr>
        <w:spacing w:after="120"/>
        <w:rPr>
          <w:lang w:val="lt-LT"/>
        </w:rPr>
      </w:pPr>
      <w:r w:rsidRPr="00B504D7">
        <w:rPr>
          <w:lang w:val="lt-LT"/>
        </w:rPr>
        <w:t>Nagrinėjamoje byloje nėra ginčo dėl to, kad yra nustatyt</w:t>
      </w:r>
      <w:r w:rsidR="00C31931" w:rsidRPr="00B504D7">
        <w:rPr>
          <w:lang w:val="lt-LT"/>
        </w:rPr>
        <w:t>a</w:t>
      </w:r>
      <w:r w:rsidR="00C372D3" w:rsidRPr="00B504D7">
        <w:rPr>
          <w:lang w:val="lt-LT"/>
        </w:rPr>
        <w:t>s</w:t>
      </w:r>
      <w:r w:rsidR="00C31931" w:rsidRPr="00B504D7">
        <w:rPr>
          <w:lang w:val="lt-LT"/>
        </w:rPr>
        <w:t xml:space="preserve"> vienas iš dviejų būtinųjų atsakomybę lengvinančios aplinkybės, nurodytos BK 59 straipsnio 1 dalies 2 punkte, aspektų – </w:t>
      </w:r>
      <w:r w:rsidR="009E5124" w:rsidRPr="00B504D7">
        <w:rPr>
          <w:lang w:val="lt-LT"/>
        </w:rPr>
        <w:t xml:space="preserve">pirmosios instancijos teisme </w:t>
      </w:r>
      <w:bookmarkStart w:id="182" w:name="Buk_111"/>
      <w:r w:rsidR="004F1F30" w:rsidRPr="004F1F30">
        <w:rPr>
          <w:color w:val="auto"/>
          <w:lang w:val="lt-LT"/>
        </w:rPr>
        <w:t xml:space="preserve">V. Š. </w:t>
      </w:r>
      <w:bookmarkEnd w:id="182"/>
      <w:r w:rsidR="009E5124" w:rsidRPr="00B504D7">
        <w:rPr>
          <w:lang w:val="lt-LT"/>
        </w:rPr>
        <w:t>išreikštas</w:t>
      </w:r>
      <w:r w:rsidR="00C31931" w:rsidRPr="00B504D7">
        <w:rPr>
          <w:lang w:val="lt-LT"/>
        </w:rPr>
        <w:t xml:space="preserve"> prisipažinimas</w:t>
      </w:r>
      <w:r w:rsidR="00BF4EC3" w:rsidRPr="00B504D7">
        <w:rPr>
          <w:lang w:val="lt-LT"/>
        </w:rPr>
        <w:t xml:space="preserve">, nes jis lėmė sutrumpinto įrodymų tyrimo </w:t>
      </w:r>
      <w:r w:rsidR="00BF4EC3" w:rsidRPr="00B504D7">
        <w:rPr>
          <w:lang w:val="lt-LT"/>
        </w:rPr>
        <w:lastRenderedPageBreak/>
        <w:t>taikymą BPK 273 straipsnyje nustatyta tvarka</w:t>
      </w:r>
      <w:r w:rsidR="00C31931" w:rsidRPr="00B504D7">
        <w:rPr>
          <w:lang w:val="lt-LT"/>
        </w:rPr>
        <w:t>.</w:t>
      </w:r>
      <w:r w:rsidR="00A04AB8" w:rsidRPr="00B504D7">
        <w:rPr>
          <w:lang w:val="lt-LT"/>
        </w:rPr>
        <w:t xml:space="preserve"> Tačiau abiejų instancijų teism</w:t>
      </w:r>
      <w:r w:rsidR="00FD2BC2" w:rsidRPr="00B504D7">
        <w:rPr>
          <w:lang w:val="lt-LT"/>
        </w:rPr>
        <w:t>ų</w:t>
      </w:r>
      <w:r w:rsidR="00A04AB8" w:rsidRPr="00B504D7">
        <w:rPr>
          <w:lang w:val="lt-LT"/>
        </w:rPr>
        <w:t xml:space="preserve"> vertinimas dėl </w:t>
      </w:r>
      <w:r w:rsidR="00F83FF9" w:rsidRPr="00B504D7">
        <w:rPr>
          <w:lang w:val="lt-LT"/>
        </w:rPr>
        <w:t xml:space="preserve">nuteistojo </w:t>
      </w:r>
      <w:r w:rsidR="00A04AB8" w:rsidRPr="00B504D7">
        <w:rPr>
          <w:lang w:val="lt-LT"/>
        </w:rPr>
        <w:t>nuoširdaus gailėjimosi yra skirtingas.</w:t>
      </w:r>
    </w:p>
    <w:p w14:paraId="2F7742E6" w14:textId="59E4FC65" w:rsidR="00993213" w:rsidRPr="00B504D7" w:rsidRDefault="00A512E3" w:rsidP="00085637">
      <w:pPr>
        <w:pStyle w:val="Pagrindinistekstas"/>
        <w:numPr>
          <w:ilvl w:val="0"/>
          <w:numId w:val="2"/>
        </w:numPr>
        <w:spacing w:after="120"/>
        <w:rPr>
          <w:lang w:val="lt-LT"/>
        </w:rPr>
      </w:pPr>
      <w:r w:rsidRPr="00B504D7">
        <w:rPr>
          <w:lang w:val="lt-LT"/>
        </w:rPr>
        <w:t>Pirmosios instancijos teismas, nustatydamas</w:t>
      </w:r>
      <w:r w:rsidR="00DE432A" w:rsidRPr="00B504D7">
        <w:rPr>
          <w:lang w:val="lt-LT"/>
        </w:rPr>
        <w:t xml:space="preserve"> </w:t>
      </w:r>
      <w:bookmarkStart w:id="183" w:name="Buk_112"/>
      <w:r w:rsidR="004F1F30" w:rsidRPr="004F1F30">
        <w:rPr>
          <w:color w:val="auto"/>
          <w:lang w:val="lt-LT"/>
        </w:rPr>
        <w:t xml:space="preserve">V. Š. </w:t>
      </w:r>
      <w:bookmarkEnd w:id="183"/>
      <w:r w:rsidR="00DE432A" w:rsidRPr="00B504D7">
        <w:rPr>
          <w:lang w:val="lt-LT"/>
        </w:rPr>
        <w:t xml:space="preserve">nuoširdų gailėjimąsi, </w:t>
      </w:r>
      <w:r w:rsidR="00CF179E" w:rsidRPr="00B504D7">
        <w:rPr>
          <w:lang w:val="lt-LT"/>
        </w:rPr>
        <w:t xml:space="preserve">motyvuotų </w:t>
      </w:r>
      <w:r w:rsidR="00F07AFB" w:rsidRPr="00B504D7">
        <w:rPr>
          <w:lang w:val="lt-LT"/>
        </w:rPr>
        <w:t xml:space="preserve">šią išvadą pagrindžiančių </w:t>
      </w:r>
      <w:r w:rsidR="00CF2380" w:rsidRPr="00B504D7">
        <w:rPr>
          <w:lang w:val="lt-LT"/>
        </w:rPr>
        <w:t xml:space="preserve">argumentų nenurodė. Iš nuosprendžio turinio matyti, kad nuoširdų gailėjimąsi </w:t>
      </w:r>
      <w:bookmarkStart w:id="184" w:name="Buk_60"/>
      <w:r w:rsidR="004F1F30" w:rsidRPr="004F1F30">
        <w:rPr>
          <w:color w:val="auto"/>
          <w:lang w:val="lt-LT"/>
        </w:rPr>
        <w:t>V.</w:t>
      </w:r>
      <w:r w:rsidR="006D04F4">
        <w:rPr>
          <w:color w:val="auto"/>
          <w:lang w:val="lt-LT"/>
        </w:rPr>
        <w:t> </w:t>
      </w:r>
      <w:r w:rsidR="004F1F30" w:rsidRPr="004F1F30">
        <w:rPr>
          <w:color w:val="auto"/>
          <w:lang w:val="lt-LT"/>
        </w:rPr>
        <w:t xml:space="preserve">Š. </w:t>
      </w:r>
      <w:bookmarkEnd w:id="184"/>
      <w:r w:rsidR="009E5124" w:rsidRPr="00B504D7">
        <w:rPr>
          <w:color w:val="000000" w:themeColor="text1"/>
          <w:lang w:val="lt-LT"/>
        </w:rPr>
        <w:t>išreiškė</w:t>
      </w:r>
      <w:r w:rsidR="00CF2380" w:rsidRPr="00B504D7">
        <w:rPr>
          <w:color w:val="000000" w:themeColor="text1"/>
          <w:lang w:val="lt-LT"/>
        </w:rPr>
        <w:t xml:space="preserve"> </w:t>
      </w:r>
      <w:r w:rsidR="00CF2380" w:rsidRPr="00B504D7">
        <w:rPr>
          <w:lang w:val="lt-LT"/>
        </w:rPr>
        <w:t>apklausiamas</w:t>
      </w:r>
      <w:r w:rsidR="009E5124" w:rsidRPr="00B504D7">
        <w:rPr>
          <w:lang w:val="lt-LT"/>
        </w:rPr>
        <w:t xml:space="preserve"> teisme</w:t>
      </w:r>
      <w:r w:rsidR="00CF2380" w:rsidRPr="00B504D7">
        <w:rPr>
          <w:lang w:val="lt-LT"/>
        </w:rPr>
        <w:t xml:space="preserve">. </w:t>
      </w:r>
      <w:r w:rsidR="00F83FF9" w:rsidRPr="00B504D7">
        <w:rPr>
          <w:lang w:val="lt-LT"/>
        </w:rPr>
        <w:t>A</w:t>
      </w:r>
      <w:r w:rsidR="00561D58" w:rsidRPr="00B504D7">
        <w:rPr>
          <w:lang w:val="lt-LT"/>
        </w:rPr>
        <w:t xml:space="preserve">peliacinės instancijos teismas, </w:t>
      </w:r>
      <w:r w:rsidR="003609AE" w:rsidRPr="00B504D7">
        <w:rPr>
          <w:lang w:val="lt-LT"/>
        </w:rPr>
        <w:t xml:space="preserve">nuspręsdamas, kad </w:t>
      </w:r>
      <w:bookmarkStart w:id="185" w:name="Buk_113"/>
      <w:r w:rsidR="004F1F30" w:rsidRPr="004F1F30">
        <w:rPr>
          <w:color w:val="auto"/>
          <w:lang w:val="lt-LT"/>
        </w:rPr>
        <w:t xml:space="preserve">V. Š. </w:t>
      </w:r>
      <w:bookmarkEnd w:id="185"/>
      <w:r w:rsidR="003609AE" w:rsidRPr="00B504D7">
        <w:rPr>
          <w:lang w:val="lt-LT"/>
        </w:rPr>
        <w:t xml:space="preserve">nuoširdus gailėjimasis nenustatytas, </w:t>
      </w:r>
      <w:r w:rsidR="00E864C4" w:rsidRPr="00B504D7">
        <w:rPr>
          <w:lang w:val="lt-LT"/>
        </w:rPr>
        <w:t>nuosprendžio 55–</w:t>
      </w:r>
      <w:r w:rsidR="0015719D" w:rsidRPr="00B504D7">
        <w:rPr>
          <w:lang w:val="lt-LT"/>
        </w:rPr>
        <w:t>62</w:t>
      </w:r>
      <w:r w:rsidR="00BE2BEC" w:rsidRPr="00B504D7">
        <w:rPr>
          <w:lang w:val="lt-LT"/>
        </w:rPr>
        <w:t> </w:t>
      </w:r>
      <w:r w:rsidR="0015719D" w:rsidRPr="00B504D7">
        <w:rPr>
          <w:lang w:val="lt-LT"/>
        </w:rPr>
        <w:t xml:space="preserve">punktuose </w:t>
      </w:r>
      <w:r w:rsidR="00C372D3" w:rsidRPr="00B504D7">
        <w:rPr>
          <w:lang w:val="lt-LT"/>
        </w:rPr>
        <w:t xml:space="preserve">išsamiai </w:t>
      </w:r>
      <w:r w:rsidR="003D26C0" w:rsidRPr="00B504D7">
        <w:rPr>
          <w:lang w:val="lt-LT"/>
        </w:rPr>
        <w:t xml:space="preserve">aptardamas nuteistojo parodymus proceso metu, pabrėžė, kad </w:t>
      </w:r>
      <w:r w:rsidR="00EC30A4" w:rsidRPr="00B504D7">
        <w:rPr>
          <w:lang w:val="lt-LT"/>
        </w:rPr>
        <w:t>jie</w:t>
      </w:r>
      <w:r w:rsidR="003D26C0" w:rsidRPr="00B504D7">
        <w:rPr>
          <w:lang w:val="lt-LT"/>
        </w:rPr>
        <w:t xml:space="preserve"> </w:t>
      </w:r>
      <w:r w:rsidR="003D26C0" w:rsidRPr="00B504D7">
        <w:rPr>
          <w:rFonts w:cs="Times New Roman"/>
          <w:lang w:val="lt-LT"/>
        </w:rPr>
        <w:t xml:space="preserve">viso proceso metu kito ir buvo nenuoseklūs, </w:t>
      </w:r>
      <w:r w:rsidR="00E7378A" w:rsidRPr="00B504D7">
        <w:rPr>
          <w:rFonts w:cs="Times New Roman"/>
          <w:lang w:val="lt-LT"/>
        </w:rPr>
        <w:t>kad teisiamajame posėdyje išreikštas gailėjimasis yra deklaratyvus, o ne nuoširdus BK 59</w:t>
      </w:r>
      <w:r w:rsidR="00AF03E9">
        <w:rPr>
          <w:rFonts w:cs="Times New Roman"/>
          <w:lang w:val="lt-LT"/>
        </w:rPr>
        <w:t> </w:t>
      </w:r>
      <w:r w:rsidR="00E7378A" w:rsidRPr="00B504D7">
        <w:rPr>
          <w:rFonts w:cs="Times New Roman"/>
          <w:lang w:val="lt-LT"/>
        </w:rPr>
        <w:t xml:space="preserve">straipsnio 1 dalies 2 punkto taikymo prasme. </w:t>
      </w:r>
      <w:r w:rsidR="00D30856" w:rsidRPr="00B504D7">
        <w:rPr>
          <w:rFonts w:cs="Times New Roman"/>
          <w:lang w:val="lt-LT"/>
        </w:rPr>
        <w:t>Teismas</w:t>
      </w:r>
      <w:r w:rsidR="009E5124" w:rsidRPr="00B504D7">
        <w:rPr>
          <w:rFonts w:cs="Times New Roman"/>
          <w:lang w:val="lt-LT"/>
        </w:rPr>
        <w:t>, atsižvelgdamas į byloje nustatytas aplinkybes,</w:t>
      </w:r>
      <w:r w:rsidR="00D30856" w:rsidRPr="00B504D7">
        <w:rPr>
          <w:rFonts w:cs="Times New Roman"/>
          <w:lang w:val="lt-LT"/>
        </w:rPr>
        <w:t xml:space="preserve"> akcentavo, kad </w:t>
      </w:r>
      <w:bookmarkStart w:id="186" w:name="Buk_61"/>
      <w:r w:rsidR="004F1F30" w:rsidRPr="004F1F30">
        <w:rPr>
          <w:rFonts w:cs="Times New Roman"/>
          <w:color w:val="auto"/>
          <w:lang w:val="lt-LT"/>
        </w:rPr>
        <w:t xml:space="preserve">V. Š. </w:t>
      </w:r>
      <w:bookmarkEnd w:id="186"/>
      <w:r w:rsidR="00D30856" w:rsidRPr="00B504D7">
        <w:rPr>
          <w:rFonts w:cs="Times New Roman"/>
          <w:lang w:val="lt-LT"/>
        </w:rPr>
        <w:t>gailisi dėl šiuo metu jam ir jo šeimai susidariusios neigiamos situacijos, o ne dėl to, kokią žalą jis padarė sukeldamas visuomenės nepasitikėjimą valdžios institucijomis, jų atstovų priimtais sprendimais</w:t>
      </w:r>
      <w:r w:rsidR="00993213" w:rsidRPr="00B504D7">
        <w:rPr>
          <w:rFonts w:cs="Times New Roman"/>
          <w:lang w:val="lt-LT"/>
        </w:rPr>
        <w:t xml:space="preserve">. </w:t>
      </w:r>
    </w:p>
    <w:p w14:paraId="01E54509" w14:textId="09E06F15" w:rsidR="0003097F" w:rsidRPr="00B504D7" w:rsidRDefault="00786FE4" w:rsidP="00085637">
      <w:pPr>
        <w:pStyle w:val="Pagrindinistekstas"/>
        <w:numPr>
          <w:ilvl w:val="0"/>
          <w:numId w:val="2"/>
        </w:numPr>
        <w:spacing w:after="120"/>
        <w:rPr>
          <w:lang w:val="lt-LT"/>
        </w:rPr>
      </w:pPr>
      <w:r w:rsidRPr="00B504D7">
        <w:rPr>
          <w:rFonts w:cs="Times New Roman"/>
          <w:lang w:val="lt-LT"/>
        </w:rPr>
        <w:t>Išplėstinė septynių t</w:t>
      </w:r>
      <w:r w:rsidR="00782DE3" w:rsidRPr="00B504D7">
        <w:rPr>
          <w:rFonts w:cs="Times New Roman"/>
          <w:lang w:val="lt-LT"/>
        </w:rPr>
        <w:t xml:space="preserve">eisėjų kolegija, </w:t>
      </w:r>
      <w:r w:rsidR="009F353E" w:rsidRPr="00B504D7">
        <w:rPr>
          <w:rFonts w:cs="Times New Roman"/>
          <w:lang w:val="lt-LT"/>
        </w:rPr>
        <w:t>vadovaudamasi BK 59 straipsnio 1 dalies 2 punkto nuostatomis, atsižvelgdama į pirmiau išdėstytą kasacinės instancijos teismo praktiką, įvertinusi</w:t>
      </w:r>
      <w:r w:rsidR="009E5124" w:rsidRPr="00B504D7">
        <w:rPr>
          <w:rFonts w:cs="Times New Roman"/>
          <w:lang w:val="lt-LT"/>
        </w:rPr>
        <w:t xml:space="preserve"> </w:t>
      </w:r>
      <w:r w:rsidR="009F353E" w:rsidRPr="00B504D7">
        <w:rPr>
          <w:rFonts w:cs="Times New Roman"/>
          <w:lang w:val="lt-LT"/>
        </w:rPr>
        <w:t xml:space="preserve">abiejų instancijų teismų argumentus </w:t>
      </w:r>
      <w:r w:rsidR="005D17EA" w:rsidRPr="00B504D7">
        <w:rPr>
          <w:rFonts w:cs="Times New Roman"/>
          <w:lang w:val="lt-LT"/>
        </w:rPr>
        <w:t xml:space="preserve">bei </w:t>
      </w:r>
      <w:r w:rsidR="009F353E" w:rsidRPr="00B504D7">
        <w:rPr>
          <w:rFonts w:cs="Times New Roman"/>
          <w:lang w:val="lt-LT"/>
        </w:rPr>
        <w:t>kasatoriaus teigini</w:t>
      </w:r>
      <w:r w:rsidR="005D17EA" w:rsidRPr="00B504D7">
        <w:rPr>
          <w:rFonts w:cs="Times New Roman"/>
          <w:lang w:val="lt-LT"/>
        </w:rPr>
        <w:t>us</w:t>
      </w:r>
      <w:r w:rsidR="009F353E" w:rsidRPr="00B504D7">
        <w:rPr>
          <w:rFonts w:cs="Times New Roman"/>
          <w:lang w:val="lt-LT"/>
        </w:rPr>
        <w:t>, konstatuoja, kad, kaip pagrįstai ir teisingai nustatė apeliacinės instancijos teismas, nagrinėjamoje byloje nėra pagrindo taikyti BK</w:t>
      </w:r>
      <w:r w:rsidR="00BE2BEC" w:rsidRPr="00B504D7">
        <w:rPr>
          <w:rFonts w:cs="Times New Roman"/>
          <w:lang w:val="lt-LT"/>
        </w:rPr>
        <w:t> </w:t>
      </w:r>
      <w:r w:rsidR="009F353E" w:rsidRPr="00B504D7">
        <w:rPr>
          <w:rFonts w:cs="Times New Roman"/>
          <w:lang w:val="lt-LT"/>
        </w:rPr>
        <w:t xml:space="preserve">59 straipsnio 1 dalies 2 punktą, nes nenustatytas </w:t>
      </w:r>
      <w:bookmarkStart w:id="187" w:name="Buk_114"/>
      <w:r w:rsidR="004F1F30" w:rsidRPr="004F1F30">
        <w:rPr>
          <w:rFonts w:cs="Times New Roman"/>
          <w:color w:val="auto"/>
          <w:lang w:val="lt-LT"/>
        </w:rPr>
        <w:t xml:space="preserve">V. Š. </w:t>
      </w:r>
      <w:bookmarkEnd w:id="187"/>
      <w:r w:rsidR="009F353E" w:rsidRPr="00B504D7">
        <w:rPr>
          <w:rFonts w:cs="Times New Roman"/>
          <w:lang w:val="lt-LT"/>
        </w:rPr>
        <w:t>nuoširdus gailėjimasis.</w:t>
      </w:r>
    </w:p>
    <w:p w14:paraId="01BDA7CB" w14:textId="1A0A0B84" w:rsidR="0003097F" w:rsidRPr="00B504D7" w:rsidRDefault="00456355" w:rsidP="00085637">
      <w:pPr>
        <w:pStyle w:val="Pagrindinistekstas"/>
        <w:numPr>
          <w:ilvl w:val="0"/>
          <w:numId w:val="2"/>
        </w:numPr>
        <w:spacing w:after="120"/>
        <w:rPr>
          <w:strike/>
          <w:highlight w:val="yellow"/>
          <w:lang w:val="lt-LT"/>
        </w:rPr>
      </w:pPr>
      <w:r w:rsidRPr="00B504D7">
        <w:rPr>
          <w:lang w:val="lt-LT"/>
        </w:rPr>
        <w:t>Neva nuoširdus gailėjimasis atsispindi</w:t>
      </w:r>
      <w:r w:rsidR="0027247C" w:rsidRPr="00B504D7">
        <w:rPr>
          <w:lang w:val="lt-LT"/>
        </w:rPr>
        <w:t xml:space="preserve"> tik </w:t>
      </w:r>
      <w:bookmarkStart w:id="188" w:name="Buk_115"/>
      <w:r w:rsidR="004F1F30" w:rsidRPr="004F1F30">
        <w:rPr>
          <w:color w:val="auto"/>
          <w:lang w:val="lt-LT"/>
        </w:rPr>
        <w:t xml:space="preserve">V. Š. </w:t>
      </w:r>
      <w:bookmarkEnd w:id="188"/>
      <w:r w:rsidR="0027247C" w:rsidRPr="00B504D7">
        <w:rPr>
          <w:lang w:val="lt-LT"/>
        </w:rPr>
        <w:t>parodym</w:t>
      </w:r>
      <w:r w:rsidRPr="00B504D7">
        <w:rPr>
          <w:lang w:val="lt-LT"/>
        </w:rPr>
        <w:t xml:space="preserve">uose, </w:t>
      </w:r>
      <w:r w:rsidR="0027247C" w:rsidRPr="00B504D7">
        <w:rPr>
          <w:lang w:val="lt-LT"/>
        </w:rPr>
        <w:t xml:space="preserve">tačiau </w:t>
      </w:r>
      <w:r w:rsidR="009E5124" w:rsidRPr="00B504D7">
        <w:rPr>
          <w:lang w:val="lt-LT"/>
        </w:rPr>
        <w:t xml:space="preserve">joks kitas baudžiamojo persekiojimo metu pademonstruotas elgesys ir poelgiai </w:t>
      </w:r>
      <w:r w:rsidR="0027247C" w:rsidRPr="00B504D7">
        <w:rPr>
          <w:lang w:val="lt-LT"/>
        </w:rPr>
        <w:t xml:space="preserve">šių teiginių nepagrindžia. </w:t>
      </w:r>
      <w:r w:rsidRPr="00B504D7">
        <w:rPr>
          <w:lang w:val="lt-LT"/>
        </w:rPr>
        <w:t xml:space="preserve">Nors </w:t>
      </w:r>
      <w:bookmarkStart w:id="189" w:name="Buk_62"/>
      <w:r w:rsidR="004F1F30" w:rsidRPr="004F1F30">
        <w:rPr>
          <w:color w:val="auto"/>
          <w:lang w:val="lt-LT"/>
        </w:rPr>
        <w:t xml:space="preserve">V. Š. </w:t>
      </w:r>
      <w:bookmarkEnd w:id="189"/>
      <w:r w:rsidR="00A67A40" w:rsidRPr="00B504D7">
        <w:rPr>
          <w:lang w:val="lt-LT"/>
        </w:rPr>
        <w:t>2023</w:t>
      </w:r>
      <w:r w:rsidR="003F3369">
        <w:rPr>
          <w:lang w:val="lt-LT"/>
        </w:rPr>
        <w:t> </w:t>
      </w:r>
      <w:r w:rsidR="00A67A40" w:rsidRPr="00B504D7">
        <w:rPr>
          <w:lang w:val="lt-LT"/>
        </w:rPr>
        <w:t>m. rugsėjo 19</w:t>
      </w:r>
      <w:r w:rsidRPr="00B504D7">
        <w:rPr>
          <w:lang w:val="lt-LT"/>
        </w:rPr>
        <w:t> </w:t>
      </w:r>
      <w:r w:rsidR="00A67A40" w:rsidRPr="00B504D7">
        <w:rPr>
          <w:lang w:val="lt-LT"/>
        </w:rPr>
        <w:t>d. teisiamajame posėdyje pripažino, kad reikalavo kyšių, todėl prokuroras sutiko su sutrumpintu įrodymų tyrimu, tačiau</w:t>
      </w:r>
      <w:r w:rsidR="00AD04C9" w:rsidRPr="00B504D7">
        <w:rPr>
          <w:lang w:val="lt-LT"/>
        </w:rPr>
        <w:t xml:space="preserve"> </w:t>
      </w:r>
      <w:r w:rsidR="000D166C" w:rsidRPr="00B504D7">
        <w:rPr>
          <w:lang w:val="lt-LT"/>
        </w:rPr>
        <w:t xml:space="preserve">šis </w:t>
      </w:r>
      <w:r w:rsidR="00CF179E" w:rsidRPr="00B504D7">
        <w:rPr>
          <w:lang w:val="lt-LT"/>
        </w:rPr>
        <w:t>kaltės pripažinimas</w:t>
      </w:r>
      <w:r w:rsidRPr="00B504D7">
        <w:rPr>
          <w:lang w:val="lt-LT"/>
        </w:rPr>
        <w:t xml:space="preserve"> </w:t>
      </w:r>
      <w:r w:rsidR="000D166C" w:rsidRPr="00B504D7">
        <w:rPr>
          <w:lang w:val="lt-LT"/>
        </w:rPr>
        <w:t xml:space="preserve">susijęs su siekiu baigti procesą, atliekant sutrumpintą įrodymų tyrimą ir taip užsitikrinant trečdaliu mažesnę </w:t>
      </w:r>
      <w:r w:rsidR="00696664" w:rsidRPr="00B504D7">
        <w:rPr>
          <w:lang w:val="lt-LT"/>
        </w:rPr>
        <w:t xml:space="preserve">gresiančio terminuoto laisvės atėmimo </w:t>
      </w:r>
      <w:r w:rsidR="000D166C" w:rsidRPr="00B504D7">
        <w:rPr>
          <w:lang w:val="lt-LT"/>
        </w:rPr>
        <w:t>bausmę</w:t>
      </w:r>
      <w:r w:rsidRPr="00B504D7">
        <w:rPr>
          <w:lang w:val="lt-LT"/>
        </w:rPr>
        <w:t xml:space="preserve">, </w:t>
      </w:r>
      <w:r w:rsidR="00696664" w:rsidRPr="00B504D7">
        <w:rPr>
          <w:lang w:val="lt-LT"/>
        </w:rPr>
        <w:t>kuri BK 225 straipsnio 3 dalyje yra nurodyta kaip vienintelė bausmės rūšis</w:t>
      </w:r>
      <w:r w:rsidR="009B423D" w:rsidRPr="00B504D7">
        <w:rPr>
          <w:lang w:val="lt-LT"/>
        </w:rPr>
        <w:t>. T</w:t>
      </w:r>
      <w:r w:rsidR="00CF179E" w:rsidRPr="00B504D7">
        <w:rPr>
          <w:lang w:val="lt-LT"/>
        </w:rPr>
        <w:t xml:space="preserve">ačiau </w:t>
      </w:r>
      <w:r w:rsidR="009B423D" w:rsidRPr="00B504D7">
        <w:rPr>
          <w:lang w:val="lt-LT"/>
        </w:rPr>
        <w:t xml:space="preserve">vien </w:t>
      </w:r>
      <w:r w:rsidR="00CF179E" w:rsidRPr="00B504D7">
        <w:rPr>
          <w:lang w:val="lt-LT"/>
        </w:rPr>
        <w:t xml:space="preserve">tai savaime </w:t>
      </w:r>
      <w:r w:rsidR="00BE2BEC" w:rsidRPr="00B504D7">
        <w:rPr>
          <w:lang w:val="lt-LT"/>
        </w:rPr>
        <w:t xml:space="preserve">nesuteikia </w:t>
      </w:r>
      <w:r w:rsidR="00CF179E" w:rsidRPr="00B504D7">
        <w:rPr>
          <w:lang w:val="lt-LT"/>
        </w:rPr>
        <w:t xml:space="preserve">pagrindo </w:t>
      </w:r>
      <w:r w:rsidR="00BE2BEC" w:rsidRPr="00B504D7">
        <w:rPr>
          <w:lang w:val="lt-LT"/>
        </w:rPr>
        <w:t>daryti išvadą</w:t>
      </w:r>
      <w:r w:rsidR="00CF179E" w:rsidRPr="00B504D7">
        <w:rPr>
          <w:lang w:val="lt-LT"/>
        </w:rPr>
        <w:t>, kad asmuo, pripažįstantis savo kaltę, dėl padarytos nusikalstamos veikos ir nuoširdžiai gailisi.</w:t>
      </w:r>
    </w:p>
    <w:p w14:paraId="4C368750" w14:textId="2B04A5D3" w:rsidR="009B423D" w:rsidRPr="00B504D7" w:rsidRDefault="009B423D" w:rsidP="005467A8">
      <w:pPr>
        <w:pStyle w:val="Pagrindinistekstas"/>
        <w:numPr>
          <w:ilvl w:val="0"/>
          <w:numId w:val="2"/>
        </w:numPr>
        <w:rPr>
          <w:strike/>
          <w:highlight w:val="yellow"/>
          <w:lang w:val="lt-LT"/>
        </w:rPr>
      </w:pPr>
      <w:r w:rsidRPr="00B504D7">
        <w:rPr>
          <w:lang w:val="lt-LT"/>
        </w:rPr>
        <w:t>Atsižvelgiant į išdėstytų aplinkybių visetą</w:t>
      </w:r>
      <w:r w:rsidR="00BE2BEC" w:rsidRPr="00B504D7">
        <w:rPr>
          <w:lang w:val="lt-LT"/>
        </w:rPr>
        <w:t>,</w:t>
      </w:r>
      <w:r w:rsidRPr="00B504D7">
        <w:rPr>
          <w:lang w:val="lt-LT"/>
        </w:rPr>
        <w:t xml:space="preserve"> konstatuotina, kad apeliacinės instancijos teismas, nuspręsdamas pašalinti BK 59 straipsnio 1 dalies 2 punkte nustatytą atsakomybę lengvinančią aplinkybę, įstatymą taikė tinkamai.</w:t>
      </w:r>
    </w:p>
    <w:p w14:paraId="6008D16E" w14:textId="77777777" w:rsidR="006977D4" w:rsidRPr="00B504D7" w:rsidRDefault="006977D4" w:rsidP="005467A8">
      <w:pPr>
        <w:pStyle w:val="Pagrindinistekstas"/>
        <w:rPr>
          <w:lang w:val="lt-LT"/>
        </w:rPr>
      </w:pPr>
    </w:p>
    <w:p w14:paraId="24A171CF" w14:textId="6D3FE840" w:rsidR="003E6B58" w:rsidRPr="00B504D7" w:rsidRDefault="00BC546F" w:rsidP="005467A8">
      <w:pPr>
        <w:pStyle w:val="Pagrindinistekstas"/>
        <w:ind w:firstLine="357"/>
        <w:rPr>
          <w:i/>
          <w:iCs/>
          <w:lang w:val="lt-LT"/>
        </w:rPr>
      </w:pPr>
      <w:r w:rsidRPr="00B504D7">
        <w:rPr>
          <w:i/>
          <w:iCs/>
          <w:lang w:val="lt-LT"/>
        </w:rPr>
        <w:t>Dėl BK 54 straipsnio 3 dalies taikymo</w:t>
      </w:r>
    </w:p>
    <w:p w14:paraId="059946FC" w14:textId="77777777" w:rsidR="00EB131B" w:rsidRPr="00B504D7" w:rsidRDefault="00EB131B" w:rsidP="005467A8">
      <w:pPr>
        <w:pStyle w:val="Pagrindinistekstas"/>
        <w:ind w:firstLine="357"/>
        <w:rPr>
          <w:i/>
          <w:iCs/>
          <w:lang w:val="lt-LT"/>
        </w:rPr>
      </w:pPr>
    </w:p>
    <w:p w14:paraId="1A60610E" w14:textId="11F78041" w:rsidR="003E6B58" w:rsidRPr="00B504D7" w:rsidRDefault="00E412BA" w:rsidP="00085637">
      <w:pPr>
        <w:pStyle w:val="Pagrindinistekstas"/>
        <w:numPr>
          <w:ilvl w:val="0"/>
          <w:numId w:val="2"/>
        </w:numPr>
        <w:spacing w:after="120"/>
        <w:rPr>
          <w:lang w:val="lt-LT"/>
        </w:rPr>
      </w:pPr>
      <w:r w:rsidRPr="00B504D7">
        <w:rPr>
          <w:lang w:val="lt-LT"/>
        </w:rPr>
        <w:t xml:space="preserve">Nuteistojo gynėjo teiginiai dėl netinkamo baudžiamojo įstatymo – BK 54 straipsnio 3 dalies – taikymo </w:t>
      </w:r>
      <w:r w:rsidR="006E655C" w:rsidRPr="00B504D7">
        <w:rPr>
          <w:lang w:val="lt-LT"/>
        </w:rPr>
        <w:t>apeliacinės instancijos teisme</w:t>
      </w:r>
      <w:r w:rsidR="00C05D9B" w:rsidRPr="00B504D7">
        <w:rPr>
          <w:lang w:val="lt-LT"/>
        </w:rPr>
        <w:t xml:space="preserve"> taip pat</w:t>
      </w:r>
      <w:r w:rsidR="006E655C" w:rsidRPr="00B504D7">
        <w:rPr>
          <w:lang w:val="lt-LT"/>
        </w:rPr>
        <w:t xml:space="preserve"> </w:t>
      </w:r>
      <w:r w:rsidRPr="00B504D7">
        <w:rPr>
          <w:lang w:val="lt-LT"/>
        </w:rPr>
        <w:t xml:space="preserve">yra nepagrįsti. </w:t>
      </w:r>
    </w:p>
    <w:p w14:paraId="7EA8E356" w14:textId="1BB15C1C" w:rsidR="00C40FE4" w:rsidRPr="00B504D7" w:rsidRDefault="004F1F30" w:rsidP="00122725">
      <w:pPr>
        <w:pStyle w:val="Sraopastraipa"/>
        <w:numPr>
          <w:ilvl w:val="0"/>
          <w:numId w:val="2"/>
        </w:numPr>
        <w:spacing w:after="120"/>
        <w:jc w:val="both"/>
        <w:rPr>
          <w:lang w:val="lt-LT"/>
        </w:rPr>
      </w:pPr>
      <w:bookmarkStart w:id="190" w:name="Buk_63"/>
      <w:r w:rsidRPr="004F1F30">
        <w:rPr>
          <w:color w:val="auto"/>
          <w:lang w:val="lt-LT"/>
        </w:rPr>
        <w:t xml:space="preserve">V. Š. </w:t>
      </w:r>
      <w:bookmarkEnd w:id="190"/>
      <w:r w:rsidR="00C40FE4" w:rsidRPr="00B504D7">
        <w:rPr>
          <w:lang w:val="lt-LT"/>
        </w:rPr>
        <w:t>nuteistas pagal BK 225 straipsnio 3 dalį, t. y. už sunkaus nusikaltimo padarymą. Už šios nusikalstamos veikos padarymą gali būti skiriama tik laisvės atėmimo bausmė nuo dvejų iki aštuonerių metų.</w:t>
      </w:r>
    </w:p>
    <w:p w14:paraId="0012A365" w14:textId="7EB1AA64" w:rsidR="0002492D" w:rsidRPr="00B504D7" w:rsidRDefault="00A24E53" w:rsidP="00905E2F">
      <w:pPr>
        <w:pStyle w:val="Pagrindinistekstas"/>
        <w:numPr>
          <w:ilvl w:val="0"/>
          <w:numId w:val="2"/>
        </w:numPr>
        <w:spacing w:after="120"/>
        <w:rPr>
          <w:lang w:val="lt-LT"/>
        </w:rPr>
      </w:pPr>
      <w:r w:rsidRPr="00B504D7">
        <w:rPr>
          <w:lang w:val="lt-LT"/>
        </w:rPr>
        <w:t xml:space="preserve">BK 54 straipsnio 3 dalyje nurodyta, kad jeigu </w:t>
      </w:r>
      <w:r w:rsidR="00FA2BC1" w:rsidRPr="00B504D7">
        <w:rPr>
          <w:lang w:val="lt-LT"/>
        </w:rPr>
        <w:t>BK specialiosios dalies straipsnio</w:t>
      </w:r>
      <w:r w:rsidRPr="00B504D7">
        <w:rPr>
          <w:lang w:val="lt-LT"/>
        </w:rPr>
        <w:t xml:space="preserve"> sankcijoje nu</w:t>
      </w:r>
      <w:r w:rsidR="00FA2BC1" w:rsidRPr="00B504D7">
        <w:rPr>
          <w:lang w:val="lt-LT"/>
        </w:rPr>
        <w:t>sta</w:t>
      </w:r>
      <w:r w:rsidRPr="00B504D7">
        <w:rPr>
          <w:lang w:val="lt-LT"/>
        </w:rPr>
        <w:t>tytos bausmės paskyrimas aiškiai prieštarautų teisingumo principui, teismas, vadovaudamasis bausmės paskirtimi, gali motyvuotai paskirti švelnesnę bausmę.</w:t>
      </w:r>
      <w:r w:rsidR="0002492D" w:rsidRPr="00B504D7">
        <w:rPr>
          <w:lang w:val="lt-LT"/>
        </w:rPr>
        <w:t xml:space="preserve"> </w:t>
      </w:r>
    </w:p>
    <w:p w14:paraId="1015B3B2" w14:textId="0DD91CB6" w:rsidR="00682730" w:rsidRPr="00B504D7" w:rsidRDefault="00682730" w:rsidP="00905E2F">
      <w:pPr>
        <w:pStyle w:val="Pagrindinistekstas"/>
        <w:numPr>
          <w:ilvl w:val="0"/>
          <w:numId w:val="2"/>
        </w:numPr>
        <w:spacing w:after="120"/>
        <w:rPr>
          <w:lang w:val="lt-LT"/>
        </w:rPr>
      </w:pPr>
      <w:r w:rsidRPr="00B504D7">
        <w:rPr>
          <w:lang w:val="lt-LT"/>
        </w:rPr>
        <w:t>Teismų praktikoje išaiškinta, kad pagal BK 54 straipsnio 3 dalį kitokia bausmė, nei nustatyta straipsnio, pagal kurį kvalifikuota veika, sankcijoje, paprastai gali būti paskiriama, jei yra išimtinių aplinkybių ir nėra pagrindo paskirti švelnesnę negu įstatymo nustatytą bausmę pagal BK</w:t>
      </w:r>
      <w:r w:rsidR="003C52F6" w:rsidRPr="00B504D7">
        <w:rPr>
          <w:lang w:val="lt-LT"/>
        </w:rPr>
        <w:t> </w:t>
      </w:r>
      <w:r w:rsidRPr="00B504D7">
        <w:rPr>
          <w:lang w:val="lt-LT"/>
        </w:rPr>
        <w:t xml:space="preserve">62 straipsnį, o įstatymo nustatytos bausmės paskyrimas būtų aiškiai neproporcingas (neadekvatus) konkrečiam baudžiamojo įstatymo pažeidimui, kaltininko asmenybei </w:t>
      </w:r>
      <w:r w:rsidR="003C52F6" w:rsidRPr="00B504D7">
        <w:rPr>
          <w:lang w:val="lt-LT"/>
        </w:rPr>
        <w:t xml:space="preserve">ir </w:t>
      </w:r>
      <w:r w:rsidRPr="00B504D7">
        <w:rPr>
          <w:lang w:val="lt-LT"/>
        </w:rPr>
        <w:t>kitoms bylos aplinkybėms. Toks teisinis reguliavimas leidžia daryti išvadą, kad šis bausmės švelninimo pagrindas sietinas su konkrečioje byloje nustatytų aplinkybių visuma, rodančia, jog baudžiamajame įstatyme nurodytos bausmės skyrimo taisyklės nėra pakankamos teisingumo principui įgyvendinti ir teisingai bausmei paskirti (kasacinės nutartys baudžiamosiose bylose Nr.</w:t>
      </w:r>
      <w:r w:rsidR="003C52F6" w:rsidRPr="00B504D7">
        <w:rPr>
          <w:lang w:val="lt-LT"/>
        </w:rPr>
        <w:t> </w:t>
      </w:r>
      <w:r w:rsidRPr="00B504D7">
        <w:rPr>
          <w:lang w:val="lt-LT"/>
        </w:rPr>
        <w:t xml:space="preserve">2K-432/2014, 2K-186-942/2015, 2K-179-719/2022, 2K-221-976/2023). Iš esmės turi būti </w:t>
      </w:r>
      <w:r w:rsidRPr="00B504D7">
        <w:rPr>
          <w:lang w:val="lt-LT"/>
        </w:rPr>
        <w:lastRenderedPageBreak/>
        <w:t>nustatyta visuma toki</w:t>
      </w:r>
      <w:r w:rsidR="003C52F6" w:rsidRPr="00B504D7">
        <w:rPr>
          <w:lang w:val="lt-LT"/>
        </w:rPr>
        <w:t>ų</w:t>
      </w:r>
      <w:r w:rsidRPr="00B504D7">
        <w:rPr>
          <w:lang w:val="lt-LT"/>
        </w:rPr>
        <w:t xml:space="preserve"> aplinkybių, dėl kurių bausmė, nors formaliai ir atitinka visas bausmės skyrimo nuostatas (tai gali būti ir sankcijos minimumas), nepasiekia visų savo tikslų, nurodytų BK 41 straipsnio 2 dalyje, arba, atvirkščiai, pasiekia iš esmės tik vieną – nubaudimą (kasacinės nutartys baudžiamosiose bylose Nr. 2K-P-18-648/2016, 2K-235-648/2017, 2K-233-976/2021).</w:t>
      </w:r>
      <w:r w:rsidR="00A343B6" w:rsidRPr="00B504D7">
        <w:rPr>
          <w:lang w:val="lt-LT"/>
        </w:rPr>
        <w:t xml:space="preserve"> </w:t>
      </w:r>
      <w:r w:rsidRPr="00B504D7">
        <w:rPr>
          <w:lang w:val="lt-LT"/>
        </w:rPr>
        <w:t>BK 54 straipsnio 3 dalies taikymas susijęs su aplinkybių, apibūdinančių nusikalstamos veikos pavojingumą ir šią veiką padariusį asmenį, visumos vertinimu (kasacinės nutartys baudžiamosiose bylose Nr. 2K-420/2006, 2K-382/2012, 2K-348/2013, 2K-412/2014, 2K-383-895/2015, 2K-126-693/2018, 2K-233-976/2021). BK 54 straipsnio 3 dalies nuostatoms taikyti paprastai turi būti nustatyta, kad padaryto nusikaltimo pavojingumas, atsižvelgiant į padaryto nusikaltimo stadiją, nusikaltimo padarymo vietą, laiką, būdą, kilusius padarinius, yra žymiai mažesnis negu rūšinis tos nusikalstamos veikos pavojingumas, įvertintas įstatymo leidėjo baudžiamojo įstatymo už padarytą nusikaltimą sankcijoje (kasacinės nutartys baudžiamosiose bylose Nr. 2K-348/2013, 2K-P-89/2014, 2K-169-458/2020, 2K-125-689/2021). BK 54 straipsnio 3 daliai taikyti taip pat labai svarbi yra kaltininko asmenybė, kurios vertinimas gali suponuoti išvadą, kad net minimalios įstatymo sankcijoje nurodytos laisvės atėmimo bausmės paskyrimas už nusikaltimą, padarytą byloje nustatytomis aplinkybėmis, nebūtų teisingas; vertinant kaltininko asmenybės pavojingumą, svarbų vaidmenį atlieka kaltininko nusikalstamo elgesio priežastys ir motyvai, asmenybės ypatumai, užsiėmimas, ankstesnis elgesys prieš nusikalstamos veikos padarymą, taip pat nusikalstamos veikos darymo metu ir po nusikalstamos veikos padarymo (kasacinė nutartis baudžiamojoje byloje Nr. 2K-348/2013). BK 54 straipsnio 3 dalies taikymas tiesiogiai susijęs su vidiniu teismo įsitikinimu dėl kaltinamojo asmenybės pavojingumo, o šį įsitikinimą formuoja ne tik objektyvi bylos medžiaga, bet ir įrodymų tyrimas, asmenų apklausos, tiesioginis teisiamojo elgesio ir laikysenos stebėjimas, jo parodymų ir atsakymų į patikslinančius klausimus išklausymas ir pan. (kasacinės nutartys baudžiamosiose bylose Nr. 2K-316-788/2019, 2K-187-976/2023, 2K-250-976/2023).</w:t>
      </w:r>
    </w:p>
    <w:p w14:paraId="357F9429" w14:textId="79E8C724" w:rsidR="00F26B3F" w:rsidRPr="00616A7C" w:rsidRDefault="00C055E0" w:rsidP="00085637">
      <w:pPr>
        <w:pStyle w:val="Pagrindinistekstas"/>
        <w:numPr>
          <w:ilvl w:val="0"/>
          <w:numId w:val="2"/>
        </w:numPr>
        <w:spacing w:after="120"/>
        <w:rPr>
          <w:rFonts w:cs="Times New Roman"/>
          <w:lang w:val="lt-LT"/>
        </w:rPr>
      </w:pPr>
      <w:r w:rsidRPr="00B504D7">
        <w:rPr>
          <w:color w:val="000000" w:themeColor="text1"/>
          <w:lang w:val="lt-LT"/>
        </w:rPr>
        <w:t>A</w:t>
      </w:r>
      <w:r w:rsidR="00F26B3F" w:rsidRPr="00B504D7">
        <w:rPr>
          <w:color w:val="000000" w:themeColor="text1"/>
          <w:lang w:val="lt-LT"/>
        </w:rPr>
        <w:t>biejų instancijų teismai</w:t>
      </w:r>
      <w:r w:rsidRPr="00B504D7">
        <w:rPr>
          <w:color w:val="000000" w:themeColor="text1"/>
          <w:lang w:val="lt-LT"/>
        </w:rPr>
        <w:t xml:space="preserve">, </w:t>
      </w:r>
      <w:r w:rsidRPr="00B504D7">
        <w:rPr>
          <w:lang w:val="lt-LT"/>
        </w:rPr>
        <w:t xml:space="preserve">skirdami </w:t>
      </w:r>
      <w:bookmarkStart w:id="191" w:name="Buk_141"/>
      <w:r w:rsidR="004F1F30" w:rsidRPr="004F1F30">
        <w:rPr>
          <w:color w:val="auto"/>
          <w:lang w:val="lt-LT"/>
        </w:rPr>
        <w:t xml:space="preserve">V. Š. </w:t>
      </w:r>
      <w:bookmarkEnd w:id="191"/>
      <w:r w:rsidR="00F42611" w:rsidRPr="00B504D7">
        <w:rPr>
          <w:lang w:val="lt-LT"/>
        </w:rPr>
        <w:t>bausmę</w:t>
      </w:r>
      <w:r w:rsidRPr="00B504D7">
        <w:rPr>
          <w:lang w:val="lt-LT"/>
        </w:rPr>
        <w:t xml:space="preserve">, </w:t>
      </w:r>
      <w:r w:rsidR="00F26B3F" w:rsidRPr="00B504D7">
        <w:rPr>
          <w:lang w:val="lt-LT"/>
        </w:rPr>
        <w:t xml:space="preserve">dėl BK 54 straipsnio 3 dalies </w:t>
      </w:r>
      <w:r w:rsidR="00AF415F" w:rsidRPr="00B504D7">
        <w:rPr>
          <w:lang w:val="lt-LT"/>
        </w:rPr>
        <w:t>taikymo</w:t>
      </w:r>
      <w:r w:rsidR="00BF0EC6" w:rsidRPr="00B504D7">
        <w:rPr>
          <w:lang w:val="lt-LT"/>
        </w:rPr>
        <w:t>, baudos bausmės</w:t>
      </w:r>
      <w:r w:rsidR="0031222A" w:rsidRPr="00B504D7">
        <w:rPr>
          <w:lang w:val="lt-LT"/>
        </w:rPr>
        <w:t xml:space="preserve"> skyrimo teisingumo,</w:t>
      </w:r>
      <w:r w:rsidR="00AF415F" w:rsidRPr="00B504D7">
        <w:rPr>
          <w:lang w:val="lt-LT"/>
        </w:rPr>
        <w:t xml:space="preserve"> </w:t>
      </w:r>
      <w:r w:rsidR="00F26B3F" w:rsidRPr="00B504D7">
        <w:rPr>
          <w:lang w:val="lt-LT"/>
        </w:rPr>
        <w:t>padarė skirtingas išvadas. Pirmosios instancijos teismas</w:t>
      </w:r>
      <w:r w:rsidR="001135B3" w:rsidRPr="00B504D7">
        <w:rPr>
          <w:lang w:val="lt-LT"/>
        </w:rPr>
        <w:t>, pritaikydamas BK 54 straipsnio 3 dalį ir paskirdamas ne BK 225 straipsnio 3 dalies sankcijoje nurodytą terminuoto laisvės atėmimo bausmę, o baudą,</w:t>
      </w:r>
      <w:r w:rsidR="004A018B" w:rsidRPr="00B504D7">
        <w:rPr>
          <w:lang w:val="lt-LT"/>
        </w:rPr>
        <w:t xml:space="preserve"> padarė išvadą, kad </w:t>
      </w:r>
      <w:r w:rsidR="004A018B" w:rsidRPr="00B504D7">
        <w:rPr>
          <w:rFonts w:cs="Times New Roman"/>
          <w:lang w:val="lt-LT"/>
        </w:rPr>
        <w:t xml:space="preserve">terminuoto laisvės atėmimo bausmės skyrimas darbingo amžiaus, neteistam, vedusiam ir turinčiam nuo jo priklausomų asmenų, dirbančiam, išimtinai teigiamai charakterizuojamam ir savo kaltę visiškai pripažinusiam </w:t>
      </w:r>
      <w:bookmarkStart w:id="192" w:name="Buk_142"/>
      <w:r w:rsidR="004F1F30" w:rsidRPr="004F1F30">
        <w:rPr>
          <w:rFonts w:cs="Times New Roman"/>
          <w:color w:val="auto"/>
          <w:lang w:val="lt-LT"/>
        </w:rPr>
        <w:t xml:space="preserve">V. Š. </w:t>
      </w:r>
      <w:bookmarkEnd w:id="192"/>
      <w:r w:rsidR="004A018B" w:rsidRPr="00B504D7">
        <w:rPr>
          <w:rFonts w:cs="Times New Roman"/>
          <w:lang w:val="lt-LT"/>
        </w:rPr>
        <w:t xml:space="preserve">aiškiai prieštarautų teisingumo principui ir nepasiektų bausmei keliamų tikslų. </w:t>
      </w:r>
      <w:r w:rsidR="00786FE4" w:rsidRPr="00B504D7">
        <w:rPr>
          <w:rFonts w:cs="Times New Roman"/>
          <w:lang w:val="lt-LT"/>
        </w:rPr>
        <w:t>T</w:t>
      </w:r>
      <w:r w:rsidR="005317CC" w:rsidRPr="00B504D7">
        <w:rPr>
          <w:rFonts w:cs="Times New Roman"/>
          <w:lang w:val="lt-LT"/>
        </w:rPr>
        <w:t xml:space="preserve">aip pat atsižvelgė ir </w:t>
      </w:r>
      <w:r w:rsidR="004A0016" w:rsidRPr="00B504D7">
        <w:rPr>
          <w:rFonts w:cs="Times New Roman"/>
          <w:lang w:val="lt-LT"/>
        </w:rPr>
        <w:t xml:space="preserve">į </w:t>
      </w:r>
      <w:r w:rsidR="001135B3" w:rsidRPr="00616A7C">
        <w:rPr>
          <w:rFonts w:cs="Times New Roman"/>
          <w:lang w:val="lt-LT"/>
        </w:rPr>
        <w:t>nusikalstamos veikos pobūdį</w:t>
      </w:r>
      <w:r w:rsidR="004A0016" w:rsidRPr="00616A7C">
        <w:rPr>
          <w:rFonts w:cs="Times New Roman"/>
          <w:lang w:val="lt-LT"/>
        </w:rPr>
        <w:t xml:space="preserve"> (</w:t>
      </w:r>
      <w:r w:rsidR="001135B3" w:rsidRPr="00616A7C">
        <w:rPr>
          <w:rFonts w:cs="Times New Roman"/>
          <w:lang w:val="lt-LT"/>
        </w:rPr>
        <w:t>nusikaltimas nėra smurtinis</w:t>
      </w:r>
      <w:r w:rsidR="004A0016" w:rsidRPr="00616A7C">
        <w:rPr>
          <w:rFonts w:cs="Times New Roman"/>
          <w:lang w:val="lt-LT"/>
        </w:rPr>
        <w:t>)</w:t>
      </w:r>
      <w:r w:rsidR="001135B3" w:rsidRPr="00616A7C">
        <w:rPr>
          <w:rFonts w:cs="Times New Roman"/>
          <w:lang w:val="lt-LT"/>
        </w:rPr>
        <w:t>, veikos padarymo aplinkybes</w:t>
      </w:r>
      <w:r w:rsidR="00786FE4" w:rsidRPr="00616A7C">
        <w:rPr>
          <w:rFonts w:cs="Times New Roman"/>
          <w:lang w:val="lt-LT"/>
        </w:rPr>
        <w:t>.</w:t>
      </w:r>
      <w:r w:rsidR="008D4DC9" w:rsidRPr="00616A7C">
        <w:rPr>
          <w:rFonts w:cs="Times New Roman"/>
          <w:lang w:val="lt-LT"/>
        </w:rPr>
        <w:t xml:space="preserve"> Be to, šis teismas nustatė </w:t>
      </w:r>
      <w:r w:rsidR="00B34E17" w:rsidRPr="00616A7C">
        <w:rPr>
          <w:rFonts w:cs="Times New Roman"/>
          <w:lang w:val="lt-LT"/>
        </w:rPr>
        <w:t xml:space="preserve">ir </w:t>
      </w:r>
      <w:r w:rsidR="008D4DC9" w:rsidRPr="00616A7C">
        <w:rPr>
          <w:rFonts w:cs="Times New Roman"/>
          <w:lang w:val="lt-LT"/>
        </w:rPr>
        <w:t>mažesnį baudos dydį</w:t>
      </w:r>
      <w:r w:rsidR="003C52F6" w:rsidRPr="00616A7C">
        <w:rPr>
          <w:rFonts w:cs="Times New Roman"/>
          <w:lang w:val="lt-LT"/>
        </w:rPr>
        <w:t>,</w:t>
      </w:r>
      <w:r w:rsidR="008D4DC9" w:rsidRPr="00616A7C">
        <w:rPr>
          <w:rFonts w:cs="Times New Roman"/>
          <w:lang w:val="lt-LT"/>
        </w:rPr>
        <w:t xml:space="preserve"> nei nustatyta BK</w:t>
      </w:r>
      <w:r w:rsidR="00E35CA0" w:rsidRPr="00616A7C">
        <w:rPr>
          <w:rFonts w:cs="Times New Roman"/>
          <w:lang w:val="lt-LT"/>
        </w:rPr>
        <w:t xml:space="preserve"> </w:t>
      </w:r>
      <w:r w:rsidR="008D4DC9" w:rsidRPr="00616A7C">
        <w:rPr>
          <w:rFonts w:cs="Times New Roman"/>
          <w:lang w:val="lt-LT"/>
        </w:rPr>
        <w:t>47</w:t>
      </w:r>
      <w:r w:rsidR="00E35CA0" w:rsidRPr="00616A7C">
        <w:rPr>
          <w:rFonts w:cs="Times New Roman"/>
          <w:lang w:val="lt-LT"/>
        </w:rPr>
        <w:t> </w:t>
      </w:r>
      <w:r w:rsidR="008D4DC9" w:rsidRPr="00616A7C">
        <w:rPr>
          <w:rFonts w:cs="Times New Roman"/>
          <w:lang w:val="lt-LT"/>
        </w:rPr>
        <w:t>straipsn</w:t>
      </w:r>
      <w:r w:rsidR="00C31475" w:rsidRPr="00616A7C">
        <w:rPr>
          <w:rFonts w:cs="Times New Roman"/>
          <w:lang w:val="lt-LT"/>
        </w:rPr>
        <w:t xml:space="preserve">io 6 dalyje, kurioje nurodyta, kad už BK XXXIII skyriuje </w:t>
      </w:r>
      <w:r w:rsidR="007A445B" w:rsidRPr="00616A7C">
        <w:rPr>
          <w:rFonts w:cs="Times New Roman"/>
          <w:lang w:val="lt-LT"/>
        </w:rPr>
        <w:t xml:space="preserve">„Nusikaltimai ir baudžiamieji nusižengimai valstybės tarnybai ir viešiesiems interesams“ </w:t>
      </w:r>
      <w:r w:rsidR="00C31475" w:rsidRPr="00616A7C">
        <w:rPr>
          <w:rFonts w:cs="Times New Roman"/>
          <w:lang w:val="lt-LT"/>
        </w:rPr>
        <w:t>nu</w:t>
      </w:r>
      <w:r w:rsidR="007A445B" w:rsidRPr="00616A7C">
        <w:rPr>
          <w:rFonts w:cs="Times New Roman"/>
          <w:lang w:val="lt-LT"/>
        </w:rPr>
        <w:t>sta</w:t>
      </w:r>
      <w:r w:rsidR="00C31475" w:rsidRPr="00616A7C">
        <w:rPr>
          <w:rFonts w:cs="Times New Roman"/>
          <w:lang w:val="lt-LT"/>
        </w:rPr>
        <w:t xml:space="preserve">tytas nusikalstamas veikas skiriama bauda negali būti mažesnė negu nustatyto nusikalstamos veikos dalyko, kaltininko padarytos turtinės žalos arba kaltininko gautos ar siektos gauti turtinės naudos sau ar kitam asmeniui dydis. Nagrinėjamu atveju </w:t>
      </w:r>
      <w:bookmarkStart w:id="193" w:name="Buk_64"/>
      <w:r w:rsidR="004F1F30" w:rsidRPr="00616A7C">
        <w:rPr>
          <w:rFonts w:cs="Times New Roman"/>
          <w:color w:val="auto"/>
          <w:lang w:val="lt-LT"/>
        </w:rPr>
        <w:t xml:space="preserve">V. Š. </w:t>
      </w:r>
      <w:bookmarkEnd w:id="193"/>
      <w:r w:rsidR="00C31475" w:rsidRPr="00616A7C">
        <w:rPr>
          <w:rFonts w:cs="Times New Roman"/>
          <w:lang w:val="lt-LT"/>
        </w:rPr>
        <w:t xml:space="preserve">priėmė 260 000 Eur dydžio kyšį, o jam paskirta bauda buvo mažesnė ir sudarė 2100 MGL (105 000 Eur). </w:t>
      </w:r>
    </w:p>
    <w:p w14:paraId="7118B917" w14:textId="695270C0" w:rsidR="00690813" w:rsidRPr="00B504D7" w:rsidRDefault="008D4DC9" w:rsidP="007A2D86">
      <w:pPr>
        <w:pStyle w:val="Pagrindinistekstas"/>
        <w:numPr>
          <w:ilvl w:val="0"/>
          <w:numId w:val="2"/>
        </w:numPr>
        <w:spacing w:after="120"/>
        <w:rPr>
          <w:rFonts w:cs="Times New Roman"/>
          <w:lang w:val="lt-LT"/>
        </w:rPr>
      </w:pPr>
      <w:r w:rsidRPr="00616A7C">
        <w:rPr>
          <w:rFonts w:cs="Times New Roman"/>
          <w:lang w:val="lt-LT"/>
        </w:rPr>
        <w:t>Apeliacinės instancijos teismas</w:t>
      </w:r>
      <w:r w:rsidR="00745819" w:rsidRPr="00616A7C">
        <w:rPr>
          <w:rFonts w:cs="Times New Roman"/>
          <w:lang w:val="lt-LT"/>
        </w:rPr>
        <w:t>, iš dalies tenkindamas prokuroro apeliacinį skundą,</w:t>
      </w:r>
      <w:r w:rsidR="00CE4472" w:rsidRPr="00616A7C">
        <w:rPr>
          <w:rFonts w:cs="Times New Roman"/>
          <w:lang w:val="lt-LT"/>
        </w:rPr>
        <w:t xml:space="preserve"> </w:t>
      </w:r>
      <w:r w:rsidR="0020276C" w:rsidRPr="00616A7C">
        <w:rPr>
          <w:rFonts w:cs="Times New Roman"/>
          <w:lang w:val="lt-LT"/>
        </w:rPr>
        <w:t>nuosprendžio 67–70 punktuose pažymėjo, kad yra</w:t>
      </w:r>
      <w:r w:rsidR="0020276C" w:rsidRPr="00B504D7">
        <w:rPr>
          <w:rFonts w:asciiTheme="majorBidi" w:hAnsiTheme="majorBidi" w:cstheme="majorBidi"/>
          <w:lang w:val="lt-LT"/>
        </w:rPr>
        <w:t xml:space="preserve"> </w:t>
      </w:r>
      <w:r w:rsidR="0020276C" w:rsidRPr="00B504D7">
        <w:rPr>
          <w:rFonts w:cs="Times New Roman"/>
          <w:lang w:val="lt-LT"/>
        </w:rPr>
        <w:t xml:space="preserve">būtina vertinti ne tik teigiamą </w:t>
      </w:r>
      <w:bookmarkStart w:id="194" w:name="Buk_116"/>
      <w:r w:rsidR="004F1F30" w:rsidRPr="004F1F30">
        <w:rPr>
          <w:rFonts w:cs="Times New Roman"/>
          <w:color w:val="auto"/>
          <w:lang w:val="lt-LT"/>
        </w:rPr>
        <w:t xml:space="preserve">V. Š. </w:t>
      </w:r>
      <w:bookmarkEnd w:id="194"/>
      <w:r w:rsidR="0020276C" w:rsidRPr="00B504D7">
        <w:rPr>
          <w:rFonts w:cs="Times New Roman"/>
          <w:lang w:val="lt-LT"/>
        </w:rPr>
        <w:t xml:space="preserve">asmenybę, bet ir visumą kitų byloje esančių duomenų. Šis teismas atkreipė dėmesį į </w:t>
      </w:r>
      <w:r w:rsidR="00D741E4" w:rsidRPr="00B504D7">
        <w:rPr>
          <w:rFonts w:cs="Times New Roman"/>
          <w:lang w:val="lt-LT"/>
        </w:rPr>
        <w:t xml:space="preserve">tai, kad nagrinėjamoje byloje nenustatyta jokių išimtinių su </w:t>
      </w:r>
      <w:bookmarkStart w:id="195" w:name="Buk_117"/>
      <w:r w:rsidR="004F1F30" w:rsidRPr="004F1F30">
        <w:rPr>
          <w:rFonts w:cs="Times New Roman"/>
          <w:color w:val="auto"/>
          <w:lang w:val="lt-LT"/>
        </w:rPr>
        <w:t xml:space="preserve">V. Š. </w:t>
      </w:r>
      <w:bookmarkEnd w:id="195"/>
      <w:r w:rsidR="00D741E4" w:rsidRPr="00B504D7">
        <w:rPr>
          <w:rFonts w:cs="Times New Roman"/>
          <w:lang w:val="lt-LT"/>
        </w:rPr>
        <w:t>padaryta nusikalstama veika, jo elgesiu proceso metu</w:t>
      </w:r>
      <w:r w:rsidR="003C52F6" w:rsidRPr="00B504D7">
        <w:rPr>
          <w:rFonts w:cs="Times New Roman"/>
          <w:lang w:val="lt-LT"/>
        </w:rPr>
        <w:t xml:space="preserve"> susijusių aplinkybių</w:t>
      </w:r>
      <w:r w:rsidR="00D741E4" w:rsidRPr="00B504D7">
        <w:rPr>
          <w:rFonts w:cs="Times New Roman"/>
          <w:lang w:val="lt-LT"/>
        </w:rPr>
        <w:t xml:space="preserve">, </w:t>
      </w:r>
      <w:r w:rsidR="003C52F6" w:rsidRPr="00B504D7">
        <w:rPr>
          <w:rFonts w:cs="Times New Roman"/>
          <w:lang w:val="lt-LT"/>
        </w:rPr>
        <w:t xml:space="preserve">suteikiančių </w:t>
      </w:r>
      <w:r w:rsidR="00D741E4" w:rsidRPr="00B504D7">
        <w:rPr>
          <w:rFonts w:cs="Times New Roman"/>
          <w:lang w:val="lt-LT"/>
        </w:rPr>
        <w:t xml:space="preserve">pagrindą </w:t>
      </w:r>
      <w:r w:rsidR="003C52F6" w:rsidRPr="00B504D7">
        <w:rPr>
          <w:rFonts w:cs="Times New Roman"/>
          <w:lang w:val="lt-LT"/>
        </w:rPr>
        <w:t>daryti išvadą</w:t>
      </w:r>
      <w:r w:rsidR="00D741E4" w:rsidRPr="00B504D7">
        <w:rPr>
          <w:rFonts w:cs="Times New Roman"/>
          <w:lang w:val="lt-LT"/>
        </w:rPr>
        <w:t xml:space="preserve">, kad sankcijoje nurodyta bausmė nėra teisinga. </w:t>
      </w:r>
      <w:r w:rsidR="00691CEB" w:rsidRPr="00B504D7">
        <w:rPr>
          <w:rFonts w:cs="Times New Roman"/>
          <w:lang w:val="lt-LT"/>
        </w:rPr>
        <w:t xml:space="preserve">Teismas </w:t>
      </w:r>
      <w:r w:rsidR="00617868" w:rsidRPr="00B504D7">
        <w:rPr>
          <w:rFonts w:cs="Times New Roman"/>
          <w:lang w:val="lt-LT"/>
        </w:rPr>
        <w:t>pažymėjo</w:t>
      </w:r>
      <w:r w:rsidR="00747011" w:rsidRPr="00B504D7">
        <w:rPr>
          <w:rFonts w:cs="Times New Roman"/>
          <w:lang w:val="lt-LT"/>
        </w:rPr>
        <w:t xml:space="preserve">, kad </w:t>
      </w:r>
      <w:bookmarkStart w:id="196" w:name="Buk_118"/>
      <w:r w:rsidR="004F1F30" w:rsidRPr="004F1F30">
        <w:rPr>
          <w:rFonts w:cs="Times New Roman"/>
          <w:color w:val="auto"/>
          <w:lang w:val="lt-LT"/>
        </w:rPr>
        <w:t xml:space="preserve">V. Š. </w:t>
      </w:r>
      <w:bookmarkEnd w:id="196"/>
      <w:r w:rsidR="00747011" w:rsidRPr="00B504D7">
        <w:rPr>
          <w:rFonts w:cs="Times New Roman"/>
          <w:lang w:val="lt-LT"/>
        </w:rPr>
        <w:t xml:space="preserve">nusikalstamas elgesys nebuvo atsitiktinis, jis buvo gerai suplanuotas, </w:t>
      </w:r>
      <w:bookmarkStart w:id="197" w:name="Buk_65"/>
      <w:r w:rsidR="004F1F30" w:rsidRPr="004F1F30">
        <w:rPr>
          <w:rFonts w:cs="Times New Roman"/>
          <w:color w:val="auto"/>
          <w:lang w:val="lt-LT"/>
        </w:rPr>
        <w:t xml:space="preserve">V. Š. </w:t>
      </w:r>
      <w:bookmarkEnd w:id="197"/>
      <w:r w:rsidR="00747011" w:rsidRPr="00B504D7">
        <w:rPr>
          <w:rFonts w:cs="Times New Roman"/>
          <w:lang w:val="lt-LT"/>
        </w:rPr>
        <w:t xml:space="preserve">buvo nusikaltimo iniciatorius, nustatydavo, kada ir kokią pinigų sumą turi pristatyti </w:t>
      </w:r>
      <w:bookmarkStart w:id="198" w:name="Buk_8"/>
      <w:r w:rsidR="004F1F30" w:rsidRPr="004F1F30">
        <w:rPr>
          <w:rFonts w:cs="Times New Roman"/>
          <w:color w:val="auto"/>
          <w:lang w:val="lt-LT"/>
        </w:rPr>
        <w:t>J. K.</w:t>
      </w:r>
      <w:bookmarkEnd w:id="198"/>
      <w:r w:rsidR="00747011" w:rsidRPr="00B504D7">
        <w:rPr>
          <w:rFonts w:cs="Times New Roman"/>
          <w:lang w:val="lt-LT"/>
        </w:rPr>
        <w:t xml:space="preserve">. </w:t>
      </w:r>
      <w:r w:rsidR="005845A7" w:rsidRPr="00B504D7">
        <w:rPr>
          <w:rFonts w:cs="Times New Roman"/>
          <w:lang w:val="lt-LT"/>
        </w:rPr>
        <w:t xml:space="preserve">Taip pat </w:t>
      </w:r>
      <w:r w:rsidR="003C52F6" w:rsidRPr="00B504D7">
        <w:rPr>
          <w:rFonts w:cs="Times New Roman"/>
          <w:lang w:val="lt-LT"/>
        </w:rPr>
        <w:t xml:space="preserve">teismas </w:t>
      </w:r>
      <w:r w:rsidR="005845A7" w:rsidRPr="00B504D7">
        <w:rPr>
          <w:rFonts w:cs="Times New Roman"/>
          <w:lang w:val="lt-LT"/>
        </w:rPr>
        <w:t xml:space="preserve">nurodė, kad </w:t>
      </w:r>
      <w:bookmarkStart w:id="199" w:name="Buk_66"/>
      <w:r w:rsidR="004F1F30" w:rsidRPr="004F1F30">
        <w:rPr>
          <w:rFonts w:cs="Times New Roman"/>
          <w:color w:val="auto"/>
          <w:lang w:val="lt-LT"/>
        </w:rPr>
        <w:t xml:space="preserve">V. Š. </w:t>
      </w:r>
      <w:bookmarkEnd w:id="199"/>
      <w:r w:rsidR="005845A7" w:rsidRPr="00B504D7">
        <w:rPr>
          <w:rFonts w:cs="Times New Roman"/>
          <w:lang w:val="lt-LT"/>
        </w:rPr>
        <w:t>prisipažino tik tada, kai buvo surinkti visi jo kaltę pagrindžiantys duomeny</w:t>
      </w:r>
      <w:r w:rsidR="00F30403" w:rsidRPr="00B504D7">
        <w:rPr>
          <w:rFonts w:cs="Times New Roman"/>
          <w:lang w:val="lt-LT"/>
        </w:rPr>
        <w:t>s</w:t>
      </w:r>
      <w:r w:rsidR="00906B33" w:rsidRPr="00B504D7">
        <w:rPr>
          <w:rFonts w:cs="Times New Roman"/>
          <w:lang w:val="lt-LT"/>
        </w:rPr>
        <w:t xml:space="preserve">, kad jis yra turtingas žmogus, nes ikiteisminio tyrimo metu buvo taikytas laikinas nuosavybės teisės apribojimas 180 objektų, o tai rodo, kad net maksimalios </w:t>
      </w:r>
      <w:r w:rsidR="00906B33" w:rsidRPr="00B504D7">
        <w:rPr>
          <w:rFonts w:cs="Times New Roman"/>
          <w:lang w:val="lt-LT"/>
        </w:rPr>
        <w:lastRenderedPageBreak/>
        <w:t xml:space="preserve">baudos skyrimas </w:t>
      </w:r>
      <w:r w:rsidR="003C52F6" w:rsidRPr="00B504D7">
        <w:rPr>
          <w:rFonts w:cs="Times New Roman"/>
          <w:lang w:val="lt-LT"/>
        </w:rPr>
        <w:t xml:space="preserve">neturėtų </w:t>
      </w:r>
      <w:r w:rsidR="00906B33" w:rsidRPr="00B504D7">
        <w:rPr>
          <w:rFonts w:cs="Times New Roman"/>
          <w:lang w:val="lt-LT"/>
        </w:rPr>
        <w:t xml:space="preserve">didelės įtakos bausmės tikslams pasiekti. </w:t>
      </w:r>
      <w:r w:rsidR="00444201" w:rsidRPr="00B504D7">
        <w:rPr>
          <w:rFonts w:cs="Times New Roman"/>
          <w:lang w:val="lt-LT"/>
        </w:rPr>
        <w:t>Šis teismas atsižvelgė ir į kyšio dydį</w:t>
      </w:r>
      <w:r w:rsidR="0062209B" w:rsidRPr="00B504D7">
        <w:rPr>
          <w:rFonts w:cs="Times New Roman"/>
          <w:lang w:val="lt-LT"/>
        </w:rPr>
        <w:t xml:space="preserve"> (260 000 Eur). </w:t>
      </w:r>
    </w:p>
    <w:p w14:paraId="52528D5C" w14:textId="6D25956E" w:rsidR="00113050" w:rsidRPr="00B504D7" w:rsidRDefault="00786FE4" w:rsidP="00085637">
      <w:pPr>
        <w:pStyle w:val="Pagrindinistekstas"/>
        <w:numPr>
          <w:ilvl w:val="0"/>
          <w:numId w:val="2"/>
        </w:numPr>
        <w:spacing w:after="120"/>
        <w:rPr>
          <w:rFonts w:cs="Times New Roman"/>
          <w:lang w:val="lt-LT"/>
        </w:rPr>
      </w:pPr>
      <w:r w:rsidRPr="00B504D7">
        <w:rPr>
          <w:rFonts w:cs="Times New Roman"/>
          <w:lang w:val="lt-LT"/>
        </w:rPr>
        <w:t>Išplėstinė septynių t</w:t>
      </w:r>
      <w:r w:rsidR="00113050" w:rsidRPr="00B504D7">
        <w:rPr>
          <w:rFonts w:cs="Times New Roman"/>
          <w:lang w:val="lt-LT"/>
        </w:rPr>
        <w:t xml:space="preserve">eisėjų kolegija, atsižvelgdama į pirmiau išdėstytą kasacinės instancijos teismo praktiką, </w:t>
      </w:r>
      <w:r w:rsidR="00583DEF" w:rsidRPr="00B504D7">
        <w:rPr>
          <w:rFonts w:cs="Times New Roman"/>
          <w:lang w:val="lt-LT"/>
        </w:rPr>
        <w:t>BK VIII skyriuje įtvirtintas bendrąsias bausm</w:t>
      </w:r>
      <w:r w:rsidR="009B423D" w:rsidRPr="00B504D7">
        <w:rPr>
          <w:rFonts w:cs="Times New Roman"/>
          <w:lang w:val="lt-LT"/>
        </w:rPr>
        <w:t>ės</w:t>
      </w:r>
      <w:r w:rsidR="00583DEF" w:rsidRPr="00B504D7">
        <w:rPr>
          <w:rFonts w:cs="Times New Roman"/>
          <w:lang w:val="lt-LT"/>
        </w:rPr>
        <w:t xml:space="preserve"> skyrimo taisykles, </w:t>
      </w:r>
      <w:r w:rsidR="005960AC" w:rsidRPr="00B504D7">
        <w:rPr>
          <w:rFonts w:cs="Times New Roman"/>
          <w:lang w:val="lt-LT"/>
        </w:rPr>
        <w:t xml:space="preserve">įvertinusi abiejų instancijų teismų argumentus ir </w:t>
      </w:r>
      <w:r w:rsidR="00113050" w:rsidRPr="00B504D7">
        <w:rPr>
          <w:rFonts w:cs="Times New Roman"/>
          <w:lang w:val="lt-LT"/>
        </w:rPr>
        <w:t>susipažinusi su kasatoriaus nurodomomis aplinkybėmis, konstatuoja, kad</w:t>
      </w:r>
      <w:r w:rsidR="005960AC" w:rsidRPr="00B504D7">
        <w:rPr>
          <w:rFonts w:cs="Times New Roman"/>
          <w:lang w:val="lt-LT"/>
        </w:rPr>
        <w:t>, kaip pagrįstai ir teisingai nustatė apeliacinės instancijos teismas,</w:t>
      </w:r>
      <w:r w:rsidR="00113050" w:rsidRPr="00B504D7">
        <w:rPr>
          <w:rFonts w:cs="Times New Roman"/>
          <w:lang w:val="lt-LT"/>
        </w:rPr>
        <w:t xml:space="preserve"> </w:t>
      </w:r>
      <w:r w:rsidR="001D1786" w:rsidRPr="00B504D7">
        <w:rPr>
          <w:rFonts w:cs="Times New Roman"/>
          <w:lang w:val="lt-LT"/>
        </w:rPr>
        <w:t xml:space="preserve">nagrinėjamoje byloje nėra pagrindo taikyti BK 54 straipsnio 3 dalį. </w:t>
      </w:r>
    </w:p>
    <w:p w14:paraId="5C215D90" w14:textId="462C1B2E" w:rsidR="007A1A76" w:rsidRPr="00B504D7" w:rsidRDefault="00E16CA9" w:rsidP="00085637">
      <w:pPr>
        <w:pStyle w:val="Pagrindinistekstas"/>
        <w:numPr>
          <w:ilvl w:val="0"/>
          <w:numId w:val="2"/>
        </w:numPr>
        <w:spacing w:after="120"/>
        <w:rPr>
          <w:lang w:val="lt-LT"/>
        </w:rPr>
      </w:pPr>
      <w:r w:rsidRPr="00B504D7">
        <w:rPr>
          <w:lang w:val="lt-LT"/>
        </w:rPr>
        <w:t xml:space="preserve">Nagrinėjamoje byloje nenustatyta jokių aplinkybių, rodančių, kad padarytas </w:t>
      </w:r>
      <w:r w:rsidR="005959BA" w:rsidRPr="00B504D7">
        <w:rPr>
          <w:lang w:val="lt-LT"/>
        </w:rPr>
        <w:t xml:space="preserve">tyčinis sunkus </w:t>
      </w:r>
      <w:r w:rsidRPr="00B504D7">
        <w:rPr>
          <w:lang w:val="lt-LT"/>
        </w:rPr>
        <w:t xml:space="preserve">nusikaltimas yra mažiau pavojingas ar kad </w:t>
      </w:r>
      <w:bookmarkStart w:id="200" w:name="Buk_119"/>
      <w:r w:rsidR="004F1F30" w:rsidRPr="004F1F30">
        <w:rPr>
          <w:color w:val="auto"/>
          <w:lang w:val="lt-LT"/>
        </w:rPr>
        <w:t xml:space="preserve">V. Š. </w:t>
      </w:r>
      <w:bookmarkEnd w:id="200"/>
      <w:r w:rsidRPr="00B504D7">
        <w:rPr>
          <w:lang w:val="lt-LT"/>
        </w:rPr>
        <w:t xml:space="preserve">asmenybė yra mažiau pavojinga. </w:t>
      </w:r>
      <w:r w:rsidR="00735135" w:rsidRPr="00B504D7">
        <w:rPr>
          <w:lang w:val="lt-LT"/>
        </w:rPr>
        <w:t xml:space="preserve">Nustatyta, kad </w:t>
      </w:r>
      <w:bookmarkStart w:id="201" w:name="Buk_67"/>
      <w:r w:rsidR="004F1F30" w:rsidRPr="004F1F30">
        <w:rPr>
          <w:color w:val="auto"/>
          <w:lang w:val="lt-LT"/>
        </w:rPr>
        <w:t xml:space="preserve">V. Š. </w:t>
      </w:r>
      <w:bookmarkEnd w:id="201"/>
      <w:r w:rsidR="00735135" w:rsidRPr="00B504D7">
        <w:rPr>
          <w:lang w:val="lt-LT"/>
        </w:rPr>
        <w:t xml:space="preserve">kaltę pripažino tik surinkus pakankamai jo kaltę grindžiančių duomenų, </w:t>
      </w:r>
      <w:r w:rsidR="005959BA" w:rsidRPr="00B504D7">
        <w:rPr>
          <w:lang w:val="lt-LT"/>
        </w:rPr>
        <w:t>nenustatyta nei jo atsakomybę sunkinančių</w:t>
      </w:r>
      <w:r w:rsidR="003C52F6" w:rsidRPr="00B504D7">
        <w:rPr>
          <w:lang w:val="lt-LT"/>
        </w:rPr>
        <w:t>,</w:t>
      </w:r>
      <w:r w:rsidR="005959BA" w:rsidRPr="00B504D7">
        <w:rPr>
          <w:lang w:val="lt-LT"/>
        </w:rPr>
        <w:t xml:space="preserve"> nei lengvinančių aplinkybių. </w:t>
      </w:r>
      <w:r w:rsidR="003977CA" w:rsidRPr="00B504D7">
        <w:rPr>
          <w:lang w:val="lt-LT"/>
        </w:rPr>
        <w:t>N</w:t>
      </w:r>
      <w:r w:rsidR="00BB1BDB" w:rsidRPr="00B504D7">
        <w:rPr>
          <w:lang w:val="lt-LT"/>
        </w:rPr>
        <w:t xml:space="preserve">usikaltimą jis darė </w:t>
      </w:r>
      <w:r w:rsidR="005959BA" w:rsidRPr="00B504D7">
        <w:rPr>
          <w:lang w:val="lt-LT"/>
        </w:rPr>
        <w:t xml:space="preserve">veikdamas prieš valstybės tarnybos interesus, </w:t>
      </w:r>
      <w:r w:rsidR="00BB1BDB" w:rsidRPr="00B504D7">
        <w:rPr>
          <w:lang w:val="lt-LT"/>
        </w:rPr>
        <w:t xml:space="preserve">pasinaudodamas savo </w:t>
      </w:r>
      <w:r w:rsidR="003C52F6" w:rsidRPr="00B504D7">
        <w:rPr>
          <w:lang w:val="lt-LT"/>
        </w:rPr>
        <w:t xml:space="preserve">einamomis </w:t>
      </w:r>
      <w:r w:rsidR="00B63F9B" w:rsidRPr="00B504D7">
        <w:rPr>
          <w:lang w:val="lt-LT"/>
        </w:rPr>
        <w:t>savivaldybės administracijos direktori</w:t>
      </w:r>
      <w:r w:rsidR="00BB1BDB" w:rsidRPr="00B504D7">
        <w:rPr>
          <w:lang w:val="lt-LT"/>
        </w:rPr>
        <w:t>a</w:t>
      </w:r>
      <w:r w:rsidR="00B63F9B" w:rsidRPr="00B504D7">
        <w:rPr>
          <w:lang w:val="lt-LT"/>
        </w:rPr>
        <w:t>us</w:t>
      </w:r>
      <w:r w:rsidR="00B87CCA">
        <w:rPr>
          <w:lang w:val="lt-LT"/>
        </w:rPr>
        <w:t xml:space="preserve"> pareigomis</w:t>
      </w:r>
      <w:r w:rsidR="00B63F9B" w:rsidRPr="00B504D7">
        <w:rPr>
          <w:lang w:val="lt-LT"/>
        </w:rPr>
        <w:t xml:space="preserve">, </w:t>
      </w:r>
      <w:r w:rsidR="005E4D85" w:rsidRPr="00B504D7">
        <w:rPr>
          <w:lang w:val="lt-LT"/>
        </w:rPr>
        <w:t xml:space="preserve">t. y. </w:t>
      </w:r>
      <w:r w:rsidR="00062695" w:rsidRPr="00B504D7">
        <w:rPr>
          <w:lang w:val="lt-LT"/>
        </w:rPr>
        <w:t xml:space="preserve">veikė nusikalstamai </w:t>
      </w:r>
      <w:r w:rsidR="005E4D85" w:rsidRPr="00B504D7">
        <w:rPr>
          <w:lang w:val="lt-LT"/>
        </w:rPr>
        <w:t xml:space="preserve">būdamas valstybės </w:t>
      </w:r>
      <w:r w:rsidR="003C52F6" w:rsidRPr="00B504D7">
        <w:rPr>
          <w:lang w:val="lt-LT"/>
        </w:rPr>
        <w:t>tarnautojas</w:t>
      </w:r>
      <w:r w:rsidR="005E4D85" w:rsidRPr="00B504D7">
        <w:rPr>
          <w:lang w:val="lt-LT"/>
        </w:rPr>
        <w:t>, kuriam keliami aukštos reputacijos ir skaidrumo reikalavimai.</w:t>
      </w:r>
      <w:r w:rsidR="0044315B" w:rsidRPr="00B504D7">
        <w:rPr>
          <w:lang w:val="lt-LT"/>
        </w:rPr>
        <w:t xml:space="preserve"> </w:t>
      </w:r>
      <w:r w:rsidR="00786FE4" w:rsidRPr="00B504D7">
        <w:rPr>
          <w:lang w:val="lt-LT"/>
        </w:rPr>
        <w:t>K</w:t>
      </w:r>
      <w:r w:rsidR="008B348F" w:rsidRPr="00B504D7">
        <w:rPr>
          <w:lang w:val="lt-LT"/>
        </w:rPr>
        <w:t xml:space="preserve">asaciniame skunde dėstomi argumentai yra susiję su teigiamomis </w:t>
      </w:r>
      <w:bookmarkStart w:id="202" w:name="Buk_32"/>
      <w:r w:rsidR="004F1F30" w:rsidRPr="004F1F30">
        <w:rPr>
          <w:color w:val="auto"/>
          <w:lang w:val="lt-LT"/>
        </w:rPr>
        <w:t xml:space="preserve">V. Š. </w:t>
      </w:r>
      <w:bookmarkEnd w:id="202"/>
      <w:r w:rsidR="008B348F" w:rsidRPr="00B504D7">
        <w:rPr>
          <w:lang w:val="lt-LT"/>
        </w:rPr>
        <w:t xml:space="preserve">apibūdinančiomis aplinkybėmis, </w:t>
      </w:r>
      <w:r w:rsidR="007F6965" w:rsidRPr="00B504D7">
        <w:rPr>
          <w:lang w:val="lt-LT"/>
        </w:rPr>
        <w:t>jo šeimine padėtimi, turimais finansiniais įsipareigojimais. Tai tipinės ir dažn</w:t>
      </w:r>
      <w:r w:rsidR="003F3B7D" w:rsidRPr="00B504D7">
        <w:rPr>
          <w:lang w:val="lt-LT"/>
        </w:rPr>
        <w:t>ai</w:t>
      </w:r>
      <w:r w:rsidR="007F6965" w:rsidRPr="00B504D7">
        <w:rPr>
          <w:lang w:val="lt-LT"/>
        </w:rPr>
        <w:t xml:space="preserve"> nustatomos aplinkybės, kurios </w:t>
      </w:r>
      <w:r w:rsidR="00047E46" w:rsidRPr="00B504D7">
        <w:rPr>
          <w:lang w:val="lt-LT"/>
        </w:rPr>
        <w:t xml:space="preserve">savaime </w:t>
      </w:r>
      <w:r w:rsidR="003C52F6" w:rsidRPr="00B504D7">
        <w:rPr>
          <w:lang w:val="lt-LT"/>
        </w:rPr>
        <w:t xml:space="preserve">nesuteikia </w:t>
      </w:r>
      <w:r w:rsidR="007F6965" w:rsidRPr="00B504D7">
        <w:rPr>
          <w:lang w:val="lt-LT"/>
        </w:rPr>
        <w:t xml:space="preserve">pagrindo </w:t>
      </w:r>
      <w:r w:rsidR="003C52F6" w:rsidRPr="00B504D7">
        <w:rPr>
          <w:lang w:val="lt-LT"/>
        </w:rPr>
        <w:t xml:space="preserve">daryti išvadą </w:t>
      </w:r>
      <w:r w:rsidR="007F6965" w:rsidRPr="00B504D7">
        <w:rPr>
          <w:lang w:val="lt-LT"/>
        </w:rPr>
        <w:t>dėl BK 54 straipsnio 3 dal</w:t>
      </w:r>
      <w:r w:rsidR="00DE692A" w:rsidRPr="00B504D7">
        <w:rPr>
          <w:lang w:val="lt-LT"/>
        </w:rPr>
        <w:t>ies taikymo</w:t>
      </w:r>
      <w:r w:rsidR="007F6965" w:rsidRPr="00B504D7">
        <w:rPr>
          <w:lang w:val="lt-LT"/>
        </w:rPr>
        <w:t xml:space="preserve">. </w:t>
      </w:r>
    </w:p>
    <w:p w14:paraId="7C20AAE3" w14:textId="10664E3F" w:rsidR="007A1A76" w:rsidRPr="00B504D7" w:rsidRDefault="00201189" w:rsidP="00085637">
      <w:pPr>
        <w:pStyle w:val="Pagrindinistekstas"/>
        <w:numPr>
          <w:ilvl w:val="0"/>
          <w:numId w:val="2"/>
        </w:numPr>
        <w:spacing w:after="120"/>
        <w:rPr>
          <w:rFonts w:cs="Times New Roman"/>
          <w:color w:val="auto"/>
          <w:lang w:val="lt-LT"/>
        </w:rPr>
      </w:pPr>
      <w:r w:rsidRPr="00B504D7">
        <w:rPr>
          <w:lang w:val="lt-LT"/>
        </w:rPr>
        <w:t>K</w:t>
      </w:r>
      <w:r w:rsidR="00F04A3B" w:rsidRPr="00B504D7">
        <w:rPr>
          <w:lang w:val="lt-LT"/>
        </w:rPr>
        <w:t xml:space="preserve">asatorius kasaciniame skunde </w:t>
      </w:r>
      <w:r w:rsidR="009B423D" w:rsidRPr="00B504D7">
        <w:rPr>
          <w:lang w:val="lt-LT"/>
        </w:rPr>
        <w:t xml:space="preserve">taip pat </w:t>
      </w:r>
      <w:r w:rsidR="00221E53" w:rsidRPr="00B504D7">
        <w:rPr>
          <w:lang w:val="lt-LT"/>
        </w:rPr>
        <w:t xml:space="preserve">akcentuoja BK 60 straipsnio taikymą ir </w:t>
      </w:r>
      <w:r w:rsidR="00F04A3B" w:rsidRPr="00B504D7">
        <w:rPr>
          <w:lang w:val="lt-LT"/>
        </w:rPr>
        <w:t>nesutinka su tuo, kad apeliacinės instancijos teismas, paskirdamas bausmę, atsižvelgė į nuteistojo savanaudiškas paskatas</w:t>
      </w:r>
      <w:r w:rsidR="00617868" w:rsidRPr="00B504D7">
        <w:rPr>
          <w:lang w:val="lt-LT"/>
        </w:rPr>
        <w:t>,</w:t>
      </w:r>
      <w:r w:rsidR="00F04A3B" w:rsidRPr="00B504D7">
        <w:rPr>
          <w:lang w:val="lt-LT"/>
        </w:rPr>
        <w:t xml:space="preserve"> bet pagrindo tokiam nesutikimui nėra. </w:t>
      </w:r>
      <w:r w:rsidR="00DC433F" w:rsidRPr="00B504D7">
        <w:rPr>
          <w:lang w:val="lt-LT"/>
        </w:rPr>
        <w:t>N</w:t>
      </w:r>
      <w:r w:rsidR="00DC433F" w:rsidRPr="00B504D7">
        <w:rPr>
          <w:rFonts w:cs="Times New Roman"/>
          <w:color w:val="auto"/>
          <w:lang w:val="lt-LT"/>
        </w:rPr>
        <w:t xml:space="preserve">agrinėjamoje byloje </w:t>
      </w:r>
      <w:r w:rsidR="00DC433F" w:rsidRPr="00B504D7">
        <w:rPr>
          <w:lang w:val="lt-LT"/>
        </w:rPr>
        <w:t xml:space="preserve">nebuvo nustatyta jokia nuteistojo atsakomybę sunkinanti aplinkybė, nurodyta BK 60 straipsnyje. Tai matyti ir iš apeliacinės instancijos teismo nuosprendžio (70 punktas). Kasacinės instancijos teismo praktikoje pripažįstama, kad </w:t>
      </w:r>
      <w:r w:rsidR="00DC433F" w:rsidRPr="00B504D7">
        <w:rPr>
          <w:rFonts w:cs="Times New Roman"/>
          <w:color w:val="auto"/>
          <w:lang w:val="lt-LT"/>
        </w:rPr>
        <w:t xml:space="preserve">nusikalstamos veikos, nustatytos BK 225 straipsnio 3 dalyje, padarymas savo esme yra susijęs su savanaudiškomis paskatomis. </w:t>
      </w:r>
      <w:r w:rsidR="00B34E17" w:rsidRPr="00B504D7">
        <w:rPr>
          <w:rFonts w:cs="Times New Roman"/>
          <w:color w:val="auto"/>
          <w:lang w:val="lt-LT"/>
        </w:rPr>
        <w:t xml:space="preserve">Todėl </w:t>
      </w:r>
      <w:r w:rsidR="00FE7A72" w:rsidRPr="00B504D7">
        <w:rPr>
          <w:rFonts w:cs="Times New Roman"/>
          <w:color w:val="auto"/>
          <w:lang w:val="lt-LT"/>
        </w:rPr>
        <w:t>t</w:t>
      </w:r>
      <w:r w:rsidR="003346E5" w:rsidRPr="00B504D7">
        <w:rPr>
          <w:rFonts w:cs="Times New Roman"/>
          <w:color w:val="auto"/>
          <w:lang w:val="lt-LT"/>
        </w:rPr>
        <w:t>ai, kad teismas paminėjo savanaudiškas paskatas</w:t>
      </w:r>
      <w:r w:rsidR="00CD2187" w:rsidRPr="00B504D7">
        <w:rPr>
          <w:rFonts w:cs="Times New Roman"/>
          <w:color w:val="auto"/>
          <w:lang w:val="lt-LT"/>
        </w:rPr>
        <w:t>,</w:t>
      </w:r>
      <w:r w:rsidR="003346E5" w:rsidRPr="00B504D7">
        <w:rPr>
          <w:rFonts w:cs="Times New Roman"/>
          <w:color w:val="auto"/>
          <w:lang w:val="lt-LT"/>
        </w:rPr>
        <w:t xml:space="preserve"> apibūdindamas </w:t>
      </w:r>
      <w:r w:rsidR="006B141E" w:rsidRPr="00B504D7">
        <w:rPr>
          <w:rFonts w:cs="Times New Roman"/>
          <w:color w:val="auto"/>
          <w:lang w:val="lt-LT"/>
        </w:rPr>
        <w:t xml:space="preserve">padarytos </w:t>
      </w:r>
      <w:r w:rsidR="003346E5" w:rsidRPr="00B504D7">
        <w:rPr>
          <w:rFonts w:cs="Times New Roman"/>
          <w:color w:val="auto"/>
          <w:lang w:val="lt-LT"/>
        </w:rPr>
        <w:t>nusikalstam</w:t>
      </w:r>
      <w:r w:rsidR="006B141E" w:rsidRPr="00B504D7">
        <w:rPr>
          <w:rFonts w:cs="Times New Roman"/>
          <w:color w:val="auto"/>
          <w:lang w:val="lt-LT"/>
        </w:rPr>
        <w:t>os</w:t>
      </w:r>
      <w:r w:rsidR="003346E5" w:rsidRPr="00B504D7">
        <w:rPr>
          <w:rFonts w:cs="Times New Roman"/>
          <w:color w:val="auto"/>
          <w:lang w:val="lt-LT"/>
        </w:rPr>
        <w:t xml:space="preserve"> veik</w:t>
      </w:r>
      <w:r w:rsidR="006B141E" w:rsidRPr="00B504D7">
        <w:rPr>
          <w:rFonts w:cs="Times New Roman"/>
          <w:color w:val="auto"/>
          <w:lang w:val="lt-LT"/>
        </w:rPr>
        <w:t>os</w:t>
      </w:r>
      <w:r w:rsidR="003346E5" w:rsidRPr="00B504D7">
        <w:rPr>
          <w:rFonts w:cs="Times New Roman"/>
          <w:color w:val="auto"/>
          <w:lang w:val="lt-LT"/>
        </w:rPr>
        <w:t xml:space="preserve"> pobūdį, nesudaro </w:t>
      </w:r>
      <w:r w:rsidR="0077325F" w:rsidRPr="00B504D7">
        <w:rPr>
          <w:rFonts w:cs="Times New Roman"/>
          <w:color w:val="auto"/>
          <w:lang w:val="lt-LT"/>
        </w:rPr>
        <w:t>pagrindo</w:t>
      </w:r>
      <w:r w:rsidR="003346E5" w:rsidRPr="00B504D7">
        <w:rPr>
          <w:rFonts w:cs="Times New Roman"/>
          <w:color w:val="auto"/>
          <w:lang w:val="lt-LT"/>
        </w:rPr>
        <w:t xml:space="preserve"> konstatuoti BK 60 straipsnio 2 dalies nuostatų pažeidimą</w:t>
      </w:r>
      <w:r w:rsidR="008F52E9" w:rsidRPr="00B504D7">
        <w:rPr>
          <w:rFonts w:cs="Times New Roman"/>
          <w:color w:val="auto"/>
          <w:lang w:val="lt-LT"/>
        </w:rPr>
        <w:t xml:space="preserve"> (kasacinė nutartis baudžiamojoje byloje Nr. </w:t>
      </w:r>
      <w:r w:rsidR="004A648D" w:rsidRPr="00B504D7">
        <w:rPr>
          <w:lang w:val="lt-LT"/>
        </w:rPr>
        <w:t xml:space="preserve">2K-7-119-719/2024). </w:t>
      </w:r>
    </w:p>
    <w:p w14:paraId="5FD63736" w14:textId="23AF6396" w:rsidR="00201189" w:rsidRPr="00B504D7" w:rsidRDefault="00792AF4" w:rsidP="00F032E2">
      <w:pPr>
        <w:pStyle w:val="Sraopastraipa"/>
        <w:numPr>
          <w:ilvl w:val="0"/>
          <w:numId w:val="2"/>
        </w:numPr>
        <w:spacing w:after="120"/>
        <w:jc w:val="both"/>
        <w:rPr>
          <w:rFonts w:cs="Times New Roman"/>
          <w:color w:val="auto"/>
          <w:lang w:val="lt-LT"/>
        </w:rPr>
      </w:pPr>
      <w:r w:rsidRPr="00B504D7">
        <w:rPr>
          <w:rFonts w:cs="Times New Roman"/>
          <w:color w:val="auto"/>
          <w:lang w:val="lt-LT"/>
        </w:rPr>
        <w:t>K</w:t>
      </w:r>
      <w:r w:rsidR="00C40FE4" w:rsidRPr="00B504D7">
        <w:rPr>
          <w:rFonts w:cs="Times New Roman"/>
          <w:color w:val="auto"/>
          <w:lang w:val="lt-LT"/>
        </w:rPr>
        <w:t>asaciniame skunde teisingai nurodoma, kad kyšio dydis yra veiką kvalifikuojantis požymis, tačiau</w:t>
      </w:r>
      <w:r w:rsidR="003C52F6" w:rsidRPr="00B504D7">
        <w:rPr>
          <w:rFonts w:cs="Times New Roman"/>
          <w:color w:val="auto"/>
          <w:lang w:val="lt-LT"/>
        </w:rPr>
        <w:t>,</w:t>
      </w:r>
      <w:r w:rsidR="00C40FE4" w:rsidRPr="00B504D7">
        <w:rPr>
          <w:rFonts w:cs="Times New Roman"/>
          <w:color w:val="auto"/>
          <w:lang w:val="lt-LT"/>
        </w:rPr>
        <w:t xml:space="preserve"> priešingai nei teigiama skunde, tai savaime nepaneigia galimybės, individualizuojant bausmę, atsižvelgti į konkretų kyšio dydį, kuris reikšmingai viršijo minėtos veikos inkriminavimui ir kvalifikavimui baudžiamajame įstatyme nustatytą 250 MGL dydį. </w:t>
      </w:r>
    </w:p>
    <w:p w14:paraId="67DA232D" w14:textId="047F3F4B" w:rsidR="00CA0494" w:rsidRPr="00B504D7" w:rsidRDefault="00CA0494" w:rsidP="00085637">
      <w:pPr>
        <w:pStyle w:val="Pagrindinistekstas"/>
        <w:numPr>
          <w:ilvl w:val="0"/>
          <w:numId w:val="2"/>
        </w:numPr>
        <w:spacing w:after="120"/>
        <w:rPr>
          <w:highlight w:val="yellow"/>
          <w:lang w:val="lt-LT"/>
        </w:rPr>
      </w:pPr>
      <w:r w:rsidRPr="00B504D7">
        <w:rPr>
          <w:lang w:val="lt-LT"/>
        </w:rPr>
        <w:t xml:space="preserve">Nors kasatorius teigia, kad paprastai tokio pobūdžio bylose pirmą kartą teisiamiems asmenims neskiriamas </w:t>
      </w:r>
      <w:r w:rsidR="00C40661" w:rsidRPr="00B504D7">
        <w:rPr>
          <w:lang w:val="lt-LT"/>
        </w:rPr>
        <w:t xml:space="preserve">laisvės atėmimas, tačiau </w:t>
      </w:r>
      <w:r w:rsidR="0062209B" w:rsidRPr="00B504D7">
        <w:rPr>
          <w:lang w:val="lt-LT"/>
        </w:rPr>
        <w:t xml:space="preserve">toks aiškinimas nesuderinamas su inkriminuoto nusikaltimo sankcijoje </w:t>
      </w:r>
      <w:r w:rsidR="00567EDB" w:rsidRPr="00B504D7">
        <w:rPr>
          <w:lang w:val="lt-LT"/>
        </w:rPr>
        <w:t xml:space="preserve">nustatyta </w:t>
      </w:r>
      <w:r w:rsidR="0062209B" w:rsidRPr="00B504D7">
        <w:rPr>
          <w:lang w:val="lt-LT"/>
        </w:rPr>
        <w:t>bausme</w:t>
      </w:r>
      <w:r w:rsidR="001F0101" w:rsidRPr="00B504D7">
        <w:rPr>
          <w:lang w:val="lt-LT"/>
        </w:rPr>
        <w:t xml:space="preserve"> </w:t>
      </w:r>
      <w:r w:rsidR="009B423D" w:rsidRPr="00B504D7">
        <w:rPr>
          <w:lang w:val="lt-LT"/>
        </w:rPr>
        <w:t xml:space="preserve">– tik terminuotu </w:t>
      </w:r>
      <w:r w:rsidR="001F0101" w:rsidRPr="00B504D7">
        <w:rPr>
          <w:lang w:val="lt-LT"/>
        </w:rPr>
        <w:t>laisvės atėmim</w:t>
      </w:r>
      <w:r w:rsidR="009B423D" w:rsidRPr="00B504D7">
        <w:rPr>
          <w:lang w:val="lt-LT"/>
        </w:rPr>
        <w:t>u</w:t>
      </w:r>
      <w:r w:rsidR="0062209B" w:rsidRPr="00B504D7">
        <w:rPr>
          <w:lang w:val="lt-LT"/>
        </w:rPr>
        <w:t xml:space="preserve"> </w:t>
      </w:r>
      <w:r w:rsidR="009B423D" w:rsidRPr="00B504D7">
        <w:rPr>
          <w:lang w:val="lt-LT"/>
        </w:rPr>
        <w:t>ir</w:t>
      </w:r>
      <w:r w:rsidR="00201189" w:rsidRPr="00B504D7">
        <w:rPr>
          <w:lang w:val="lt-LT"/>
        </w:rPr>
        <w:t xml:space="preserve"> BK 55 straipsnio nuostatomis, kurios taikytinos tik asmenims</w:t>
      </w:r>
      <w:r w:rsidR="00567EDB" w:rsidRPr="00B504D7">
        <w:rPr>
          <w:lang w:val="lt-LT"/>
        </w:rPr>
        <w:t>,</w:t>
      </w:r>
      <w:r w:rsidR="00201189" w:rsidRPr="00B504D7">
        <w:rPr>
          <w:lang w:val="lt-LT"/>
        </w:rPr>
        <w:t xml:space="preserve"> pirmą kartą teisiamiems už neatsargų arba nesunkų ar apysunkį tyčinį nusikaltimą.  </w:t>
      </w:r>
    </w:p>
    <w:p w14:paraId="1D2C30F7" w14:textId="0FEC30D6" w:rsidR="00E5515B" w:rsidRPr="00B504D7" w:rsidRDefault="00E5515B" w:rsidP="00F032E2">
      <w:pPr>
        <w:pStyle w:val="Pagrindinistekstas"/>
        <w:numPr>
          <w:ilvl w:val="0"/>
          <w:numId w:val="2"/>
        </w:numPr>
        <w:spacing w:after="120"/>
        <w:rPr>
          <w:strike/>
          <w:color w:val="auto"/>
          <w:lang w:val="lt-LT"/>
        </w:rPr>
      </w:pPr>
      <w:r w:rsidRPr="00B504D7">
        <w:rPr>
          <w:color w:val="auto"/>
          <w:lang w:val="lt-LT"/>
        </w:rPr>
        <w:t xml:space="preserve">Teisėjų kolegija pažymi, kad bausmės skyrimo </w:t>
      </w:r>
      <w:r w:rsidR="003A5056" w:rsidRPr="00B504D7">
        <w:rPr>
          <w:color w:val="auto"/>
          <w:lang w:val="lt-LT"/>
        </w:rPr>
        <w:t>nuostatos</w:t>
      </w:r>
      <w:r w:rsidRPr="00B504D7">
        <w:rPr>
          <w:color w:val="auto"/>
          <w:lang w:val="lt-LT"/>
        </w:rPr>
        <w:t xml:space="preserve"> yra nurodytos BK VIII skyriuje, 54–66</w:t>
      </w:r>
      <w:r w:rsidR="00567EDB" w:rsidRPr="00B504D7">
        <w:rPr>
          <w:color w:val="auto"/>
          <w:lang w:val="lt-LT"/>
        </w:rPr>
        <w:t> </w:t>
      </w:r>
      <w:r w:rsidRPr="00B504D7">
        <w:rPr>
          <w:color w:val="auto"/>
          <w:lang w:val="lt-LT"/>
        </w:rPr>
        <w:t xml:space="preserve">straipsniuose. Bendrieji bausmės skyrimo pagrindai yra nurodyti BK 54 straipsnyje, </w:t>
      </w:r>
      <w:r w:rsidR="00C04624" w:rsidRPr="00B504D7">
        <w:rPr>
          <w:color w:val="auto"/>
          <w:lang w:val="lt-LT"/>
        </w:rPr>
        <w:t xml:space="preserve">jame </w:t>
      </w:r>
      <w:r w:rsidRPr="00B504D7">
        <w:rPr>
          <w:color w:val="auto"/>
          <w:lang w:val="lt-LT"/>
        </w:rPr>
        <w:t xml:space="preserve">yra pateiktas baigtinis aplinkybių, kurias privalo įvertinti teismas, skirdamas bausmę, sąrašas. Į šį baudžiamuoju įstatymu </w:t>
      </w:r>
      <w:r w:rsidR="00A547A9" w:rsidRPr="00B504D7">
        <w:rPr>
          <w:color w:val="auto"/>
          <w:lang w:val="lt-LT"/>
        </w:rPr>
        <w:t>įtvirtintą</w:t>
      </w:r>
      <w:r w:rsidRPr="00B504D7">
        <w:rPr>
          <w:color w:val="auto"/>
          <w:lang w:val="lt-LT"/>
        </w:rPr>
        <w:t xml:space="preserve"> reikšmingų bausmei skirti aplinkybių sąrašą nepatenka kasaciniame skunde kvestionuojamos aplinkybės, susijusios su atliktų tyrimo veiksmų, kurių pagrind</w:t>
      </w:r>
      <w:r w:rsidR="00567EDB" w:rsidRPr="00B504D7">
        <w:rPr>
          <w:color w:val="auto"/>
          <w:lang w:val="lt-LT"/>
        </w:rPr>
        <w:t>u</w:t>
      </w:r>
      <w:r w:rsidRPr="00B504D7">
        <w:rPr>
          <w:color w:val="auto"/>
          <w:lang w:val="lt-LT"/>
        </w:rPr>
        <w:t xml:space="preserve"> gaunami duomenys, galintys tapti įrodymais, teisėtumo vertinimu.  </w:t>
      </w:r>
    </w:p>
    <w:p w14:paraId="2CA80AC7" w14:textId="71C70FF6" w:rsidR="0024489D" w:rsidRPr="00B504D7" w:rsidRDefault="00E5515B" w:rsidP="00F032E2">
      <w:pPr>
        <w:pStyle w:val="Pagrindinistekstas"/>
        <w:numPr>
          <w:ilvl w:val="0"/>
          <w:numId w:val="2"/>
        </w:numPr>
        <w:rPr>
          <w:rStyle w:val="None"/>
          <w:strike/>
          <w:color w:val="auto"/>
          <w:lang w:val="lt-LT"/>
        </w:rPr>
      </w:pPr>
      <w:r w:rsidRPr="00B504D7">
        <w:rPr>
          <w:lang w:val="lt-LT"/>
        </w:rPr>
        <w:t>Nors kai kurie kaltinamojo teisių pažeidimai (pvz., nusistovėjusi praktika dėl teisės į ne per ilgą procesą pažeidimo) kartais gali būti kompensuojami taikant teisingumo principą, bet šioje byloje kaltinamojo teisių (renkant įrodymus) pažeidimai ne</w:t>
      </w:r>
      <w:r w:rsidR="005055E5" w:rsidRPr="00B504D7">
        <w:rPr>
          <w:lang w:val="lt-LT"/>
        </w:rPr>
        <w:t>nustatyti</w:t>
      </w:r>
      <w:r w:rsidRPr="00B504D7">
        <w:rPr>
          <w:lang w:val="lt-LT"/>
        </w:rPr>
        <w:t xml:space="preserve">, taigi nėra pagrindo šiuo aspektu svarstyti </w:t>
      </w:r>
      <w:r w:rsidR="005055E5" w:rsidRPr="00B504D7">
        <w:rPr>
          <w:lang w:val="lt-LT"/>
        </w:rPr>
        <w:t xml:space="preserve">švelnesnės bausmės skyrimo klausimą, </w:t>
      </w:r>
      <w:r w:rsidRPr="00B504D7">
        <w:rPr>
          <w:lang w:val="lt-LT"/>
        </w:rPr>
        <w:t>o kitų BK 54 str</w:t>
      </w:r>
      <w:r w:rsidR="005055E5" w:rsidRPr="00B504D7">
        <w:rPr>
          <w:lang w:val="lt-LT"/>
        </w:rPr>
        <w:t xml:space="preserve">aipsnio </w:t>
      </w:r>
      <w:r w:rsidRPr="00B504D7">
        <w:rPr>
          <w:lang w:val="lt-LT"/>
        </w:rPr>
        <w:t>3 d</w:t>
      </w:r>
      <w:r w:rsidR="005055E5" w:rsidRPr="00B504D7">
        <w:rPr>
          <w:lang w:val="lt-LT"/>
        </w:rPr>
        <w:t>alies</w:t>
      </w:r>
      <w:r w:rsidRPr="00B504D7">
        <w:rPr>
          <w:lang w:val="lt-LT"/>
        </w:rPr>
        <w:t xml:space="preserve"> taikymo pagrindų apeliaci</w:t>
      </w:r>
      <w:r w:rsidR="005055E5" w:rsidRPr="00B504D7">
        <w:rPr>
          <w:lang w:val="lt-LT"/>
        </w:rPr>
        <w:t xml:space="preserve">nės instancijos teismas nenustatė. </w:t>
      </w:r>
      <w:r w:rsidR="003A5056" w:rsidRPr="00B504D7">
        <w:rPr>
          <w:lang w:val="lt-LT"/>
        </w:rPr>
        <w:t xml:space="preserve">Išplėstinė septynių teisėjų </w:t>
      </w:r>
      <w:r w:rsidR="0024489D" w:rsidRPr="00B504D7">
        <w:rPr>
          <w:lang w:val="lt-LT"/>
        </w:rPr>
        <w:t xml:space="preserve">kolegija daro išvadą, kad </w:t>
      </w:r>
      <w:r w:rsidR="005055E5" w:rsidRPr="00B504D7">
        <w:rPr>
          <w:lang w:val="lt-LT"/>
        </w:rPr>
        <w:t>a</w:t>
      </w:r>
      <w:r w:rsidR="0024489D" w:rsidRPr="00B504D7">
        <w:rPr>
          <w:lang w:val="lt-LT"/>
        </w:rPr>
        <w:t xml:space="preserve">peliacinės instancijos teismas, panaikindamas BK 54 straipsnio 3 dalies taikymą, </w:t>
      </w:r>
      <w:r w:rsidR="0024489D" w:rsidRPr="00B504D7">
        <w:rPr>
          <w:lang w:val="lt-LT"/>
        </w:rPr>
        <w:lastRenderedPageBreak/>
        <w:t>atidžiai ir tinkamai vertino padarytos nusikalstamos veikos ir asmens pavojingumą</w:t>
      </w:r>
      <w:r w:rsidR="005055E5" w:rsidRPr="00B504D7">
        <w:rPr>
          <w:lang w:val="lt-LT"/>
        </w:rPr>
        <w:t xml:space="preserve"> ir baudžiamojo įstatymo taikymo klaidos nepadarė.</w:t>
      </w:r>
    </w:p>
    <w:p w14:paraId="68616A4D" w14:textId="77777777" w:rsidR="00E82A57" w:rsidRPr="00B504D7" w:rsidRDefault="00E82A57" w:rsidP="00F032E2">
      <w:pPr>
        <w:pStyle w:val="Pagrindinistekstas"/>
        <w:ind w:firstLine="357"/>
        <w:rPr>
          <w:i/>
          <w:iCs/>
          <w:lang w:val="lt-LT"/>
        </w:rPr>
      </w:pPr>
    </w:p>
    <w:p w14:paraId="261EB6CD" w14:textId="2F54EEFF" w:rsidR="00DA0FB5" w:rsidRPr="00B504D7" w:rsidRDefault="00DA0FB5" w:rsidP="00F032E2">
      <w:pPr>
        <w:pStyle w:val="Pagrindinistekstas"/>
        <w:ind w:firstLine="357"/>
        <w:rPr>
          <w:i/>
          <w:iCs/>
          <w:lang w:val="lt-LT"/>
        </w:rPr>
      </w:pPr>
      <w:r w:rsidRPr="00B504D7">
        <w:rPr>
          <w:i/>
          <w:iCs/>
          <w:lang w:val="lt-LT"/>
        </w:rPr>
        <w:t>Dėl BK 64</w:t>
      </w:r>
      <w:r w:rsidRPr="00B504D7">
        <w:rPr>
          <w:i/>
          <w:iCs/>
          <w:vertAlign w:val="superscript"/>
          <w:lang w:val="lt-LT"/>
        </w:rPr>
        <w:t>1</w:t>
      </w:r>
      <w:r w:rsidRPr="00B504D7">
        <w:rPr>
          <w:i/>
          <w:iCs/>
          <w:lang w:val="lt-LT"/>
        </w:rPr>
        <w:t xml:space="preserve"> straipsnio taikymo</w:t>
      </w:r>
    </w:p>
    <w:p w14:paraId="6565DD4A" w14:textId="77777777" w:rsidR="00684168" w:rsidRPr="00B504D7" w:rsidRDefault="00684168" w:rsidP="00F032E2">
      <w:pPr>
        <w:pStyle w:val="Pagrindinistekstas"/>
        <w:ind w:firstLine="357"/>
        <w:rPr>
          <w:i/>
          <w:iCs/>
          <w:lang w:val="lt-LT"/>
        </w:rPr>
      </w:pPr>
    </w:p>
    <w:p w14:paraId="09A3FCFA" w14:textId="626B397F" w:rsidR="00584A4F" w:rsidRPr="00B504D7" w:rsidRDefault="00584A4F" w:rsidP="00584A4F">
      <w:pPr>
        <w:pStyle w:val="Pagrindinistekstas"/>
        <w:numPr>
          <w:ilvl w:val="0"/>
          <w:numId w:val="2"/>
        </w:numPr>
        <w:spacing w:after="120"/>
        <w:rPr>
          <w:lang w:val="lt-LT"/>
        </w:rPr>
      </w:pPr>
      <w:r w:rsidRPr="00B504D7">
        <w:rPr>
          <w:color w:val="auto"/>
          <w:lang w:val="lt-LT"/>
        </w:rPr>
        <w:t>Prokuroras kasaciniame skunde teigia, kad išnyko viena iš būtinųjų BK 64</w:t>
      </w:r>
      <w:r w:rsidRPr="00B504D7">
        <w:rPr>
          <w:color w:val="auto"/>
          <w:vertAlign w:val="superscript"/>
          <w:lang w:val="lt-LT"/>
        </w:rPr>
        <w:t>1</w:t>
      </w:r>
      <w:r w:rsidRPr="00B504D7">
        <w:rPr>
          <w:color w:val="auto"/>
          <w:lang w:val="lt-LT"/>
        </w:rPr>
        <w:t xml:space="preserve"> straipsnio taikymo </w:t>
      </w:r>
      <w:r w:rsidR="00780D4A" w:rsidRPr="00B504D7">
        <w:rPr>
          <w:color w:val="auto"/>
          <w:lang w:val="lt-LT"/>
        </w:rPr>
        <w:t>sąlygų</w:t>
      </w:r>
      <w:r w:rsidRPr="00B504D7">
        <w:rPr>
          <w:color w:val="auto"/>
          <w:lang w:val="lt-LT"/>
        </w:rPr>
        <w:t>, nes apeliacinės instancijos teisme buvo atliktas įrodymų tyrimas.</w:t>
      </w:r>
      <w:r w:rsidRPr="00B504D7">
        <w:rPr>
          <w:lang w:val="lt-LT"/>
        </w:rPr>
        <w:t xml:space="preserve"> Prokuroro kasacinio skundo argumentai, kad apeliacinės instancijos teismas nepagrįstai nuteistajam, skirdamas bausmę, taikė </w:t>
      </w:r>
      <w:bookmarkStart w:id="203" w:name="n24ed956a-23b8-4bea-9e0a-eb88d839b096"/>
      <w:r w:rsidRPr="00B504D7">
        <w:rPr>
          <w:lang w:val="lt-LT"/>
        </w:rPr>
        <w:fldChar w:fldCharType="begin"/>
      </w:r>
      <w:r w:rsidRPr="00B504D7">
        <w:rPr>
          <w:lang w:val="lt-LT"/>
        </w:rPr>
        <w:instrText>HYPERLINK "https://www.infolex.lt/ta/66150" \o "Lietuvos Respublikos baudžiamasis kodeksas" \t "_blank"</w:instrText>
      </w:r>
      <w:r w:rsidRPr="00B504D7">
        <w:rPr>
          <w:lang w:val="lt-LT"/>
        </w:rPr>
      </w:r>
      <w:r w:rsidRPr="00B504D7">
        <w:rPr>
          <w:lang w:val="lt-LT"/>
        </w:rPr>
        <w:fldChar w:fldCharType="separate"/>
      </w:r>
      <w:r w:rsidRPr="00B504D7">
        <w:rPr>
          <w:rStyle w:val="Hipersaitas"/>
          <w:u w:val="none"/>
          <w:lang w:val="lt-LT"/>
        </w:rPr>
        <w:t>BK</w:t>
      </w:r>
      <w:r w:rsidRPr="00B504D7">
        <w:rPr>
          <w:lang w:val="lt-LT"/>
        </w:rPr>
        <w:fldChar w:fldCharType="end"/>
      </w:r>
      <w:bookmarkStart w:id="204" w:name="pn24ed956a-23b8-4bea-9e0a-eb88d839b096"/>
      <w:bookmarkEnd w:id="203"/>
      <w:bookmarkEnd w:id="204"/>
      <w:r w:rsidRPr="00B504D7">
        <w:rPr>
          <w:lang w:val="lt-LT"/>
        </w:rPr>
        <w:t xml:space="preserve"> 64¹ straipsnio nuostatas, yra nepagrįsti.</w:t>
      </w:r>
    </w:p>
    <w:p w14:paraId="3EDE82DF" w14:textId="6A868F6B" w:rsidR="00DB0F1B" w:rsidRPr="00B504D7" w:rsidRDefault="00DB0F1B" w:rsidP="00684168">
      <w:pPr>
        <w:pStyle w:val="Pagrindinistekstas"/>
        <w:numPr>
          <w:ilvl w:val="0"/>
          <w:numId w:val="2"/>
        </w:numPr>
        <w:spacing w:after="120"/>
        <w:rPr>
          <w:i/>
          <w:iCs/>
          <w:lang w:val="lt-LT"/>
        </w:rPr>
      </w:pPr>
      <w:bookmarkStart w:id="205" w:name="_Hlk187924787"/>
      <w:r w:rsidRPr="00B504D7">
        <w:rPr>
          <w:lang w:val="lt-LT"/>
        </w:rPr>
        <w:t>BK 64</w:t>
      </w:r>
      <w:r w:rsidRPr="00B504D7">
        <w:rPr>
          <w:vertAlign w:val="superscript"/>
          <w:lang w:val="lt-LT"/>
        </w:rPr>
        <w:t>1</w:t>
      </w:r>
      <w:r w:rsidRPr="00B504D7">
        <w:rPr>
          <w:lang w:val="lt-LT"/>
        </w:rPr>
        <w:t xml:space="preserve"> straipsnyje „</w:t>
      </w:r>
      <w:r w:rsidR="00AB316E" w:rsidRPr="00B504D7">
        <w:rPr>
          <w:lang w:val="lt-LT"/>
        </w:rPr>
        <w:t>Bausmės skyrimas bylą išnagrinėjus supaprastinto proceso tvarka ar atlikus sutrumpintą įrodymų tyrimą</w:t>
      </w:r>
      <w:r w:rsidRPr="00B504D7">
        <w:rPr>
          <w:lang w:val="lt-LT"/>
        </w:rPr>
        <w:t>“</w:t>
      </w:r>
      <w:r w:rsidR="00AB316E" w:rsidRPr="00B504D7">
        <w:rPr>
          <w:lang w:val="lt-LT"/>
        </w:rPr>
        <w:t xml:space="preserve"> nurodyta, kad</w:t>
      </w:r>
      <w:r w:rsidR="00567EDB" w:rsidRPr="00B504D7">
        <w:rPr>
          <w:lang w:val="lt-LT"/>
        </w:rPr>
        <w:t>,</w:t>
      </w:r>
      <w:r w:rsidR="00AB316E" w:rsidRPr="00B504D7">
        <w:rPr>
          <w:lang w:val="lt-LT"/>
        </w:rPr>
        <w:t xml:space="preserve"> baudžiamąją bylą išnagrinėjus pagreitinto proceso tvarka ar atlikus sutrumpintą įrodymų tyrimą, taip pat kai baudžiamoji byla baigiama teismo baudžiamuoju įsakymu, nuteistajam skiriama bausmė </w:t>
      </w:r>
      <w:r w:rsidR="00567EDB" w:rsidRPr="00B504D7">
        <w:rPr>
          <w:lang w:val="lt-LT"/>
        </w:rPr>
        <w:t xml:space="preserve">ir ji </w:t>
      </w:r>
      <w:r w:rsidR="00AB316E" w:rsidRPr="00B504D7">
        <w:rPr>
          <w:lang w:val="lt-LT"/>
        </w:rPr>
        <w:t xml:space="preserve">tuo pačiu nuosprendžiu sumažinama vienu trečdaliu (1 dalis); kad ši taisyklė taikoma tik tais atvejais, kai asmuo prisipažįsta esąs kaltas (2 dalis). </w:t>
      </w:r>
      <w:r w:rsidR="00DC0425" w:rsidRPr="00B504D7">
        <w:rPr>
          <w:lang w:val="lt-LT"/>
        </w:rPr>
        <w:t xml:space="preserve">Taigi </w:t>
      </w:r>
      <w:r w:rsidR="00567EDB" w:rsidRPr="00B504D7">
        <w:rPr>
          <w:lang w:val="lt-LT"/>
        </w:rPr>
        <w:t xml:space="preserve">minėtam straipsniui taikyti </w:t>
      </w:r>
      <w:r w:rsidR="00DC0425" w:rsidRPr="00B504D7">
        <w:rPr>
          <w:lang w:val="lt-LT"/>
        </w:rPr>
        <w:t>privalo egzistuoti abi sąlygos: 1) byla išnagrinėta pagreitinto proceso tvarka ar atlikus sutrumpintą įrodymų tyrimą, taip pat kai baudžiamoji byla baigiama teismo baudžiamuoju įsakymu</w:t>
      </w:r>
      <w:r w:rsidR="00567EDB" w:rsidRPr="00B504D7">
        <w:rPr>
          <w:lang w:val="lt-LT"/>
        </w:rPr>
        <w:t>,</w:t>
      </w:r>
      <w:r w:rsidR="00DC0425" w:rsidRPr="00B504D7">
        <w:rPr>
          <w:lang w:val="lt-LT"/>
        </w:rPr>
        <w:t xml:space="preserve"> ir 2) asmuo prisipažįsta esąs kaltas.</w:t>
      </w:r>
    </w:p>
    <w:bookmarkStart w:id="206" w:name="n75fbeb86-2352-45ce-b054-4e11f387e5f5"/>
    <w:bookmarkEnd w:id="205"/>
    <w:p w14:paraId="09E3DAE8" w14:textId="6E419A52" w:rsidR="00AB316E" w:rsidRPr="00B504D7" w:rsidRDefault="00524B36" w:rsidP="00684168">
      <w:pPr>
        <w:pStyle w:val="Pagrindinistekstas"/>
        <w:numPr>
          <w:ilvl w:val="0"/>
          <w:numId w:val="2"/>
        </w:numPr>
        <w:spacing w:after="120"/>
        <w:rPr>
          <w:strike/>
          <w:highlight w:val="yellow"/>
          <w:lang w:val="lt-LT"/>
        </w:rPr>
      </w:pPr>
      <w:r w:rsidRPr="00B504D7">
        <w:rPr>
          <w:lang w:val="lt-LT"/>
        </w:rPr>
        <w:fldChar w:fldCharType="begin"/>
      </w:r>
      <w:r w:rsidRPr="00B504D7">
        <w:rPr>
          <w:lang w:val="lt-LT"/>
        </w:rPr>
        <w:instrText>HYPERLINK "https://www.infolex.lt/ta/66150" \o "Lietuvos Respublikos baudžiamasis kodeksas" \t "_blank"</w:instrText>
      </w:r>
      <w:r w:rsidRPr="00B504D7">
        <w:rPr>
          <w:lang w:val="lt-LT"/>
        </w:rPr>
      </w:r>
      <w:r w:rsidRPr="00B504D7">
        <w:rPr>
          <w:lang w:val="lt-LT"/>
        </w:rPr>
        <w:fldChar w:fldCharType="separate"/>
      </w:r>
      <w:r w:rsidRPr="00B504D7">
        <w:rPr>
          <w:rStyle w:val="Hipersaitas"/>
          <w:u w:val="none"/>
          <w:lang w:val="lt-LT"/>
        </w:rPr>
        <w:t>BK</w:t>
      </w:r>
      <w:r w:rsidRPr="00B504D7">
        <w:rPr>
          <w:lang w:val="lt-LT"/>
        </w:rPr>
        <w:fldChar w:fldCharType="end"/>
      </w:r>
      <w:bookmarkStart w:id="207" w:name="pn75fbeb86-2352-45ce-b054-4e11f387e5f5"/>
      <w:bookmarkEnd w:id="206"/>
      <w:bookmarkEnd w:id="207"/>
      <w:r w:rsidR="00E15775" w:rsidRPr="00B504D7">
        <w:rPr>
          <w:lang w:val="lt-LT"/>
        </w:rPr>
        <w:t xml:space="preserve"> </w:t>
      </w:r>
      <w:r w:rsidRPr="00B504D7">
        <w:rPr>
          <w:lang w:val="lt-LT"/>
        </w:rPr>
        <w:t>64</w:t>
      </w:r>
      <w:r w:rsidR="00923AC2" w:rsidRPr="00B504D7">
        <w:rPr>
          <w:vertAlign w:val="superscript"/>
          <w:lang w:val="lt-LT"/>
        </w:rPr>
        <w:t>1</w:t>
      </w:r>
      <w:r w:rsidRPr="00B504D7">
        <w:rPr>
          <w:lang w:val="lt-LT"/>
        </w:rPr>
        <w:t xml:space="preserve"> straipsnio nuostatų pagrindinė paskirtis – sudaryti galimybes baudžiamąjį procesą atitinkamų kategorijų bylose užbaigti greičiau. Siekiant šio tikslo,</w:t>
      </w:r>
      <w:bookmarkStart w:id="208" w:name="n310b9846-cff1-45f1-9b74-70b030a23e6e"/>
      <w:r w:rsidRPr="00B504D7">
        <w:rPr>
          <w:lang w:val="lt-LT"/>
        </w:rPr>
        <w:t xml:space="preserve"> </w:t>
      </w:r>
      <w:hyperlink r:id="rId65" w:tgtFrame="_blank" w:tooltip="Lietuvos Respublikos baudžiamasis kodeksas" w:history="1">
        <w:r w:rsidRPr="00B504D7">
          <w:rPr>
            <w:rStyle w:val="Hipersaitas"/>
            <w:u w:val="none"/>
            <w:lang w:val="lt-LT"/>
          </w:rPr>
          <w:t>BK</w:t>
        </w:r>
      </w:hyperlink>
      <w:bookmarkStart w:id="209" w:name="pn310b9846-cff1-45f1-9b74-70b030a23e6e"/>
      <w:bookmarkEnd w:id="208"/>
      <w:bookmarkEnd w:id="209"/>
      <w:r w:rsidRPr="00B504D7">
        <w:rPr>
          <w:lang w:val="lt-LT"/>
        </w:rPr>
        <w:t xml:space="preserve"> įtvirtinta privilegija (pozityvioji diskriminacija) atskiroms tos pačios kategorijos (teisiamųjų) asmenų grupėms –</w:t>
      </w:r>
      <w:bookmarkStart w:id="210" w:name="ndace2bc4-5ce8-4274-a2c6-5934e6fd4aa5"/>
      <w:r w:rsidRPr="00B504D7">
        <w:rPr>
          <w:lang w:val="lt-LT"/>
        </w:rPr>
        <w:t xml:space="preserve"> </w:t>
      </w:r>
      <w:bookmarkStart w:id="211" w:name="_Hlk184229341"/>
      <w:r w:rsidRPr="00B504D7">
        <w:fldChar w:fldCharType="begin"/>
      </w:r>
      <w:r w:rsidRPr="00B504D7">
        <w:rPr>
          <w:lang w:val="lt-LT"/>
        </w:rPr>
        <w:instrText>HYPERLINK "https://www.infolex.lt/ta/66150" \t "_blank" \o "Lietuvos Respublikos baudžiamasis kodeksas"</w:instrText>
      </w:r>
      <w:r w:rsidRPr="00B504D7">
        <w:fldChar w:fldCharType="separate"/>
      </w:r>
      <w:r w:rsidRPr="00B504D7">
        <w:rPr>
          <w:rStyle w:val="Hipersaitas"/>
          <w:u w:val="none"/>
          <w:lang w:val="lt-LT"/>
        </w:rPr>
        <w:t>BK</w:t>
      </w:r>
      <w:r w:rsidRPr="00B504D7">
        <w:rPr>
          <w:rStyle w:val="Hipersaitas"/>
          <w:u w:val="none"/>
          <w:lang w:val="lt-LT"/>
        </w:rPr>
        <w:fldChar w:fldCharType="end"/>
      </w:r>
      <w:bookmarkStart w:id="212" w:name="pndace2bc4-5ce8-4274-a2c6-5934e6fd4aa5"/>
      <w:bookmarkEnd w:id="210"/>
      <w:bookmarkEnd w:id="212"/>
      <w:r w:rsidR="00567EDB" w:rsidRPr="00B504D7">
        <w:rPr>
          <w:lang w:val="lt-LT"/>
        </w:rPr>
        <w:t> </w:t>
      </w:r>
      <w:r w:rsidRPr="00B504D7">
        <w:rPr>
          <w:lang w:val="lt-LT"/>
        </w:rPr>
        <w:t>64¹ straipsnio</w:t>
      </w:r>
      <w:bookmarkEnd w:id="211"/>
      <w:r w:rsidRPr="00B504D7">
        <w:rPr>
          <w:lang w:val="lt-LT"/>
        </w:rPr>
        <w:t xml:space="preserve"> 1 dalyje nurodytiems asmenims prisipažinus, jiems skiriama bausmė mažinama vienu trečdaliu (kasacinės nutartys baudžiamosiose bylose Nr.</w:t>
      </w:r>
      <w:bookmarkStart w:id="213" w:name="n2a0247c4-1db7-409c-b2c6-8b4654b482d8"/>
      <w:r w:rsidRPr="00B504D7">
        <w:rPr>
          <w:lang w:val="lt-LT"/>
        </w:rPr>
        <w:t xml:space="preserve"> </w:t>
      </w:r>
      <w:hyperlink r:id="rId66" w:tgtFrame="_blank" w:tooltip="2K-238-699/2017 T. K. pagal  BK 138 str. 2 d.10 p., 286 str." w:history="1">
        <w:r w:rsidRPr="00B504D7">
          <w:rPr>
            <w:rStyle w:val="Hipersaitas"/>
            <w:u w:val="none"/>
            <w:lang w:val="lt-LT"/>
          </w:rPr>
          <w:t>2K-238-699/2017</w:t>
        </w:r>
      </w:hyperlink>
      <w:bookmarkStart w:id="214" w:name="pn2a0247c4-1db7-409c-b2c6-8b4654b482d8"/>
      <w:bookmarkEnd w:id="213"/>
      <w:bookmarkEnd w:id="214"/>
      <w:r w:rsidRPr="00B504D7">
        <w:rPr>
          <w:lang w:val="lt-LT"/>
        </w:rPr>
        <w:t>,</w:t>
      </w:r>
      <w:bookmarkStart w:id="215" w:name="n0abf5c0a-b671-4da7-83f1-e10a347e305e"/>
      <w:r w:rsidRPr="00B504D7">
        <w:rPr>
          <w:lang w:val="lt-LT"/>
        </w:rPr>
        <w:t xml:space="preserve"> </w:t>
      </w:r>
      <w:hyperlink r:id="rId67" w:tgtFrame="_blank" w:tooltip="2K-264-697/2017 V. G. pagal BK 135 str. 1 d." w:history="1">
        <w:r w:rsidRPr="00B504D7">
          <w:rPr>
            <w:rStyle w:val="Hipersaitas"/>
            <w:u w:val="none"/>
            <w:lang w:val="lt-LT"/>
          </w:rPr>
          <w:t>2K-264-697/2017</w:t>
        </w:r>
      </w:hyperlink>
      <w:bookmarkStart w:id="216" w:name="pn0abf5c0a-b671-4da7-83f1-e10a347e305e"/>
      <w:bookmarkEnd w:id="215"/>
      <w:bookmarkEnd w:id="216"/>
      <w:r w:rsidRPr="00B504D7">
        <w:rPr>
          <w:lang w:val="lt-LT"/>
        </w:rPr>
        <w:t>,</w:t>
      </w:r>
      <w:bookmarkStart w:id="217" w:name="nea4d7808-7615-4ebc-96ca-71e8bc85c005"/>
      <w:r w:rsidRPr="00B504D7">
        <w:rPr>
          <w:lang w:val="lt-LT"/>
        </w:rPr>
        <w:t xml:space="preserve"> </w:t>
      </w:r>
      <w:r w:rsidR="00A547A9" w:rsidRPr="00B504D7">
        <w:rPr>
          <w:lang w:val="lt-LT"/>
        </w:rPr>
        <w:t>Lietuvos Aukščiausiojo Teismo nutartis atnaujintoje baudžiamojoje byloje Nr.</w:t>
      </w:r>
      <w:r w:rsidR="00FC0E63" w:rsidRPr="00B504D7">
        <w:rPr>
          <w:lang w:val="lt-LT"/>
        </w:rPr>
        <w:t> </w:t>
      </w:r>
      <w:hyperlink r:id="rId68" w:tgtFrame="_blank" w:tooltip="2A-7-1/2014 Dėl aiškiai netinkamo baudžiamojo įstatymo pritaikymo" w:history="1">
        <w:r w:rsidRPr="00B504D7">
          <w:rPr>
            <w:rStyle w:val="Hipersaitas"/>
            <w:u w:val="none"/>
            <w:lang w:val="lt-LT"/>
          </w:rPr>
          <w:t>2A-7-1/2014</w:t>
        </w:r>
      </w:hyperlink>
      <w:bookmarkStart w:id="218" w:name="pnea4d7808-7615-4ebc-96ca-71e8bc85c005"/>
      <w:bookmarkEnd w:id="217"/>
      <w:bookmarkEnd w:id="218"/>
      <w:r w:rsidRPr="00B504D7">
        <w:rPr>
          <w:lang w:val="lt-LT"/>
        </w:rPr>
        <w:t xml:space="preserve">). </w:t>
      </w:r>
    </w:p>
    <w:p w14:paraId="516D871D" w14:textId="09F265A8" w:rsidR="0062254C" w:rsidRPr="00B504D7" w:rsidRDefault="0062254C" w:rsidP="0062254C">
      <w:pPr>
        <w:pStyle w:val="Pagrindinistekstas"/>
        <w:numPr>
          <w:ilvl w:val="0"/>
          <w:numId w:val="2"/>
        </w:numPr>
        <w:spacing w:after="120"/>
        <w:rPr>
          <w:lang w:val="lt-LT"/>
        </w:rPr>
      </w:pPr>
      <w:r w:rsidRPr="00B504D7">
        <w:rPr>
          <w:lang w:val="lt-LT"/>
        </w:rPr>
        <w:t>BPK 273 straipsnio 1 dalyje nustatyta, kad jeigu kaltinamasis, kuris nėra kaltinamas padaręs labai sunkų nusikaltimą, po kaltinamojo akto paskelbimo teismui pareiškė, kad prisipažįsta esąs kaltas ir pageidauja tuojau pat duoti parodymus bei sutinka, kad kiti įrodymai nebūtų tiriami, arba tokį pageidavimą kaltinamasis jau yra pareiškęs BPK 218 straipsnio 2 dalyje nustatyta tvarka, įrodymų tyrimas apklausus kaltinamąjį ir įvykdžius BPK 291 straipsnio reikalavimus gali būti nutrauktas, jei nusikalstamos veikos padarymo aplinkybės nekelia abejonių ir su tokiu sutrumpintu įrodymų tyrimu sutinka prokuroras ir gynėjas. Vadinasi, sutrumpintas įrodymų tyrimas galimas esant šių sąlygų visumai: 1) kaltinamasis nėra padaręs labai sunkaus nusikaltimo; 2) kaltinamasis visiškai prisipažįsta kaltas; 3) su tokiu sutrumpintu įrodymų tyrimu sutinka prokuroras ir gynėjas; 4)</w:t>
      </w:r>
      <w:r w:rsidR="00567EDB" w:rsidRPr="00B504D7">
        <w:rPr>
          <w:lang w:val="lt-LT"/>
        </w:rPr>
        <w:t> </w:t>
      </w:r>
      <w:r w:rsidRPr="00B504D7">
        <w:rPr>
          <w:lang w:val="lt-LT"/>
        </w:rPr>
        <w:t>nusikalstamos veikos padarymo aplinkybės nekelia abejonių; 5) sutrumpintas įrodymų tyrimas atliekamas teismo sprendimu. Byloje nenustačius bent vienos iš šių sąlygų, BPK 273 straipsnio 1</w:t>
      </w:r>
      <w:r w:rsidR="00567EDB" w:rsidRPr="00B504D7">
        <w:rPr>
          <w:lang w:val="lt-LT"/>
        </w:rPr>
        <w:t> </w:t>
      </w:r>
      <w:r w:rsidRPr="00B504D7">
        <w:rPr>
          <w:lang w:val="lt-LT"/>
        </w:rPr>
        <w:t>dalies nuostatos negali būti taikomos. Taigi, viena iš privalomų sąlygų atlikti sutrumpintą įrodymų tyrimą yra teismo išvada, kad nusikalstamų veikų</w:t>
      </w:r>
      <w:r w:rsidR="00404916" w:rsidRPr="00B504D7">
        <w:rPr>
          <w:lang w:val="lt-LT"/>
        </w:rPr>
        <w:t xml:space="preserve"> (veikos)</w:t>
      </w:r>
      <w:r w:rsidRPr="00B504D7">
        <w:rPr>
          <w:lang w:val="lt-LT"/>
        </w:rPr>
        <w:t xml:space="preserve"> padarymo aplinkybės nekelia abejonių. Tik tokiu atveju, kai visuma bylos aplinkybių liudija, kad bylą galima išnagrinėti be įprastinio įrodymų tyrimo, teismas priima nutartį</w:t>
      </w:r>
      <w:r w:rsidR="00404916" w:rsidRPr="00B504D7">
        <w:rPr>
          <w:lang w:val="lt-LT"/>
        </w:rPr>
        <w:t xml:space="preserve"> </w:t>
      </w:r>
      <w:r w:rsidRPr="00B504D7">
        <w:rPr>
          <w:lang w:val="lt-LT"/>
        </w:rPr>
        <w:t>atlikti sutrumpintą įrodymų tyrimą. Sutrumpinto įrodymų tyrimo atlikimas nėra teismo pareiga, o proceso greitumo principas negali nurungti siekio bylą išnagrinėti išsamiai. Įrodymų tyrimo galimybės sutrumpinto įrodymų tyrimo tvarka numatymas kaltinamajame akte taip pat nėra imperatyvi sąlyga tokiam bylos nagrinėjimui (kasacinės nutartys baudžiamosiose bylose Nr. 2K-308-693/2015, 2K-140-511/2018).</w:t>
      </w:r>
      <w:r w:rsidR="00452969" w:rsidRPr="00B504D7">
        <w:rPr>
          <w:lang w:val="lt-LT"/>
        </w:rPr>
        <w:t xml:space="preserve"> Iš </w:t>
      </w:r>
      <w:r w:rsidR="0063165B" w:rsidRPr="00B504D7">
        <w:rPr>
          <w:lang w:val="lt-LT"/>
        </w:rPr>
        <w:t xml:space="preserve">išdėstytų aplinkybių matyti ir tai, </w:t>
      </w:r>
      <w:r w:rsidR="00452969" w:rsidRPr="00B504D7">
        <w:rPr>
          <w:lang w:val="lt-LT"/>
        </w:rPr>
        <w:t>kad su sutrumpintu įrodymų tyrimu turi sutikti ne tik prokuroras ir gynėjas, bet ir kaltinamasis</w:t>
      </w:r>
      <w:r w:rsidR="00553F4A" w:rsidRPr="00B504D7">
        <w:rPr>
          <w:lang w:val="lt-LT"/>
        </w:rPr>
        <w:t>. B</w:t>
      </w:r>
      <w:r w:rsidR="00452969" w:rsidRPr="00B504D7">
        <w:rPr>
          <w:lang w:val="lt-LT"/>
        </w:rPr>
        <w:t>e to</w:t>
      </w:r>
      <w:r w:rsidR="00553F4A" w:rsidRPr="00B504D7">
        <w:rPr>
          <w:lang w:val="lt-LT"/>
        </w:rPr>
        <w:t>,</w:t>
      </w:r>
      <w:r w:rsidR="00452969" w:rsidRPr="00B504D7">
        <w:rPr>
          <w:lang w:val="lt-LT"/>
        </w:rPr>
        <w:t xml:space="preserve"> BPK 273 straipsn</w:t>
      </w:r>
      <w:r w:rsidR="0063165B" w:rsidRPr="00B504D7">
        <w:rPr>
          <w:lang w:val="lt-LT"/>
        </w:rPr>
        <w:t xml:space="preserve">yje neįtvirtinta </w:t>
      </w:r>
      <w:r w:rsidR="00452969" w:rsidRPr="00B504D7">
        <w:rPr>
          <w:lang w:val="lt-LT"/>
        </w:rPr>
        <w:t xml:space="preserve">galimybė atlikti </w:t>
      </w:r>
      <w:r w:rsidR="00404916" w:rsidRPr="00B504D7">
        <w:rPr>
          <w:lang w:val="lt-LT"/>
        </w:rPr>
        <w:t xml:space="preserve">dalinį </w:t>
      </w:r>
      <w:r w:rsidR="00452969" w:rsidRPr="00B504D7">
        <w:rPr>
          <w:lang w:val="lt-LT"/>
        </w:rPr>
        <w:t xml:space="preserve">sutrumpintą įrodymų tyrimą, </w:t>
      </w:r>
      <w:r w:rsidR="0063165B" w:rsidRPr="00B504D7">
        <w:rPr>
          <w:lang w:val="lt-LT"/>
        </w:rPr>
        <w:t xml:space="preserve">pavyzdžiui, kai </w:t>
      </w:r>
      <w:r w:rsidR="00780D4A" w:rsidRPr="00B504D7">
        <w:rPr>
          <w:lang w:val="lt-LT"/>
        </w:rPr>
        <w:t>kaltinamasis</w:t>
      </w:r>
      <w:r w:rsidR="00452969" w:rsidRPr="00B504D7">
        <w:rPr>
          <w:lang w:val="lt-LT"/>
        </w:rPr>
        <w:t xml:space="preserve"> pripažįsta tik dalį jam inkriminuotos </w:t>
      </w:r>
      <w:r w:rsidR="0063165B" w:rsidRPr="00B504D7">
        <w:rPr>
          <w:lang w:val="lt-LT"/>
        </w:rPr>
        <w:t xml:space="preserve">tęstinės </w:t>
      </w:r>
      <w:r w:rsidR="00452969" w:rsidRPr="00B504D7">
        <w:rPr>
          <w:lang w:val="lt-LT"/>
        </w:rPr>
        <w:t>veikos epizodų</w:t>
      </w:r>
      <w:r w:rsidR="00780D4A" w:rsidRPr="00B504D7">
        <w:rPr>
          <w:lang w:val="lt-LT"/>
        </w:rPr>
        <w:t xml:space="preserve"> </w:t>
      </w:r>
      <w:r w:rsidR="0063165B" w:rsidRPr="00B504D7">
        <w:rPr>
          <w:lang w:val="lt-LT"/>
        </w:rPr>
        <w:t>ar pripažįsta tik dalį inkriminuotų pavienių veikų</w:t>
      </w:r>
      <w:r w:rsidR="00452969" w:rsidRPr="00B504D7">
        <w:rPr>
          <w:lang w:val="lt-LT"/>
        </w:rPr>
        <w:t>.</w:t>
      </w:r>
    </w:p>
    <w:p w14:paraId="01D52489" w14:textId="6726099D" w:rsidR="0062254C" w:rsidRPr="00B504D7" w:rsidRDefault="0062254C" w:rsidP="0062254C">
      <w:pPr>
        <w:pStyle w:val="Pagrindinistekstas"/>
        <w:numPr>
          <w:ilvl w:val="0"/>
          <w:numId w:val="2"/>
        </w:numPr>
        <w:spacing w:after="120"/>
        <w:rPr>
          <w:lang w:val="lt-LT"/>
        </w:rPr>
      </w:pPr>
      <w:r w:rsidRPr="00B504D7">
        <w:rPr>
          <w:lang w:val="lt-LT"/>
        </w:rPr>
        <w:t xml:space="preserve">Kasacinės instancijos teismas taip pat yra išaiškinęs, kad viena iš BPK 273 straipsnyje įtvirtintų sąlygų siejama su kaltininko prisipažinimu padarius nusikalstamą veiką, o ne su asmens, kaltinamo dėl nusikalstamos veikos, kritišku savo veiksmų vertinimu bei nuoširdžiu gailėjimusi (kasacinės nutartys baudžiamosiose bylose Nr. 2K-264-697/2017, 2K-122-699/2018). </w:t>
      </w:r>
      <w:r w:rsidRPr="00B504D7">
        <w:rPr>
          <w:lang w:val="lt-LT"/>
        </w:rPr>
        <w:lastRenderedPageBreak/>
        <w:t>Prisipažinimas dėl padarytos nusikalstamos veikos ir nuoširdus gailėjimasis yra asmens atsakomybę lengvinanti aplinkybė (BK 59 straipsnio 1 dalies 2 punktas) ir ji yra reikšminga individualizuojant asmeniui bausmę. Tuo tarpu asmens prisipažinimas kaltu, esant visoms kitoms BPK 273 straipsnyje įtvirtintoms sąlygoms, suteikia asmeniui tam tikrų procesinių lengvatų, t. y. atlikti dėl jo sutrumpintą įrodymų tyrimą ir kartu siekti bausmės sumažinimo vienu trečdaliu (BK</w:t>
      </w:r>
      <w:r w:rsidR="000F5DF7" w:rsidRPr="00B504D7">
        <w:rPr>
          <w:lang w:val="lt-LT"/>
        </w:rPr>
        <w:t> </w:t>
      </w:r>
      <w:r w:rsidRPr="00B504D7">
        <w:rPr>
          <w:lang w:val="lt-LT"/>
        </w:rPr>
        <w:t>64</w:t>
      </w:r>
      <w:r w:rsidRPr="00B504D7">
        <w:rPr>
          <w:vertAlign w:val="superscript"/>
          <w:lang w:val="lt-LT"/>
        </w:rPr>
        <w:t>1</w:t>
      </w:r>
      <w:r w:rsidRPr="00B504D7">
        <w:rPr>
          <w:lang w:val="lt-LT"/>
        </w:rPr>
        <w:t xml:space="preserve"> straipsnis). Tarp pripažinimo asmens atsakomybę lengvinančios aplinkybės (prisipažinimo ir nuoširdaus gailėjimosi) bei sutrumpinto įrodymų tyrimo ir bausmės mažinimo yra procesinis skirtumas (procesinių pasekmių prasme), tačiau prisipažinimo kaltu aplinkybės turinys tiek vienu, tiek ir kitu atveju išlieka toks pats (kasacinė nutartis baudžiamojoje byloje Nr.</w:t>
      </w:r>
      <w:r w:rsidR="000F5DF7" w:rsidRPr="00B504D7">
        <w:rPr>
          <w:lang w:val="lt-LT"/>
        </w:rPr>
        <w:t> </w:t>
      </w:r>
      <w:r w:rsidRPr="00B504D7">
        <w:rPr>
          <w:lang w:val="lt-LT"/>
        </w:rPr>
        <w:t>2K-194-942/2017).</w:t>
      </w:r>
      <w:r w:rsidR="00780D4A" w:rsidRPr="00B504D7">
        <w:rPr>
          <w:lang w:val="lt-LT"/>
        </w:rPr>
        <w:t xml:space="preserve"> Taigi nagrinėjamoje byloje vien ta aplinkybė, </w:t>
      </w:r>
      <w:r w:rsidR="000F5DF7" w:rsidRPr="00B504D7">
        <w:rPr>
          <w:lang w:val="lt-LT"/>
        </w:rPr>
        <w:t xml:space="preserve">kad </w:t>
      </w:r>
      <w:r w:rsidR="00780D4A" w:rsidRPr="00B504D7">
        <w:rPr>
          <w:lang w:val="lt-LT"/>
        </w:rPr>
        <w:t xml:space="preserve">pirmosios instancijos teismas nepagrįstai </w:t>
      </w:r>
      <w:r w:rsidR="000F5DF7" w:rsidRPr="00B504D7">
        <w:rPr>
          <w:lang w:val="lt-LT"/>
        </w:rPr>
        <w:t>nu</w:t>
      </w:r>
      <w:r w:rsidR="00780D4A" w:rsidRPr="00B504D7">
        <w:rPr>
          <w:lang w:val="lt-LT"/>
        </w:rPr>
        <w:t xml:space="preserve">sprendė, </w:t>
      </w:r>
      <w:r w:rsidR="000F5DF7" w:rsidRPr="00B504D7">
        <w:rPr>
          <w:lang w:val="lt-LT"/>
        </w:rPr>
        <w:t xml:space="preserve">jog </w:t>
      </w:r>
      <w:r w:rsidR="00780D4A" w:rsidRPr="00B504D7">
        <w:rPr>
          <w:lang w:val="lt-LT"/>
        </w:rPr>
        <w:t>kaltinamasis nuoširdžiai gailisi, savaime nešalina galimybės taikyti BK 64</w:t>
      </w:r>
      <w:r w:rsidR="00780D4A" w:rsidRPr="00B504D7">
        <w:rPr>
          <w:vertAlign w:val="superscript"/>
          <w:lang w:val="lt-LT"/>
        </w:rPr>
        <w:t>1</w:t>
      </w:r>
      <w:r w:rsidR="00780D4A" w:rsidRPr="00B504D7">
        <w:rPr>
          <w:lang w:val="lt-LT"/>
        </w:rPr>
        <w:t xml:space="preserve"> straipsnio </w:t>
      </w:r>
      <w:r w:rsidR="000F5DF7" w:rsidRPr="00B504D7">
        <w:rPr>
          <w:lang w:val="lt-LT"/>
        </w:rPr>
        <w:t>nuostatas</w:t>
      </w:r>
      <w:r w:rsidR="00780D4A" w:rsidRPr="00B504D7">
        <w:rPr>
          <w:lang w:val="lt-LT"/>
        </w:rPr>
        <w:t xml:space="preserve">. </w:t>
      </w:r>
    </w:p>
    <w:p w14:paraId="38B824F5" w14:textId="554F1D3B" w:rsidR="00E87A67" w:rsidRPr="00B504D7" w:rsidRDefault="009F7A28" w:rsidP="00684168">
      <w:pPr>
        <w:pStyle w:val="Pagrindinistekstas"/>
        <w:numPr>
          <w:ilvl w:val="0"/>
          <w:numId w:val="2"/>
        </w:numPr>
        <w:spacing w:after="120"/>
        <w:rPr>
          <w:lang w:val="lt-LT"/>
        </w:rPr>
      </w:pPr>
      <w:r w:rsidRPr="00B504D7">
        <w:rPr>
          <w:color w:val="auto"/>
          <w:lang w:val="lt-LT"/>
        </w:rPr>
        <w:t xml:space="preserve">Nagrinėjamoje byloje </w:t>
      </w:r>
      <w:r w:rsidR="00631E78" w:rsidRPr="00B504D7">
        <w:rPr>
          <w:color w:val="auto"/>
          <w:lang w:val="lt-LT"/>
        </w:rPr>
        <w:t>pirmosios instancijos</w:t>
      </w:r>
      <w:r w:rsidR="00553F4A" w:rsidRPr="00B504D7">
        <w:rPr>
          <w:color w:val="auto"/>
          <w:lang w:val="lt-LT"/>
        </w:rPr>
        <w:t xml:space="preserve"> teismas</w:t>
      </w:r>
      <w:r w:rsidR="00EA110F" w:rsidRPr="00B504D7">
        <w:rPr>
          <w:color w:val="auto"/>
          <w:lang w:val="lt-LT"/>
        </w:rPr>
        <w:t>, vadovaudamasis BPK 273 straipsnio 1</w:t>
      </w:r>
      <w:r w:rsidR="000F5DF7" w:rsidRPr="00B504D7">
        <w:rPr>
          <w:color w:val="auto"/>
          <w:lang w:val="lt-LT"/>
        </w:rPr>
        <w:t> </w:t>
      </w:r>
      <w:r w:rsidR="00EA110F" w:rsidRPr="00B504D7">
        <w:rPr>
          <w:color w:val="auto"/>
          <w:lang w:val="lt-LT"/>
        </w:rPr>
        <w:t xml:space="preserve">dalimi, </w:t>
      </w:r>
      <w:r w:rsidR="00315A57" w:rsidRPr="00B504D7">
        <w:rPr>
          <w:color w:val="auto"/>
          <w:lang w:val="lt-LT"/>
        </w:rPr>
        <w:t xml:space="preserve">atliko sutrumpintą įrodymų tyrimą. Atitinkamai </w:t>
      </w:r>
      <w:bookmarkStart w:id="219" w:name="Buk_143"/>
      <w:r w:rsidR="004F1F30" w:rsidRPr="004F1F30">
        <w:rPr>
          <w:color w:val="auto"/>
          <w:lang w:val="lt-LT"/>
        </w:rPr>
        <w:t xml:space="preserve">V. Š. </w:t>
      </w:r>
      <w:bookmarkEnd w:id="219"/>
      <w:r w:rsidR="00315A57" w:rsidRPr="00B504D7">
        <w:rPr>
          <w:color w:val="auto"/>
          <w:lang w:val="lt-LT"/>
        </w:rPr>
        <w:t>paskyrė bausmę ir, vadovaudamasis BK 64</w:t>
      </w:r>
      <w:r w:rsidR="00315A57" w:rsidRPr="00B504D7">
        <w:rPr>
          <w:color w:val="auto"/>
          <w:vertAlign w:val="superscript"/>
          <w:lang w:val="lt-LT"/>
        </w:rPr>
        <w:t>1</w:t>
      </w:r>
      <w:r w:rsidR="00315A57" w:rsidRPr="00B504D7">
        <w:rPr>
          <w:color w:val="auto"/>
          <w:lang w:val="lt-LT"/>
        </w:rPr>
        <w:t xml:space="preserve"> straipsniu, ją sumažino </w:t>
      </w:r>
      <w:r w:rsidR="00184FEE" w:rsidRPr="00B504D7">
        <w:rPr>
          <w:color w:val="auto"/>
          <w:lang w:val="lt-LT"/>
        </w:rPr>
        <w:t xml:space="preserve">vienu trečdaliu. </w:t>
      </w:r>
      <w:r w:rsidR="00F3025C" w:rsidRPr="00B504D7">
        <w:rPr>
          <w:color w:val="auto"/>
          <w:lang w:val="lt-LT"/>
        </w:rPr>
        <w:t>Šis teismo sprendimas</w:t>
      </w:r>
      <w:r w:rsidR="00252D33" w:rsidRPr="00B504D7">
        <w:rPr>
          <w:color w:val="auto"/>
          <w:lang w:val="lt-LT"/>
        </w:rPr>
        <w:t xml:space="preserve"> dėl sutrumpinto įrodymų tyrimo atlikimo ir dėl trečdaliu mažesnės bausmės skyrimo</w:t>
      </w:r>
      <w:r w:rsidR="00F3025C" w:rsidRPr="00B504D7">
        <w:rPr>
          <w:color w:val="auto"/>
          <w:lang w:val="lt-LT"/>
        </w:rPr>
        <w:t xml:space="preserve"> apeliacine tvarka nebuvo skųstas</w:t>
      </w:r>
      <w:r w:rsidR="000347E1" w:rsidRPr="00B504D7">
        <w:rPr>
          <w:color w:val="auto"/>
          <w:lang w:val="lt-LT"/>
        </w:rPr>
        <w:t>.</w:t>
      </w:r>
      <w:r w:rsidR="00974B34" w:rsidRPr="00B504D7">
        <w:rPr>
          <w:color w:val="auto"/>
          <w:lang w:val="lt-LT"/>
        </w:rPr>
        <w:t xml:space="preserve"> </w:t>
      </w:r>
    </w:p>
    <w:p w14:paraId="371B918C" w14:textId="7F956965" w:rsidR="00D0273A" w:rsidRPr="00B504D7" w:rsidRDefault="004159E5" w:rsidP="00684168">
      <w:pPr>
        <w:pStyle w:val="Pagrindinistekstas"/>
        <w:numPr>
          <w:ilvl w:val="0"/>
          <w:numId w:val="2"/>
        </w:numPr>
        <w:spacing w:after="120"/>
        <w:rPr>
          <w:lang w:val="lt-LT"/>
        </w:rPr>
      </w:pPr>
      <w:r w:rsidRPr="00B504D7">
        <w:rPr>
          <w:color w:val="auto"/>
          <w:lang w:val="lt-LT"/>
        </w:rPr>
        <w:t>Byloje buvo paduoti du apeliaciniai skundai</w:t>
      </w:r>
      <w:r w:rsidR="005617BE" w:rsidRPr="00B504D7">
        <w:rPr>
          <w:color w:val="auto"/>
          <w:lang w:val="lt-LT"/>
        </w:rPr>
        <w:t>. Vienas jų</w:t>
      </w:r>
      <w:r w:rsidRPr="00B504D7">
        <w:rPr>
          <w:color w:val="auto"/>
          <w:lang w:val="lt-LT"/>
        </w:rPr>
        <w:t xml:space="preserve"> – prokuroro (nuteistojo padėtį bloginančiais pagrindais), kuris prašė panaikinti </w:t>
      </w:r>
      <w:r w:rsidR="000347E1" w:rsidRPr="00B504D7">
        <w:rPr>
          <w:color w:val="auto"/>
          <w:lang w:val="lt-LT"/>
        </w:rPr>
        <w:t xml:space="preserve">nuteistojo </w:t>
      </w:r>
      <w:r w:rsidRPr="00B504D7">
        <w:rPr>
          <w:color w:val="auto"/>
          <w:lang w:val="lt-LT"/>
        </w:rPr>
        <w:t>atsakomybę lengvinančią aplinkybę, nurodytą BK 59 straipsnio 1 dalies 2 punkte, ir vietoj baudos bausmės paskirti laisvės atėmimo bausmę, ją</w:t>
      </w:r>
      <w:r w:rsidR="005617BE" w:rsidRPr="00B504D7">
        <w:rPr>
          <w:color w:val="auto"/>
          <w:lang w:val="lt-LT"/>
        </w:rPr>
        <w:t>, vadovaujantis BK 64</w:t>
      </w:r>
      <w:r w:rsidR="005617BE" w:rsidRPr="00B504D7">
        <w:rPr>
          <w:color w:val="auto"/>
          <w:vertAlign w:val="superscript"/>
          <w:lang w:val="lt-LT"/>
        </w:rPr>
        <w:t>1</w:t>
      </w:r>
      <w:r w:rsidR="005617BE" w:rsidRPr="00B504D7">
        <w:rPr>
          <w:color w:val="auto"/>
          <w:lang w:val="lt-LT"/>
        </w:rPr>
        <w:t xml:space="preserve"> straipsniu,</w:t>
      </w:r>
      <w:r w:rsidRPr="00B504D7">
        <w:rPr>
          <w:color w:val="auto"/>
          <w:lang w:val="lt-LT"/>
        </w:rPr>
        <w:t xml:space="preserve"> </w:t>
      </w:r>
      <w:r w:rsidR="000F5DF7" w:rsidRPr="00B504D7">
        <w:rPr>
          <w:color w:val="auto"/>
          <w:lang w:val="lt-LT"/>
        </w:rPr>
        <w:t xml:space="preserve">sumažinti </w:t>
      </w:r>
      <w:r w:rsidRPr="00B504D7">
        <w:rPr>
          <w:color w:val="auto"/>
          <w:lang w:val="lt-LT"/>
        </w:rPr>
        <w:t xml:space="preserve">vienu trečdaliu. </w:t>
      </w:r>
      <w:r w:rsidR="005617BE" w:rsidRPr="00B504D7">
        <w:rPr>
          <w:color w:val="auto"/>
          <w:lang w:val="lt-LT"/>
        </w:rPr>
        <w:t>Kitą skundą pateikė gynėjas, prašydamas atlikti įrodymų tyrimą</w:t>
      </w:r>
      <w:r w:rsidR="00CB62A6" w:rsidRPr="00B504D7">
        <w:rPr>
          <w:color w:val="auto"/>
          <w:lang w:val="lt-LT"/>
        </w:rPr>
        <w:t>, ginčydamas atliktos kratos ir kriminalinės žvalgybos veiksmų teisėtumą, kartu prašydamas nustatyti naujas</w:t>
      </w:r>
      <w:r w:rsidR="00527C6B" w:rsidRPr="00B504D7">
        <w:rPr>
          <w:color w:val="auto"/>
          <w:lang w:val="lt-LT"/>
        </w:rPr>
        <w:t xml:space="preserve"> nuteistojo</w:t>
      </w:r>
      <w:r w:rsidR="00CB62A6" w:rsidRPr="00B504D7">
        <w:rPr>
          <w:color w:val="auto"/>
          <w:lang w:val="lt-LT"/>
        </w:rPr>
        <w:t xml:space="preserve"> atsakomybę lengvinančias aplinkybes</w:t>
      </w:r>
      <w:r w:rsidR="00F055A0" w:rsidRPr="00B504D7">
        <w:rPr>
          <w:color w:val="auto"/>
          <w:lang w:val="lt-LT"/>
        </w:rPr>
        <w:t xml:space="preserve">, argumentuodamas tuo, kad visos šios aplinkybės reikšmingos </w:t>
      </w:r>
      <w:r w:rsidR="000F5DF7" w:rsidRPr="00B504D7">
        <w:rPr>
          <w:color w:val="auto"/>
          <w:lang w:val="lt-LT"/>
        </w:rPr>
        <w:t>bausmei individualizuoti</w:t>
      </w:r>
      <w:r w:rsidR="00F055A0" w:rsidRPr="00B504D7">
        <w:rPr>
          <w:color w:val="auto"/>
          <w:lang w:val="lt-LT"/>
        </w:rPr>
        <w:t>, tačiau nuteistojo kaltės nekvestionavo.</w:t>
      </w:r>
    </w:p>
    <w:p w14:paraId="6368046B" w14:textId="333804E9" w:rsidR="00553F4A" w:rsidRPr="00B504D7" w:rsidRDefault="00391A61" w:rsidP="00553F4A">
      <w:pPr>
        <w:pStyle w:val="Pagrindinistekstas"/>
        <w:numPr>
          <w:ilvl w:val="0"/>
          <w:numId w:val="2"/>
        </w:numPr>
        <w:spacing w:after="120"/>
        <w:rPr>
          <w:lang w:val="lt-LT"/>
        </w:rPr>
      </w:pPr>
      <w:r w:rsidRPr="00B504D7">
        <w:rPr>
          <w:lang w:val="lt-LT"/>
        </w:rPr>
        <w:t xml:space="preserve">Byloje nustatyta, kad apeliacinės instancijos teismas, </w:t>
      </w:r>
      <w:r w:rsidR="00553F4A" w:rsidRPr="00B504D7">
        <w:rPr>
          <w:lang w:val="lt-LT"/>
        </w:rPr>
        <w:t xml:space="preserve">teismo posėdyje </w:t>
      </w:r>
      <w:r w:rsidRPr="00B504D7">
        <w:rPr>
          <w:lang w:val="lt-LT"/>
        </w:rPr>
        <w:t>dar neišsprendęs įrodymų tyrimo klausimo, savo iniciatyva kreipėsi į STT, prašydama</w:t>
      </w:r>
      <w:r w:rsidR="00302BD9" w:rsidRPr="00B504D7">
        <w:rPr>
          <w:lang w:val="lt-LT"/>
        </w:rPr>
        <w:t>s</w:t>
      </w:r>
      <w:r w:rsidRPr="00B504D7">
        <w:rPr>
          <w:lang w:val="lt-LT"/>
        </w:rPr>
        <w:t xml:space="preserve"> išslaptinti ir pateikti teismui gynėjo apeliaciniame skunde prašomus </w:t>
      </w:r>
      <w:r w:rsidR="00D40239" w:rsidRPr="00B504D7">
        <w:rPr>
          <w:lang w:val="lt-LT"/>
        </w:rPr>
        <w:t>dokumentus</w:t>
      </w:r>
      <w:r w:rsidRPr="00B504D7">
        <w:rPr>
          <w:lang w:val="lt-LT"/>
        </w:rPr>
        <w:t>. Šis teismas posėdžio metu</w:t>
      </w:r>
      <w:r w:rsidR="00B43163" w:rsidRPr="00B504D7">
        <w:rPr>
          <w:lang w:val="lt-LT"/>
        </w:rPr>
        <w:t xml:space="preserve">, akcentavęs, kad </w:t>
      </w:r>
      <w:r w:rsidR="00761455" w:rsidRPr="00B504D7">
        <w:rPr>
          <w:lang w:val="lt-LT"/>
        </w:rPr>
        <w:t>teismas negali būti pasyvus bylų proceso stebėtojas, o vykdydamas teisingumą turi išsamiai ir nešališkai ištirti visas bylos aplinkybes, nelaukdamas pirmojo posėdžio kreipėsi į STT,</w:t>
      </w:r>
      <w:r w:rsidRPr="00B504D7">
        <w:rPr>
          <w:lang w:val="lt-LT"/>
        </w:rPr>
        <w:t xml:space="preserve"> </w:t>
      </w:r>
      <w:r w:rsidR="005975E6" w:rsidRPr="00B504D7">
        <w:rPr>
          <w:lang w:val="lt-LT"/>
        </w:rPr>
        <w:t xml:space="preserve">po to </w:t>
      </w:r>
      <w:r w:rsidRPr="00B504D7">
        <w:rPr>
          <w:lang w:val="lt-LT"/>
        </w:rPr>
        <w:t xml:space="preserve">pagarsino gautus dokumentus ir priėmė sprendimą atlikti įrodymų tyrimą. </w:t>
      </w:r>
      <w:r w:rsidR="006009B6" w:rsidRPr="00B504D7">
        <w:rPr>
          <w:lang w:val="lt-LT"/>
        </w:rPr>
        <w:t>Atitinkamai byloje buvo atliktas įrodymų tyrimas</w:t>
      </w:r>
      <w:r w:rsidR="00EF333D" w:rsidRPr="00B504D7">
        <w:rPr>
          <w:lang w:val="lt-LT"/>
        </w:rPr>
        <w:t xml:space="preserve">, išreikalaujant duomenis, apklausiant nuteistąjį </w:t>
      </w:r>
      <w:bookmarkStart w:id="220" w:name="Buk_33"/>
      <w:r w:rsidR="004F1F30" w:rsidRPr="004F1F30">
        <w:rPr>
          <w:color w:val="auto"/>
          <w:lang w:val="lt-LT"/>
        </w:rPr>
        <w:t>V. Š.</w:t>
      </w:r>
      <w:bookmarkEnd w:id="220"/>
      <w:r w:rsidR="006009B6" w:rsidRPr="00B504D7">
        <w:rPr>
          <w:lang w:val="lt-LT"/>
        </w:rPr>
        <w:t xml:space="preserve">. </w:t>
      </w:r>
      <w:r w:rsidR="009312C7" w:rsidRPr="00B504D7">
        <w:rPr>
          <w:lang w:val="lt-LT"/>
        </w:rPr>
        <w:t xml:space="preserve">Baigiamųjų kalbų metu prokuroras prašė skirti </w:t>
      </w:r>
      <w:r w:rsidR="003D7900" w:rsidRPr="00B504D7">
        <w:rPr>
          <w:lang w:val="lt-LT"/>
        </w:rPr>
        <w:t xml:space="preserve">nuteistajam </w:t>
      </w:r>
      <w:r w:rsidR="009312C7" w:rsidRPr="00B504D7">
        <w:rPr>
          <w:lang w:val="lt-LT"/>
        </w:rPr>
        <w:t>bausmę ir</w:t>
      </w:r>
      <w:r w:rsidR="0057081A" w:rsidRPr="00B504D7">
        <w:rPr>
          <w:lang w:val="lt-LT"/>
        </w:rPr>
        <w:t>,</w:t>
      </w:r>
      <w:r w:rsidR="009312C7" w:rsidRPr="00B504D7">
        <w:rPr>
          <w:lang w:val="lt-LT"/>
        </w:rPr>
        <w:t xml:space="preserve"> </w:t>
      </w:r>
      <w:r w:rsidR="0057081A" w:rsidRPr="00B504D7">
        <w:rPr>
          <w:color w:val="auto"/>
          <w:lang w:val="lt-LT"/>
        </w:rPr>
        <w:t>vadovaujantis BK 64</w:t>
      </w:r>
      <w:r w:rsidR="0057081A" w:rsidRPr="00B504D7">
        <w:rPr>
          <w:color w:val="auto"/>
          <w:vertAlign w:val="superscript"/>
          <w:lang w:val="lt-LT"/>
        </w:rPr>
        <w:t>1</w:t>
      </w:r>
      <w:r w:rsidR="0057081A" w:rsidRPr="00B504D7">
        <w:rPr>
          <w:color w:val="auto"/>
          <w:lang w:val="lt-LT"/>
        </w:rPr>
        <w:t xml:space="preserve"> straipsniu, sumažinti ją vienu trečdaliu. </w:t>
      </w:r>
      <w:r w:rsidR="006C52F1" w:rsidRPr="00B504D7">
        <w:rPr>
          <w:color w:val="auto"/>
          <w:lang w:val="lt-LT"/>
        </w:rPr>
        <w:t xml:space="preserve">Apeliacinės instancijos teismas </w:t>
      </w:r>
      <w:bookmarkStart w:id="221" w:name="Buk_144"/>
      <w:r w:rsidR="004F1F30" w:rsidRPr="004F1F30">
        <w:rPr>
          <w:color w:val="auto"/>
          <w:lang w:val="lt-LT"/>
        </w:rPr>
        <w:t xml:space="preserve">V. Š. </w:t>
      </w:r>
      <w:bookmarkEnd w:id="221"/>
      <w:r w:rsidR="006C52F1" w:rsidRPr="00B504D7">
        <w:rPr>
          <w:color w:val="auto"/>
          <w:lang w:val="lt-LT"/>
        </w:rPr>
        <w:t xml:space="preserve">paskyrė laisvės atėmimo bausmę </w:t>
      </w:r>
      <w:r w:rsidR="0076022C" w:rsidRPr="00B504D7">
        <w:rPr>
          <w:color w:val="auto"/>
          <w:lang w:val="lt-LT"/>
        </w:rPr>
        <w:t>penkeriems metams ir</w:t>
      </w:r>
      <w:r w:rsidR="000F5DF7" w:rsidRPr="00B504D7">
        <w:rPr>
          <w:color w:val="auto"/>
          <w:lang w:val="lt-LT"/>
        </w:rPr>
        <w:t>,</w:t>
      </w:r>
      <w:r w:rsidR="0076022C" w:rsidRPr="00B504D7">
        <w:rPr>
          <w:color w:val="auto"/>
          <w:lang w:val="lt-LT"/>
        </w:rPr>
        <w:t xml:space="preserve"> </w:t>
      </w:r>
      <w:r w:rsidR="005150FB" w:rsidRPr="00B504D7">
        <w:rPr>
          <w:color w:val="auto"/>
          <w:lang w:val="lt-LT"/>
        </w:rPr>
        <w:t>vadovaudamasis BK 64</w:t>
      </w:r>
      <w:r w:rsidR="005150FB" w:rsidRPr="00B504D7">
        <w:rPr>
          <w:color w:val="auto"/>
          <w:vertAlign w:val="superscript"/>
          <w:lang w:val="lt-LT"/>
        </w:rPr>
        <w:t>1</w:t>
      </w:r>
      <w:r w:rsidR="005150FB" w:rsidRPr="00B504D7">
        <w:rPr>
          <w:color w:val="auto"/>
          <w:lang w:val="lt-LT"/>
        </w:rPr>
        <w:t xml:space="preserve"> straipsniu</w:t>
      </w:r>
      <w:r w:rsidR="000F5DF7" w:rsidRPr="00B504D7">
        <w:rPr>
          <w:color w:val="auto"/>
          <w:lang w:val="lt-LT"/>
        </w:rPr>
        <w:t>,</w:t>
      </w:r>
      <w:r w:rsidR="00260D63" w:rsidRPr="00B504D7">
        <w:rPr>
          <w:color w:val="auto"/>
          <w:lang w:val="lt-LT"/>
        </w:rPr>
        <w:t xml:space="preserve"> bausmę sumažino vienu trečdaliu</w:t>
      </w:r>
      <w:r w:rsidR="005150FB" w:rsidRPr="00B504D7">
        <w:rPr>
          <w:color w:val="auto"/>
          <w:lang w:val="lt-LT"/>
        </w:rPr>
        <w:t xml:space="preserve">. </w:t>
      </w:r>
      <w:r w:rsidR="003A69C0" w:rsidRPr="00B504D7">
        <w:rPr>
          <w:color w:val="auto"/>
          <w:lang w:val="lt-LT"/>
        </w:rPr>
        <w:t xml:space="preserve">Prokuroras, </w:t>
      </w:r>
      <w:r w:rsidR="0035486B" w:rsidRPr="00B504D7">
        <w:rPr>
          <w:color w:val="auto"/>
          <w:lang w:val="lt-LT"/>
        </w:rPr>
        <w:t>nesutikdamas su tokiu teismo sprendimu, teigia, kad buvo nukrypta nuo kasacinės instancijos teismo praktikos</w:t>
      </w:r>
      <w:r w:rsidR="005A2773" w:rsidRPr="00B504D7">
        <w:rPr>
          <w:color w:val="auto"/>
          <w:lang w:val="lt-LT"/>
        </w:rPr>
        <w:t>, pavyzdžiui,</w:t>
      </w:r>
      <w:r w:rsidR="0035486B" w:rsidRPr="00B504D7">
        <w:rPr>
          <w:color w:val="auto"/>
          <w:lang w:val="lt-LT"/>
        </w:rPr>
        <w:t xml:space="preserve"> baudžiamo</w:t>
      </w:r>
      <w:r w:rsidR="005A2773" w:rsidRPr="00B504D7">
        <w:rPr>
          <w:color w:val="auto"/>
          <w:lang w:val="lt-LT"/>
        </w:rPr>
        <w:t>joje</w:t>
      </w:r>
      <w:r w:rsidR="0035486B" w:rsidRPr="00B504D7">
        <w:rPr>
          <w:color w:val="auto"/>
          <w:lang w:val="lt-LT"/>
        </w:rPr>
        <w:t xml:space="preserve"> bylo</w:t>
      </w:r>
      <w:r w:rsidR="005A2773" w:rsidRPr="00B504D7">
        <w:rPr>
          <w:color w:val="auto"/>
          <w:lang w:val="lt-LT"/>
        </w:rPr>
        <w:t>j</w:t>
      </w:r>
      <w:r w:rsidR="0035486B" w:rsidRPr="00B504D7">
        <w:rPr>
          <w:color w:val="auto"/>
          <w:lang w:val="lt-LT"/>
        </w:rPr>
        <w:t xml:space="preserve">e Nr. </w:t>
      </w:r>
      <w:r w:rsidR="00FA295B" w:rsidRPr="00B504D7">
        <w:rPr>
          <w:color w:val="auto"/>
          <w:lang w:val="lt-LT"/>
        </w:rPr>
        <w:t xml:space="preserve">2K-7-71-458/2020, nes byloje išnyko sutrumpinto įrodymų tyrimo sąlyga. </w:t>
      </w:r>
    </w:p>
    <w:p w14:paraId="1C47F4EF" w14:textId="058D14E6" w:rsidR="005C51F5" w:rsidRPr="00B504D7" w:rsidRDefault="006779C4" w:rsidP="00553F4A">
      <w:pPr>
        <w:pStyle w:val="Pagrindinistekstas"/>
        <w:numPr>
          <w:ilvl w:val="0"/>
          <w:numId w:val="2"/>
        </w:numPr>
        <w:spacing w:after="120"/>
        <w:rPr>
          <w:lang w:val="lt-LT"/>
        </w:rPr>
      </w:pPr>
      <w:r w:rsidRPr="00B504D7">
        <w:rPr>
          <w:color w:val="auto"/>
          <w:lang w:val="lt-LT"/>
        </w:rPr>
        <w:t xml:space="preserve">Teisėjų kolegija su tokiu prokuroro argumentu nesutinka, nes </w:t>
      </w:r>
      <w:r w:rsidR="00AA7288" w:rsidRPr="00B504D7">
        <w:rPr>
          <w:color w:val="auto"/>
          <w:lang w:val="lt-LT"/>
        </w:rPr>
        <w:t>minėto</w:t>
      </w:r>
      <w:r w:rsidR="002B4224" w:rsidRPr="00B504D7">
        <w:rPr>
          <w:color w:val="auto"/>
          <w:lang w:val="lt-LT"/>
        </w:rPr>
        <w:t>j</w:t>
      </w:r>
      <w:r w:rsidR="00AA7288" w:rsidRPr="00B504D7">
        <w:rPr>
          <w:color w:val="auto"/>
          <w:lang w:val="lt-LT"/>
        </w:rPr>
        <w:t>e byloje nustatytos aplinkybės nėra analogiškos nagrinėjamai bylai</w:t>
      </w:r>
      <w:r w:rsidR="005975E6" w:rsidRPr="00B504D7">
        <w:rPr>
          <w:color w:val="auto"/>
          <w:lang w:val="lt-LT"/>
        </w:rPr>
        <w:t>. B</w:t>
      </w:r>
      <w:r w:rsidR="00AA7288" w:rsidRPr="00B504D7">
        <w:rPr>
          <w:color w:val="auto"/>
          <w:lang w:val="lt-LT"/>
        </w:rPr>
        <w:t>audžiamojoje byloje Nr. 2K-7-71-458/2020 nustatyta, kad nuteistasis apeliaciniame skunde savo kaltę pripažino tik iš dalies</w:t>
      </w:r>
      <w:r w:rsidR="0063165B" w:rsidRPr="00B504D7">
        <w:rPr>
          <w:color w:val="auto"/>
          <w:lang w:val="lt-LT"/>
        </w:rPr>
        <w:t>,</w:t>
      </w:r>
      <w:r w:rsidR="00AA7288" w:rsidRPr="00B504D7">
        <w:rPr>
          <w:color w:val="auto"/>
          <w:lang w:val="lt-LT"/>
        </w:rPr>
        <w:t xml:space="preserve"> neigė esmines įvykio aplinkybes, ginčijo kaltės formą, todėl buvo tenkintas nuteistojo prašymas ir atliktas įrodymų tyrimas. </w:t>
      </w:r>
      <w:r w:rsidR="00153FB5" w:rsidRPr="00B504D7">
        <w:rPr>
          <w:color w:val="auto"/>
          <w:lang w:val="lt-LT"/>
        </w:rPr>
        <w:t xml:space="preserve">Atitinkamai minėtoje byloje buvo nustatyta išnykusi </w:t>
      </w:r>
      <w:r w:rsidR="004A7A21" w:rsidRPr="00B504D7">
        <w:rPr>
          <w:color w:val="auto"/>
          <w:lang w:val="lt-LT"/>
        </w:rPr>
        <w:t xml:space="preserve">kita </w:t>
      </w:r>
      <w:hyperlink r:id="rId69" w:tgtFrame="_blank" w:tooltip="Lietuvos Respublikos baudžiamasis kodeksas" w:history="1">
        <w:r w:rsidR="00153FB5" w:rsidRPr="00B504D7">
          <w:rPr>
            <w:rStyle w:val="Hipersaitas"/>
            <w:u w:val="none"/>
            <w:lang w:val="lt-LT"/>
          </w:rPr>
          <w:t>BK</w:t>
        </w:r>
      </w:hyperlink>
      <w:r w:rsidR="00153FB5" w:rsidRPr="00B504D7">
        <w:rPr>
          <w:color w:val="auto"/>
          <w:lang w:val="lt-LT"/>
        </w:rPr>
        <w:t xml:space="preserve"> </w:t>
      </w:r>
      <w:hyperlink r:id="rId70" w:tgtFrame="_blank" w:tooltip="Bausmės skyrimas bylą išnagrinėjus supaprastinto proceso tvarka ar atlikus sutrumpintą įrodymų tyrimą" w:history="1">
        <w:r w:rsidR="00153FB5" w:rsidRPr="00B504D7">
          <w:rPr>
            <w:rStyle w:val="Hipersaitas"/>
            <w:u w:val="none"/>
            <w:lang w:val="lt-LT"/>
          </w:rPr>
          <w:t>64</w:t>
        </w:r>
        <w:r w:rsidR="00153FB5" w:rsidRPr="00B504D7">
          <w:rPr>
            <w:rStyle w:val="Hipersaitas"/>
            <w:u w:val="none"/>
            <w:vertAlign w:val="superscript"/>
            <w:lang w:val="lt-LT"/>
          </w:rPr>
          <w:t>1</w:t>
        </w:r>
      </w:hyperlink>
      <w:r w:rsidR="00153FB5" w:rsidRPr="00B504D7">
        <w:rPr>
          <w:color w:val="auto"/>
          <w:lang w:val="lt-LT"/>
        </w:rPr>
        <w:t xml:space="preserve"> straipsnio taikymo sąlyga – asmens prisipažinimas. </w:t>
      </w:r>
      <w:r w:rsidR="00DE48E6" w:rsidRPr="00B504D7">
        <w:rPr>
          <w:color w:val="auto"/>
          <w:lang w:val="lt-LT"/>
        </w:rPr>
        <w:t xml:space="preserve">Taigi nėra pagrindo vadovautis pirmiau </w:t>
      </w:r>
      <w:r w:rsidR="0004545F" w:rsidRPr="00B504D7">
        <w:rPr>
          <w:color w:val="auto"/>
          <w:lang w:val="lt-LT"/>
        </w:rPr>
        <w:t>aptarta</w:t>
      </w:r>
      <w:r w:rsidR="00DE48E6" w:rsidRPr="00B504D7">
        <w:rPr>
          <w:color w:val="auto"/>
          <w:lang w:val="lt-LT"/>
        </w:rPr>
        <w:t xml:space="preserve"> nutartimi</w:t>
      </w:r>
      <w:r w:rsidR="00260D63" w:rsidRPr="00B504D7">
        <w:rPr>
          <w:color w:val="auto"/>
          <w:lang w:val="lt-LT"/>
        </w:rPr>
        <w:t xml:space="preserve">, </w:t>
      </w:r>
      <w:r w:rsidR="0063165B" w:rsidRPr="00B504D7">
        <w:rPr>
          <w:color w:val="auto"/>
          <w:lang w:val="lt-LT"/>
        </w:rPr>
        <w:t xml:space="preserve">nes nagrinėjamoje </w:t>
      </w:r>
      <w:r w:rsidR="00260D63" w:rsidRPr="00B504D7">
        <w:rPr>
          <w:color w:val="auto"/>
          <w:lang w:val="lt-LT"/>
        </w:rPr>
        <w:t>byloje nuteistojo kaltė nebuvo ginčijama</w:t>
      </w:r>
      <w:r w:rsidR="00983693" w:rsidRPr="00B504D7">
        <w:rPr>
          <w:color w:val="auto"/>
          <w:lang w:val="lt-LT"/>
        </w:rPr>
        <w:t>, tačiau</w:t>
      </w:r>
      <w:r w:rsidR="0063165B" w:rsidRPr="00B504D7">
        <w:rPr>
          <w:color w:val="auto"/>
          <w:lang w:val="lt-LT"/>
        </w:rPr>
        <w:t>,</w:t>
      </w:r>
      <w:r w:rsidR="00983693" w:rsidRPr="00B504D7">
        <w:rPr>
          <w:color w:val="auto"/>
          <w:lang w:val="lt-LT"/>
        </w:rPr>
        <w:t xml:space="preserve"> a</w:t>
      </w:r>
      <w:r w:rsidR="00260D63" w:rsidRPr="00B504D7">
        <w:rPr>
          <w:color w:val="auto"/>
          <w:lang w:val="lt-LT"/>
        </w:rPr>
        <w:t xml:space="preserve">kcentuojant </w:t>
      </w:r>
      <w:r w:rsidR="005055E5" w:rsidRPr="00B504D7">
        <w:rPr>
          <w:color w:val="auto"/>
          <w:lang w:val="lt-LT"/>
        </w:rPr>
        <w:t xml:space="preserve">tariamus </w:t>
      </w:r>
      <w:r w:rsidR="00260D63" w:rsidRPr="00B504D7">
        <w:rPr>
          <w:color w:val="auto"/>
          <w:lang w:val="lt-LT"/>
        </w:rPr>
        <w:t xml:space="preserve">įrodymų </w:t>
      </w:r>
      <w:r w:rsidR="005055E5" w:rsidRPr="00B504D7">
        <w:rPr>
          <w:color w:val="auto"/>
          <w:lang w:val="lt-LT"/>
        </w:rPr>
        <w:t>rinkimo pažeidimus,</w:t>
      </w:r>
      <w:r w:rsidR="00260D63" w:rsidRPr="00B504D7">
        <w:rPr>
          <w:color w:val="auto"/>
          <w:lang w:val="lt-LT"/>
        </w:rPr>
        <w:t xml:space="preserve"> </w:t>
      </w:r>
      <w:r w:rsidR="0063165B" w:rsidRPr="00B504D7">
        <w:rPr>
          <w:color w:val="auto"/>
          <w:lang w:val="lt-LT"/>
        </w:rPr>
        <w:t xml:space="preserve">kaip kompensacijos </w:t>
      </w:r>
      <w:r w:rsidR="00260D63" w:rsidRPr="00B504D7">
        <w:rPr>
          <w:color w:val="auto"/>
          <w:lang w:val="lt-LT"/>
        </w:rPr>
        <w:t xml:space="preserve">buvo siekiama švelnesnės </w:t>
      </w:r>
      <w:r w:rsidR="005055E5" w:rsidRPr="00B504D7">
        <w:rPr>
          <w:color w:val="auto"/>
          <w:lang w:val="lt-LT"/>
        </w:rPr>
        <w:t>nei sankcijoje nu</w:t>
      </w:r>
      <w:r w:rsidR="00021E54" w:rsidRPr="00B504D7">
        <w:rPr>
          <w:color w:val="auto"/>
          <w:lang w:val="lt-LT"/>
        </w:rPr>
        <w:t>st</w:t>
      </w:r>
      <w:r w:rsidR="005055E5" w:rsidRPr="00B504D7">
        <w:rPr>
          <w:color w:val="auto"/>
          <w:lang w:val="lt-LT"/>
        </w:rPr>
        <w:t>atytos bausmės</w:t>
      </w:r>
      <w:r w:rsidR="00544925">
        <w:rPr>
          <w:color w:val="auto"/>
          <w:lang w:val="lt-LT"/>
        </w:rPr>
        <w:t xml:space="preserve"> </w:t>
      </w:r>
      <w:r w:rsidR="00260D63" w:rsidRPr="00544925">
        <w:rPr>
          <w:color w:val="auto"/>
          <w:lang w:val="lt-LT"/>
        </w:rPr>
        <w:t>paskyrimo</w:t>
      </w:r>
      <w:r w:rsidR="00780D4A" w:rsidRPr="00544925">
        <w:rPr>
          <w:color w:val="auto"/>
          <w:lang w:val="lt-LT"/>
        </w:rPr>
        <w:t>.</w:t>
      </w:r>
      <w:r w:rsidR="00260D63" w:rsidRPr="00544925">
        <w:rPr>
          <w:color w:val="auto"/>
          <w:lang w:val="lt-LT"/>
        </w:rPr>
        <w:t xml:space="preserve"> </w:t>
      </w:r>
    </w:p>
    <w:p w14:paraId="6681D148" w14:textId="23FD77FE" w:rsidR="0084452E" w:rsidRPr="00B504D7" w:rsidRDefault="00EE6A15" w:rsidP="00BC3AB1">
      <w:pPr>
        <w:pStyle w:val="Sraopastraipa"/>
        <w:numPr>
          <w:ilvl w:val="0"/>
          <w:numId w:val="2"/>
        </w:numPr>
        <w:spacing w:after="120"/>
        <w:jc w:val="both"/>
        <w:rPr>
          <w:lang w:val="lt-LT"/>
        </w:rPr>
      </w:pPr>
      <w:bookmarkStart w:id="222" w:name="nb9de5918-5b21-449f-ba0f-8e6422feb5a3"/>
      <w:r w:rsidRPr="00B504D7">
        <w:rPr>
          <w:color w:val="auto"/>
          <w:lang w:val="lt-LT"/>
        </w:rPr>
        <w:t xml:space="preserve">Pažymėtina, kad </w:t>
      </w:r>
      <w:hyperlink r:id="rId71" w:tgtFrame="_blank" w:tooltip="Lietuvos Respublikos baudžiamasis kodeksas" w:history="1">
        <w:r w:rsidR="005C51F5" w:rsidRPr="00B504D7">
          <w:rPr>
            <w:rStyle w:val="Hipersaitas"/>
            <w:u w:val="none"/>
            <w:lang w:val="lt-LT"/>
          </w:rPr>
          <w:t>BK</w:t>
        </w:r>
      </w:hyperlink>
      <w:bookmarkStart w:id="223" w:name="pnb9de5918-5b21-449f-ba0f-8e6422feb5a3"/>
      <w:bookmarkStart w:id="224" w:name="n9a5e835d-d94f-4848-b52c-6550c790f58c"/>
      <w:bookmarkEnd w:id="222"/>
      <w:bookmarkEnd w:id="223"/>
      <w:r w:rsidR="005C51F5" w:rsidRPr="00B504D7">
        <w:rPr>
          <w:color w:val="auto"/>
          <w:lang w:val="lt-LT"/>
        </w:rPr>
        <w:t xml:space="preserve"> </w:t>
      </w:r>
      <w:hyperlink r:id="rId72" w:tgtFrame="_blank" w:tooltip="Bausmės skyrimas bylą išnagrinėjus supaprastinto proceso tvarka ar atlikus sutrumpintą įrodymų tyrimą" w:history="1">
        <w:r w:rsidR="005C51F5" w:rsidRPr="00B504D7">
          <w:rPr>
            <w:rStyle w:val="Hipersaitas"/>
            <w:u w:val="none"/>
            <w:lang w:val="lt-LT"/>
          </w:rPr>
          <w:t>64</w:t>
        </w:r>
        <w:r w:rsidR="005C51F5" w:rsidRPr="00B504D7">
          <w:rPr>
            <w:rStyle w:val="Hipersaitas"/>
            <w:u w:val="none"/>
            <w:vertAlign w:val="superscript"/>
            <w:lang w:val="lt-LT"/>
          </w:rPr>
          <w:t>1</w:t>
        </w:r>
      </w:hyperlink>
      <w:bookmarkStart w:id="225" w:name="pn9a5e835d-d94f-4848-b52c-6550c790f58c"/>
      <w:bookmarkEnd w:id="224"/>
      <w:bookmarkEnd w:id="225"/>
      <w:r w:rsidR="005C51F5" w:rsidRPr="00B504D7">
        <w:rPr>
          <w:color w:val="auto"/>
          <w:lang w:val="lt-LT"/>
        </w:rPr>
        <w:t xml:space="preserve"> straipsnio nuostatų taikymas pirmosios instancijos teisme negali reikšti atsakomybėn traukiamo asmens teisės skųsti, jo manymu, neteisėtus ir nepagrįstus teismų baigiamuosius aktus suvaržymo. Šiuo aspektu atkreiptinas dėmesys į tai, kad konstitucinėje </w:t>
      </w:r>
      <w:r w:rsidR="005C51F5" w:rsidRPr="00B504D7">
        <w:rPr>
          <w:color w:val="auto"/>
          <w:lang w:val="lt-LT"/>
        </w:rPr>
        <w:lastRenderedPageBreak/>
        <w:t xml:space="preserve">jurisprudencijoje pasisakant dėl teisės apskųsti teismo baigiamąjį aktą turinio, be kita ko, pažymėta, jog bylose teisingumas vykdomas visada paliekant galimybę ištaisyti galimą klaidą (Lietuvos Respublikos Konstitucinio Teismo 2008 m. sausio 24 d. nutarimas); žemesnės instancijos teismų klaidų ištaisymas ir su tuo susijęs kelio neteisingumui užkirtimas yra atitinkamos bylos šalių ir visuomenės apskritai pasitikėjimo ne tik atitinkamą bylą nagrinėjančiu bendrosios kompetencijos teismu, bet ir visa bendrosios kompetencijos teismų sistema </w:t>
      </w:r>
      <w:proofErr w:type="spellStart"/>
      <w:r w:rsidR="005C51F5" w:rsidRPr="00B504D7">
        <w:rPr>
          <w:i/>
          <w:iCs/>
          <w:color w:val="auto"/>
          <w:lang w:val="lt-LT"/>
        </w:rPr>
        <w:t>conditio</w:t>
      </w:r>
      <w:proofErr w:type="spellEnd"/>
      <w:r w:rsidR="005C51F5" w:rsidRPr="00B504D7">
        <w:rPr>
          <w:i/>
          <w:iCs/>
          <w:color w:val="auto"/>
          <w:lang w:val="lt-LT"/>
        </w:rPr>
        <w:t xml:space="preserve"> </w:t>
      </w:r>
      <w:proofErr w:type="spellStart"/>
      <w:r w:rsidR="005C51F5" w:rsidRPr="00B504D7">
        <w:rPr>
          <w:i/>
          <w:iCs/>
          <w:color w:val="auto"/>
          <w:lang w:val="lt-LT"/>
        </w:rPr>
        <w:t>sine</w:t>
      </w:r>
      <w:proofErr w:type="spellEnd"/>
      <w:r w:rsidR="005C51F5" w:rsidRPr="00B504D7">
        <w:rPr>
          <w:i/>
          <w:iCs/>
          <w:color w:val="auto"/>
          <w:lang w:val="lt-LT"/>
        </w:rPr>
        <w:t xml:space="preserve"> </w:t>
      </w:r>
      <w:proofErr w:type="spellStart"/>
      <w:r w:rsidR="005C51F5" w:rsidRPr="00B504D7">
        <w:rPr>
          <w:i/>
          <w:iCs/>
          <w:color w:val="auto"/>
          <w:lang w:val="lt-LT"/>
        </w:rPr>
        <w:t>qua</w:t>
      </w:r>
      <w:proofErr w:type="spellEnd"/>
      <w:r w:rsidR="005C51F5" w:rsidRPr="00B504D7">
        <w:rPr>
          <w:i/>
          <w:iCs/>
          <w:color w:val="auto"/>
          <w:lang w:val="lt-LT"/>
        </w:rPr>
        <w:t xml:space="preserve"> </w:t>
      </w:r>
      <w:proofErr w:type="spellStart"/>
      <w:r w:rsidR="005C51F5" w:rsidRPr="00B504D7">
        <w:rPr>
          <w:i/>
          <w:iCs/>
          <w:color w:val="auto"/>
          <w:lang w:val="lt-LT"/>
        </w:rPr>
        <w:t>non</w:t>
      </w:r>
      <w:proofErr w:type="spellEnd"/>
      <w:r w:rsidR="005C51F5" w:rsidRPr="00B504D7">
        <w:rPr>
          <w:color w:val="auto"/>
          <w:lang w:val="lt-LT"/>
        </w:rPr>
        <w:t xml:space="preserve"> </w:t>
      </w:r>
      <w:r w:rsidR="00021E54" w:rsidRPr="00B504D7">
        <w:rPr>
          <w:color w:val="auto"/>
          <w:lang w:val="lt-LT"/>
        </w:rPr>
        <w:t>(būtin</w:t>
      </w:r>
      <w:r w:rsidR="00380829" w:rsidRPr="00B504D7">
        <w:rPr>
          <w:color w:val="auto"/>
          <w:lang w:val="lt-LT"/>
        </w:rPr>
        <w:t>o</w:t>
      </w:r>
      <w:r w:rsidR="00021E54" w:rsidRPr="00B504D7">
        <w:rPr>
          <w:color w:val="auto"/>
          <w:lang w:val="lt-LT"/>
        </w:rPr>
        <w:t>j</w:t>
      </w:r>
      <w:r w:rsidR="00380829" w:rsidRPr="00B504D7">
        <w:rPr>
          <w:color w:val="auto"/>
          <w:lang w:val="lt-LT"/>
        </w:rPr>
        <w:t>i</w:t>
      </w:r>
      <w:r w:rsidR="00021E54" w:rsidRPr="00B504D7">
        <w:rPr>
          <w:color w:val="auto"/>
          <w:lang w:val="lt-LT"/>
        </w:rPr>
        <w:t xml:space="preserve"> sąlyga) </w:t>
      </w:r>
      <w:r w:rsidR="005C51F5" w:rsidRPr="00B504D7">
        <w:rPr>
          <w:color w:val="auto"/>
          <w:lang w:val="lt-LT"/>
        </w:rPr>
        <w:t>(Konstitucinio Teismo</w:t>
      </w:r>
      <w:r w:rsidR="00314B04" w:rsidRPr="00B504D7">
        <w:rPr>
          <w:color w:val="auto"/>
          <w:lang w:val="lt-LT"/>
        </w:rPr>
        <w:t xml:space="preserve"> </w:t>
      </w:r>
      <w:r w:rsidR="005C51F5" w:rsidRPr="00B504D7">
        <w:rPr>
          <w:color w:val="auto"/>
          <w:lang w:val="lt-LT"/>
        </w:rPr>
        <w:t>2006 m. kovo 28 d.</w:t>
      </w:r>
      <w:r w:rsidR="00DD126C" w:rsidRPr="00B504D7">
        <w:rPr>
          <w:color w:val="auto"/>
          <w:lang w:val="lt-LT"/>
        </w:rPr>
        <w:t xml:space="preserve"> </w:t>
      </w:r>
      <w:r w:rsidR="005C51F5" w:rsidRPr="00B504D7">
        <w:rPr>
          <w:color w:val="auto"/>
          <w:lang w:val="lt-LT"/>
        </w:rPr>
        <w:t xml:space="preserve">nutarimas). Atsižvelgiant į tai, teisės apskųsti teismo nuosprendį apeliacine tvarka </w:t>
      </w:r>
      <w:r w:rsidR="00021E54" w:rsidRPr="00B504D7">
        <w:rPr>
          <w:color w:val="auto"/>
          <w:lang w:val="lt-LT"/>
        </w:rPr>
        <w:t xml:space="preserve">įgyvendinimas </w:t>
      </w:r>
      <w:r w:rsidR="005C51F5" w:rsidRPr="00B504D7">
        <w:rPr>
          <w:color w:val="auto"/>
          <w:lang w:val="lt-LT"/>
        </w:rPr>
        <w:t>savaime negali suponuoti</w:t>
      </w:r>
      <w:bookmarkStart w:id="226" w:name="nf0565d9c-30b4-409e-91cc-7f9cfe10c069"/>
      <w:r w:rsidR="005C51F5" w:rsidRPr="00B504D7">
        <w:rPr>
          <w:color w:val="auto"/>
          <w:lang w:val="lt-LT"/>
        </w:rPr>
        <w:t xml:space="preserve"> </w:t>
      </w:r>
      <w:hyperlink r:id="rId73" w:tgtFrame="_blank" w:tooltip="Lietuvos Respublikos baudžiamasis kodeksas" w:history="1">
        <w:r w:rsidR="005C51F5" w:rsidRPr="00B504D7">
          <w:rPr>
            <w:rStyle w:val="Hipersaitas"/>
            <w:u w:val="none"/>
            <w:lang w:val="lt-LT"/>
          </w:rPr>
          <w:t>BK</w:t>
        </w:r>
      </w:hyperlink>
      <w:bookmarkStart w:id="227" w:name="pnf0565d9c-30b4-409e-91cc-7f9cfe10c069"/>
      <w:bookmarkStart w:id="228" w:name="n5f73bb41-09a6-4e46-8d54-b0c9520ea6c5"/>
      <w:bookmarkEnd w:id="226"/>
      <w:bookmarkEnd w:id="227"/>
      <w:r w:rsidR="005C51F5" w:rsidRPr="00B504D7">
        <w:rPr>
          <w:color w:val="auto"/>
          <w:lang w:val="lt-LT"/>
        </w:rPr>
        <w:t xml:space="preserve"> </w:t>
      </w:r>
      <w:hyperlink r:id="rId74" w:tgtFrame="_blank" w:tooltip="Bausmės skyrimas bylą išnagrinėjus supaprastinto proceso tvarka ar atlikus sutrumpintą įrodymų tyrimą" w:history="1">
        <w:r w:rsidR="005C51F5" w:rsidRPr="00B504D7">
          <w:rPr>
            <w:rStyle w:val="Hipersaitas"/>
            <w:u w:val="none"/>
            <w:lang w:val="lt-LT"/>
          </w:rPr>
          <w:t>64</w:t>
        </w:r>
        <w:r w:rsidR="005C51F5" w:rsidRPr="00B504D7">
          <w:rPr>
            <w:rStyle w:val="Hipersaitas"/>
            <w:u w:val="none"/>
            <w:vertAlign w:val="superscript"/>
            <w:lang w:val="lt-LT"/>
          </w:rPr>
          <w:t>1</w:t>
        </w:r>
      </w:hyperlink>
      <w:bookmarkStart w:id="229" w:name="pn5f73bb41-09a6-4e46-8d54-b0c9520ea6c5"/>
      <w:bookmarkEnd w:id="228"/>
      <w:bookmarkEnd w:id="229"/>
      <w:r w:rsidR="005C51F5" w:rsidRPr="00B504D7">
        <w:rPr>
          <w:color w:val="auto"/>
          <w:lang w:val="lt-LT"/>
        </w:rPr>
        <w:t xml:space="preserve"> straipsnio nuostatų taikymo panaikinimo. Priešingas išaiškinimas yra nesuderinamas su konstitucine teise į tinkamą teismo procesą</w:t>
      </w:r>
      <w:r w:rsidR="00553F4A" w:rsidRPr="00B504D7">
        <w:rPr>
          <w:color w:val="auto"/>
          <w:lang w:val="lt-LT"/>
        </w:rPr>
        <w:t xml:space="preserve">. Jis </w:t>
      </w:r>
      <w:r w:rsidR="005C51F5" w:rsidRPr="00B504D7">
        <w:rPr>
          <w:color w:val="auto"/>
          <w:lang w:val="lt-LT"/>
        </w:rPr>
        <w:t>taip pat neišplaukia iš</w:t>
      </w:r>
      <w:bookmarkStart w:id="230" w:name="n3a9e0d40-35ea-4fc7-b233-6a0a66290ea9"/>
      <w:r w:rsidR="005C51F5" w:rsidRPr="00B504D7">
        <w:rPr>
          <w:color w:val="auto"/>
          <w:lang w:val="lt-LT"/>
        </w:rPr>
        <w:t xml:space="preserve"> </w:t>
      </w:r>
      <w:hyperlink r:id="rId75" w:tgtFrame="_blank" w:tooltip="Lietuvos Respublikos baudžiamasis kodeksas" w:history="1">
        <w:r w:rsidR="005C51F5" w:rsidRPr="00B504D7">
          <w:rPr>
            <w:rStyle w:val="Hipersaitas"/>
            <w:u w:val="none"/>
            <w:lang w:val="lt-LT"/>
          </w:rPr>
          <w:t>BK</w:t>
        </w:r>
      </w:hyperlink>
      <w:bookmarkStart w:id="231" w:name="pn3a9e0d40-35ea-4fc7-b233-6a0a66290ea9"/>
      <w:bookmarkEnd w:id="230"/>
      <w:bookmarkEnd w:id="231"/>
      <w:r w:rsidR="005C51F5" w:rsidRPr="00B504D7">
        <w:rPr>
          <w:color w:val="auto"/>
          <w:lang w:val="lt-LT"/>
        </w:rPr>
        <w:t xml:space="preserve"> ar</w:t>
      </w:r>
      <w:bookmarkStart w:id="232" w:name="n1bad44f4-c273-4852-b951-43fa90d5db04"/>
      <w:r w:rsidR="005C51F5" w:rsidRPr="00B504D7">
        <w:rPr>
          <w:color w:val="auto"/>
          <w:lang w:val="lt-LT"/>
        </w:rPr>
        <w:t xml:space="preserve"> </w:t>
      </w:r>
      <w:hyperlink r:id="rId76" w:tgtFrame="_blank" w:tooltip="Lietuvos Respublikos baudžiamojo proceso kodeksas" w:history="1">
        <w:r w:rsidR="005C51F5" w:rsidRPr="00B504D7">
          <w:rPr>
            <w:rStyle w:val="Hipersaitas"/>
            <w:u w:val="none"/>
            <w:lang w:val="lt-LT"/>
          </w:rPr>
          <w:t>BPK</w:t>
        </w:r>
      </w:hyperlink>
      <w:bookmarkStart w:id="233" w:name="pn1bad44f4-c273-4852-b951-43fa90d5db04"/>
      <w:bookmarkEnd w:id="232"/>
      <w:bookmarkEnd w:id="233"/>
      <w:r w:rsidR="005C51F5" w:rsidRPr="00B504D7">
        <w:rPr>
          <w:color w:val="auto"/>
          <w:lang w:val="lt-LT"/>
        </w:rPr>
        <w:t xml:space="preserve"> nuostatų</w:t>
      </w:r>
      <w:r w:rsidR="00631924" w:rsidRPr="00B504D7">
        <w:rPr>
          <w:color w:val="auto"/>
          <w:lang w:val="lt-LT"/>
        </w:rPr>
        <w:t>.</w:t>
      </w:r>
    </w:p>
    <w:p w14:paraId="4EDCA519" w14:textId="4118F696" w:rsidR="00F73649" w:rsidRPr="00B504D7" w:rsidRDefault="00F73649" w:rsidP="007D2C18">
      <w:pPr>
        <w:pStyle w:val="Pagrindinistekstas"/>
        <w:numPr>
          <w:ilvl w:val="0"/>
          <w:numId w:val="2"/>
        </w:numPr>
        <w:spacing w:after="120"/>
        <w:rPr>
          <w:lang w:val="lt-LT"/>
        </w:rPr>
      </w:pPr>
      <w:r w:rsidRPr="00B504D7">
        <w:rPr>
          <w:color w:val="auto"/>
          <w:lang w:val="lt-LT"/>
        </w:rPr>
        <w:t xml:space="preserve">Išplėstinė septynių teisėjų kolegija pažymi, kad </w:t>
      </w:r>
      <w:bookmarkStart w:id="234" w:name="_Hlk191804064"/>
      <w:r w:rsidRPr="00B504D7">
        <w:rPr>
          <w:color w:val="auto"/>
          <w:lang w:val="lt-LT"/>
        </w:rPr>
        <w:t>kiekvienu konkrečiu atveju</w:t>
      </w:r>
      <w:bookmarkEnd w:id="234"/>
      <w:r w:rsidRPr="00B504D7">
        <w:rPr>
          <w:color w:val="auto"/>
          <w:lang w:val="lt-LT"/>
        </w:rPr>
        <w:t xml:space="preserve">, </w:t>
      </w:r>
      <w:r w:rsidR="00021E54" w:rsidRPr="00B504D7">
        <w:rPr>
          <w:color w:val="auto"/>
          <w:lang w:val="lt-LT"/>
        </w:rPr>
        <w:t xml:space="preserve">atlikęs </w:t>
      </w:r>
      <w:r w:rsidRPr="00B504D7">
        <w:rPr>
          <w:color w:val="auto"/>
          <w:lang w:val="lt-LT"/>
        </w:rPr>
        <w:t>įrodym</w:t>
      </w:r>
      <w:r w:rsidR="00021E54" w:rsidRPr="00B504D7">
        <w:rPr>
          <w:color w:val="auto"/>
          <w:lang w:val="lt-LT"/>
        </w:rPr>
        <w:t>ų</w:t>
      </w:r>
      <w:r w:rsidRPr="00B504D7">
        <w:rPr>
          <w:color w:val="auto"/>
          <w:lang w:val="lt-LT"/>
        </w:rPr>
        <w:t xml:space="preserve"> tyrimą, apeliacinės instancijos teismas turi nustatyti, ar neišnyko BK 64</w:t>
      </w:r>
      <w:r w:rsidRPr="00B504D7">
        <w:rPr>
          <w:color w:val="auto"/>
          <w:vertAlign w:val="superscript"/>
          <w:lang w:val="lt-LT"/>
        </w:rPr>
        <w:t>1</w:t>
      </w:r>
      <w:r w:rsidRPr="00B504D7">
        <w:rPr>
          <w:color w:val="auto"/>
          <w:lang w:val="lt-LT"/>
        </w:rPr>
        <w:t xml:space="preserve"> straipsnio nuostatų taikymo sąlygos. Sprendžiant dėl BK 64</w:t>
      </w:r>
      <w:r w:rsidRPr="00B504D7">
        <w:rPr>
          <w:color w:val="auto"/>
          <w:vertAlign w:val="superscript"/>
          <w:lang w:val="lt-LT"/>
        </w:rPr>
        <w:t>1</w:t>
      </w:r>
      <w:r w:rsidRPr="00B504D7">
        <w:rPr>
          <w:color w:val="auto"/>
          <w:lang w:val="lt-LT"/>
        </w:rPr>
        <w:t xml:space="preserve"> straipsnio taikymo svarbu, ar teismas, atlikdamas įrodymų tyrimą, nustatinėjo veikos faktines aplinkybes, ar buvo svarstomas įrodymų pakankamumo klausimas, ar įrodymų tyrimas atliekamas dėl aplinkybių, reikšmingų </w:t>
      </w:r>
      <w:r w:rsidR="00021E54" w:rsidRPr="00B504D7">
        <w:rPr>
          <w:color w:val="auto"/>
          <w:lang w:val="lt-LT"/>
        </w:rPr>
        <w:t>bausmei skirti</w:t>
      </w:r>
      <w:r w:rsidRPr="00B504D7">
        <w:rPr>
          <w:color w:val="auto"/>
          <w:lang w:val="lt-LT"/>
        </w:rPr>
        <w:t xml:space="preserve">, ir </w:t>
      </w:r>
      <w:r w:rsidR="00B6388B" w:rsidRPr="00B504D7">
        <w:rPr>
          <w:color w:val="auto"/>
          <w:lang w:val="lt-LT"/>
        </w:rPr>
        <w:t xml:space="preserve">atsižvelgiama </w:t>
      </w:r>
      <w:r w:rsidRPr="00B504D7">
        <w:rPr>
          <w:color w:val="auto"/>
          <w:lang w:val="lt-LT"/>
        </w:rPr>
        <w:t>į kitas konkrečios bylos aplinkybes. Vis</w:t>
      </w:r>
      <w:r w:rsidR="00021E54" w:rsidRPr="00B504D7">
        <w:rPr>
          <w:color w:val="auto"/>
          <w:lang w:val="lt-LT"/>
        </w:rPr>
        <w:t xml:space="preserve"> dėlto</w:t>
      </w:r>
      <w:r w:rsidRPr="00B504D7">
        <w:rPr>
          <w:color w:val="auto"/>
          <w:lang w:val="lt-LT"/>
        </w:rPr>
        <w:t>, kaskart sprendžiant klausimą, ar apeliacinės instancijos teismo atliktas įrodymų tyrimas panaikina vieną iš būtinųjų BK</w:t>
      </w:r>
      <w:r w:rsidR="00380829" w:rsidRPr="00B504D7">
        <w:rPr>
          <w:color w:val="auto"/>
          <w:lang w:val="lt-LT"/>
        </w:rPr>
        <w:t> </w:t>
      </w:r>
      <w:r w:rsidRPr="00B504D7">
        <w:rPr>
          <w:color w:val="auto"/>
          <w:lang w:val="lt-LT"/>
        </w:rPr>
        <w:t>64</w:t>
      </w:r>
      <w:r w:rsidRPr="00B504D7">
        <w:rPr>
          <w:color w:val="auto"/>
          <w:vertAlign w:val="superscript"/>
          <w:lang w:val="lt-LT"/>
        </w:rPr>
        <w:t>1</w:t>
      </w:r>
      <w:r w:rsidR="00021E54" w:rsidRPr="00B504D7">
        <w:rPr>
          <w:color w:val="auto"/>
          <w:lang w:val="lt-LT"/>
        </w:rPr>
        <w:t> </w:t>
      </w:r>
      <w:r w:rsidRPr="00B504D7">
        <w:rPr>
          <w:color w:val="auto"/>
          <w:lang w:val="lt-LT"/>
        </w:rPr>
        <w:t xml:space="preserve">straipsnio taikymo sąlygų, privalu užtikrinti, kad nebūtų pažeidžiamas </w:t>
      </w:r>
      <w:proofErr w:type="spellStart"/>
      <w:r w:rsidRPr="00B504D7">
        <w:rPr>
          <w:i/>
          <w:iCs/>
          <w:color w:val="auto"/>
          <w:lang w:val="lt-LT"/>
        </w:rPr>
        <w:t>non</w:t>
      </w:r>
      <w:proofErr w:type="spellEnd"/>
      <w:r w:rsidRPr="00B504D7">
        <w:rPr>
          <w:i/>
          <w:iCs/>
          <w:color w:val="auto"/>
          <w:lang w:val="lt-LT"/>
        </w:rPr>
        <w:t xml:space="preserve"> </w:t>
      </w:r>
      <w:proofErr w:type="spellStart"/>
      <w:r w:rsidRPr="00B504D7">
        <w:rPr>
          <w:i/>
          <w:iCs/>
          <w:color w:val="auto"/>
          <w:lang w:val="lt-LT"/>
        </w:rPr>
        <w:t>reformatio</w:t>
      </w:r>
      <w:proofErr w:type="spellEnd"/>
      <w:r w:rsidRPr="00B504D7">
        <w:rPr>
          <w:i/>
          <w:iCs/>
          <w:color w:val="auto"/>
          <w:lang w:val="lt-LT"/>
        </w:rPr>
        <w:t xml:space="preserve"> </w:t>
      </w:r>
      <w:proofErr w:type="spellStart"/>
      <w:r w:rsidRPr="00B504D7">
        <w:rPr>
          <w:i/>
          <w:iCs/>
          <w:color w:val="auto"/>
          <w:lang w:val="lt-LT"/>
        </w:rPr>
        <w:t>in</w:t>
      </w:r>
      <w:proofErr w:type="spellEnd"/>
      <w:r w:rsidRPr="00B504D7">
        <w:rPr>
          <w:i/>
          <w:iCs/>
          <w:color w:val="auto"/>
          <w:lang w:val="lt-LT"/>
        </w:rPr>
        <w:t xml:space="preserve"> </w:t>
      </w:r>
      <w:proofErr w:type="spellStart"/>
      <w:r w:rsidRPr="00B504D7">
        <w:rPr>
          <w:i/>
          <w:iCs/>
          <w:color w:val="auto"/>
          <w:lang w:val="lt-LT"/>
        </w:rPr>
        <w:t>peius</w:t>
      </w:r>
      <w:proofErr w:type="spellEnd"/>
      <w:r w:rsidRPr="00B504D7">
        <w:rPr>
          <w:color w:val="auto"/>
          <w:lang w:val="lt-LT"/>
        </w:rPr>
        <w:t xml:space="preserve"> principas. </w:t>
      </w:r>
    </w:p>
    <w:p w14:paraId="124DBAD0" w14:textId="4902FF89" w:rsidR="00532B0B" w:rsidRPr="00DC4869" w:rsidRDefault="00532B0B" w:rsidP="007D2C18">
      <w:pPr>
        <w:pStyle w:val="Sraopastraipa"/>
        <w:numPr>
          <w:ilvl w:val="0"/>
          <w:numId w:val="2"/>
        </w:numPr>
        <w:spacing w:after="120"/>
        <w:jc w:val="both"/>
        <w:rPr>
          <w:lang w:val="lt-LT"/>
        </w:rPr>
      </w:pPr>
      <w:bookmarkStart w:id="235" w:name="_Hlk192007303"/>
      <w:r w:rsidRPr="00DC4869">
        <w:rPr>
          <w:lang w:val="lt-LT"/>
        </w:rPr>
        <w:t>Nagrinėjamu atveju svarbu pažymėti ir tai, kad BK 64¹ straipsnyje nėra aiškiai įtvirtinta, kad tuo atveju, jei apeliacinės instancijos teisme atliekamas įrodymų tyrimas, minėto straipsnio nuostatų taikymas apskritai tampa negalimas ar kad atitinkama nuosprendžio dalis dėl BK 64</w:t>
      </w:r>
      <w:r w:rsidRPr="00DC4869">
        <w:rPr>
          <w:vertAlign w:val="superscript"/>
          <w:lang w:val="lt-LT"/>
        </w:rPr>
        <w:t>1</w:t>
      </w:r>
      <w:r w:rsidRPr="00DC4869">
        <w:rPr>
          <w:lang w:val="lt-LT"/>
        </w:rPr>
        <w:t xml:space="preserve"> straipsnio nuostatų tokiu atveju netenka galios ar neįsigalioja.</w:t>
      </w:r>
    </w:p>
    <w:bookmarkEnd w:id="235"/>
    <w:p w14:paraId="0FCD1680" w14:textId="2A6238E5" w:rsidR="005913ED" w:rsidRPr="00B504D7" w:rsidRDefault="005913ED" w:rsidP="007D2C18">
      <w:pPr>
        <w:pStyle w:val="Sraopastraipa"/>
        <w:numPr>
          <w:ilvl w:val="0"/>
          <w:numId w:val="2"/>
        </w:numPr>
        <w:spacing w:after="120"/>
        <w:jc w:val="both"/>
        <w:rPr>
          <w:lang w:val="lt-LT"/>
        </w:rPr>
      </w:pPr>
      <w:r w:rsidRPr="00B504D7">
        <w:rPr>
          <w:lang w:val="lt-LT"/>
        </w:rPr>
        <w:t>Konstitucinio Teismo jurisprudencijoje ne kartą nurodyta, kad teisėkūros subjektai visais atvejais turi paisyti</w:t>
      </w:r>
      <w:r w:rsidR="00021E54" w:rsidRPr="00B504D7">
        <w:rPr>
          <w:lang w:val="lt-LT"/>
        </w:rPr>
        <w:t>,</w:t>
      </w:r>
      <w:r w:rsidRPr="00B504D7">
        <w:rPr>
          <w:lang w:val="lt-LT"/>
        </w:rPr>
        <w:t xml:space="preserve"> </w:t>
      </w:r>
      <w:proofErr w:type="spellStart"/>
      <w:r w:rsidRPr="00B504D7">
        <w:rPr>
          <w:i/>
          <w:iCs/>
          <w:lang w:val="lt-LT"/>
        </w:rPr>
        <w:t>inter</w:t>
      </w:r>
      <w:proofErr w:type="spellEnd"/>
      <w:r w:rsidRPr="00B504D7">
        <w:rPr>
          <w:i/>
          <w:iCs/>
          <w:lang w:val="lt-LT"/>
        </w:rPr>
        <w:t xml:space="preserve"> alia</w:t>
      </w:r>
      <w:r w:rsidRPr="00B504D7">
        <w:rPr>
          <w:lang w:val="lt-LT"/>
        </w:rPr>
        <w:t xml:space="preserve"> (be kita ko), konstitucinio teisinės valstybės principo, kuris suponuoja įvairius reikalavimus: įstatymuose ir kituose teisės aktuose nustatytas teisinis reguliavimas turi būti aiškus, suprantamas, neprieštaringas, teisės aktų formuluotės turi būti tikslios, kad teisinių santykių subjektai galėtų savo elgesį orientuoti pagal teisės reikalavimus (Konstitucinio Teismo 2004 m. gruodžio 13 d., 2006 m. sausio 16 d., 2013 m. vasario 15 d., 2020 m. rugsėjo 2 d. nutarimai). Be to, vienas esminių konstitucinio teisinės valstybės principo elementų – teisinis tikrumas ir aiškumas, kuris suponuoja tam tikrus privalomus reikalavimus teisiniam reguliavimui: jis privalo būti aiškus ir darnus (Konstitucinio Teismo 2014 m. liepos 11 d., 2017 m. vasario 24</w:t>
      </w:r>
      <w:r w:rsidR="00021E54" w:rsidRPr="00B504D7">
        <w:rPr>
          <w:lang w:val="lt-LT"/>
        </w:rPr>
        <w:t> </w:t>
      </w:r>
      <w:r w:rsidRPr="00B504D7">
        <w:rPr>
          <w:lang w:val="lt-LT"/>
        </w:rPr>
        <w:t xml:space="preserve">d., 2018 m. kovo 8 d., 2018 m. balandžio 12 d. nutarimai). </w:t>
      </w:r>
    </w:p>
    <w:p w14:paraId="20A19F73" w14:textId="7594E4AA" w:rsidR="005913ED" w:rsidRPr="007F32BE" w:rsidRDefault="000A5A7A" w:rsidP="007D2C18">
      <w:pPr>
        <w:pStyle w:val="Sraopastraipa"/>
        <w:numPr>
          <w:ilvl w:val="0"/>
          <w:numId w:val="2"/>
        </w:numPr>
        <w:spacing w:after="120"/>
        <w:jc w:val="both"/>
        <w:rPr>
          <w:color w:val="auto"/>
          <w:lang w:val="lt-LT"/>
        </w:rPr>
      </w:pPr>
      <w:r w:rsidRPr="00B504D7">
        <w:rPr>
          <w:rFonts w:cs="Times New Roman"/>
          <w:lang w:val="lt-LT"/>
        </w:rPr>
        <w:t>Tai, k</w:t>
      </w:r>
      <w:r w:rsidR="005913ED" w:rsidRPr="00B504D7">
        <w:rPr>
          <w:rFonts w:cs="Times New Roman"/>
          <w:lang w:val="lt-LT"/>
        </w:rPr>
        <w:t xml:space="preserve">ad įstatymas turi būti aiškus tiek, </w:t>
      </w:r>
      <w:r w:rsidR="005913ED" w:rsidRPr="00B504D7">
        <w:rPr>
          <w:rFonts w:cs="Times New Roman"/>
          <w:iCs/>
          <w:lang w:val="lt-LT"/>
        </w:rPr>
        <w:t xml:space="preserve">kad teisinių santykių subjektai galėtų savo elgesį orientuoti pagal teisės reikalavimus, t. y. </w:t>
      </w:r>
      <w:r w:rsidR="005913ED" w:rsidRPr="00B504D7">
        <w:rPr>
          <w:rFonts w:cs="Times New Roman"/>
          <w:lang w:val="lt-LT"/>
        </w:rPr>
        <w:t xml:space="preserve">atitikti </w:t>
      </w:r>
      <w:proofErr w:type="spellStart"/>
      <w:r w:rsidR="005913ED" w:rsidRPr="00B504D7">
        <w:rPr>
          <w:rFonts w:cs="Times New Roman"/>
          <w:lang w:val="lt-LT"/>
        </w:rPr>
        <w:t>numatomumo</w:t>
      </w:r>
      <w:proofErr w:type="spellEnd"/>
      <w:r w:rsidR="005913ED" w:rsidRPr="00B504D7">
        <w:rPr>
          <w:rFonts w:cs="Times New Roman"/>
          <w:lang w:val="lt-LT"/>
        </w:rPr>
        <w:t xml:space="preserve"> kriterijų, </w:t>
      </w:r>
      <w:r w:rsidR="005913ED" w:rsidRPr="00B504D7">
        <w:rPr>
          <w:rFonts w:cs="Times New Roman"/>
          <w:iCs/>
          <w:lang w:val="lt-LT"/>
        </w:rPr>
        <w:t xml:space="preserve">pabrėžiama ir </w:t>
      </w:r>
      <w:r w:rsidRPr="00B504D7">
        <w:rPr>
          <w:rFonts w:cs="Times New Roman"/>
          <w:iCs/>
          <w:lang w:val="lt-LT"/>
        </w:rPr>
        <w:t xml:space="preserve">Europos Žmogaus Teisių Teismo (toliau – </w:t>
      </w:r>
      <w:r w:rsidR="005913ED" w:rsidRPr="00B504D7">
        <w:rPr>
          <w:rFonts w:cs="Times New Roman"/>
          <w:iCs/>
          <w:lang w:val="lt-LT"/>
        </w:rPr>
        <w:t>EŽTT</w:t>
      </w:r>
      <w:r w:rsidRPr="00B504D7">
        <w:rPr>
          <w:rFonts w:cs="Times New Roman"/>
          <w:iCs/>
          <w:lang w:val="lt-LT"/>
        </w:rPr>
        <w:t>)</w:t>
      </w:r>
      <w:r w:rsidR="005913ED" w:rsidRPr="00B504D7">
        <w:rPr>
          <w:rFonts w:cs="Times New Roman"/>
          <w:iCs/>
          <w:lang w:val="lt-LT"/>
        </w:rPr>
        <w:t xml:space="preserve"> praktikoje, aiškinant </w:t>
      </w:r>
      <w:r w:rsidRPr="00B504D7">
        <w:rPr>
          <w:rFonts w:cs="Times New Roman"/>
          <w:iCs/>
          <w:lang w:val="lt-LT"/>
        </w:rPr>
        <w:t xml:space="preserve">Žmogaus teisių ir pagrindinių laisvių apsaugos konvencijos (toliau – Konvencija) </w:t>
      </w:r>
      <w:r w:rsidR="005913ED" w:rsidRPr="00B504D7">
        <w:rPr>
          <w:rFonts w:cs="Times New Roman"/>
          <w:iCs/>
          <w:lang w:val="lt-LT"/>
        </w:rPr>
        <w:t xml:space="preserve">7 straipsnį </w:t>
      </w:r>
      <w:r w:rsidR="005913ED" w:rsidRPr="00B504D7">
        <w:rPr>
          <w:rFonts w:cs="Times New Roman"/>
          <w:lang w:val="lt-LT"/>
        </w:rPr>
        <w:t>(</w:t>
      </w:r>
      <w:proofErr w:type="spellStart"/>
      <w:r w:rsidR="005913ED" w:rsidRPr="00B504D7">
        <w:rPr>
          <w:rFonts w:cs="Times New Roman"/>
          <w:i/>
          <w:iCs/>
          <w:lang w:val="lt-LT"/>
        </w:rPr>
        <w:t>Kokkinakis</w:t>
      </w:r>
      <w:proofErr w:type="spellEnd"/>
      <w:r w:rsidR="005913ED" w:rsidRPr="00B504D7">
        <w:rPr>
          <w:rFonts w:cs="Times New Roman"/>
          <w:i/>
          <w:iCs/>
          <w:lang w:val="lt-LT"/>
        </w:rPr>
        <w:t xml:space="preserve"> prieš Graikiją</w:t>
      </w:r>
      <w:r w:rsidR="005913ED" w:rsidRPr="00B504D7">
        <w:rPr>
          <w:rFonts w:cs="Times New Roman"/>
          <w:lang w:val="lt-LT"/>
        </w:rPr>
        <w:t>, peticijos Nr.</w:t>
      </w:r>
      <w:r w:rsidRPr="00B504D7">
        <w:rPr>
          <w:rFonts w:cs="Times New Roman"/>
          <w:i/>
          <w:iCs/>
          <w:lang w:val="lt-LT"/>
        </w:rPr>
        <w:t> </w:t>
      </w:r>
      <w:hyperlink r:id="rId77" w:anchor="{%22appno%22:[%2214307/88%22]}" w:tgtFrame="_blank" w:history="1">
        <w:r w:rsidR="005913ED" w:rsidRPr="00B504D7">
          <w:rPr>
            <w:rStyle w:val="Hipersaitas"/>
            <w:rFonts w:cs="Times New Roman"/>
            <w:color w:val="auto"/>
            <w:u w:val="none"/>
            <w:lang w:val="lt-LT"/>
          </w:rPr>
          <w:t>14307/88</w:t>
        </w:r>
      </w:hyperlink>
      <w:r w:rsidR="002B4224" w:rsidRPr="00B504D7">
        <w:rPr>
          <w:rFonts w:cs="Times New Roman"/>
          <w:lang w:val="lt-LT"/>
        </w:rPr>
        <w:t>;</w:t>
      </w:r>
      <w:r w:rsidR="005913ED" w:rsidRPr="00B504D7">
        <w:rPr>
          <w:rFonts w:cs="Times New Roman"/>
          <w:i/>
          <w:iCs/>
          <w:lang w:val="lt-LT"/>
        </w:rPr>
        <w:t xml:space="preserve"> </w:t>
      </w:r>
      <w:proofErr w:type="spellStart"/>
      <w:r w:rsidR="005913ED" w:rsidRPr="00B504D7">
        <w:rPr>
          <w:rFonts w:cs="Times New Roman"/>
          <w:i/>
          <w:iCs/>
          <w:lang w:val="lt-LT"/>
        </w:rPr>
        <w:t>Cantoni</w:t>
      </w:r>
      <w:proofErr w:type="spellEnd"/>
      <w:r w:rsidR="005913ED" w:rsidRPr="00B504D7">
        <w:rPr>
          <w:rFonts w:cs="Times New Roman"/>
          <w:i/>
          <w:iCs/>
          <w:lang w:val="lt-LT"/>
        </w:rPr>
        <w:t xml:space="preserve"> prieš Prancūziją</w:t>
      </w:r>
      <w:r w:rsidR="005913ED" w:rsidRPr="00B504D7">
        <w:rPr>
          <w:rFonts w:cs="Times New Roman"/>
          <w:lang w:val="lt-LT"/>
        </w:rPr>
        <w:t>, peticijos Nr.</w:t>
      </w:r>
      <w:r w:rsidR="005913ED" w:rsidRPr="00B504D7">
        <w:rPr>
          <w:rFonts w:cs="Times New Roman"/>
          <w:i/>
          <w:iCs/>
          <w:lang w:val="lt-LT"/>
        </w:rPr>
        <w:t xml:space="preserve"> </w:t>
      </w:r>
      <w:hyperlink r:id="rId78" w:anchor="{%22appno%22:[%2217862/91%22]}" w:tgtFrame="_blank" w:history="1">
        <w:r w:rsidR="005913ED" w:rsidRPr="00B504D7">
          <w:rPr>
            <w:rStyle w:val="Hipersaitas"/>
            <w:rFonts w:cs="Times New Roman"/>
            <w:color w:val="auto"/>
            <w:u w:val="none"/>
            <w:lang w:val="lt-LT"/>
          </w:rPr>
          <w:t>17862/91</w:t>
        </w:r>
      </w:hyperlink>
      <w:r w:rsidR="002B4224" w:rsidRPr="00B504D7">
        <w:rPr>
          <w:rFonts w:cs="Times New Roman"/>
          <w:lang w:val="lt-LT"/>
        </w:rPr>
        <w:t>;</w:t>
      </w:r>
      <w:r w:rsidR="005913ED" w:rsidRPr="00B504D7">
        <w:rPr>
          <w:rFonts w:cs="Times New Roman"/>
          <w:i/>
          <w:iCs/>
          <w:lang w:val="lt-LT"/>
        </w:rPr>
        <w:t xml:space="preserve"> </w:t>
      </w:r>
      <w:proofErr w:type="spellStart"/>
      <w:r w:rsidR="005913ED" w:rsidRPr="00B504D7">
        <w:rPr>
          <w:rFonts w:cs="Times New Roman"/>
          <w:i/>
          <w:iCs/>
          <w:lang w:val="lt-LT"/>
        </w:rPr>
        <w:t>Coëme</w:t>
      </w:r>
      <w:proofErr w:type="spellEnd"/>
      <w:r w:rsidR="005913ED" w:rsidRPr="00B504D7">
        <w:rPr>
          <w:rFonts w:cs="Times New Roman"/>
          <w:i/>
          <w:iCs/>
          <w:lang w:val="lt-LT"/>
        </w:rPr>
        <w:t xml:space="preserve"> ir kiti prieš Belgiją</w:t>
      </w:r>
      <w:r w:rsidR="005913ED" w:rsidRPr="00B504D7">
        <w:rPr>
          <w:rFonts w:cs="Times New Roman"/>
          <w:lang w:val="lt-LT"/>
        </w:rPr>
        <w:t>, peticijų Nr.</w:t>
      </w:r>
      <w:r w:rsidR="005913ED" w:rsidRPr="00B504D7">
        <w:rPr>
          <w:rFonts w:cs="Times New Roman"/>
          <w:i/>
          <w:iCs/>
          <w:lang w:val="lt-LT"/>
        </w:rPr>
        <w:t xml:space="preserve"> </w:t>
      </w:r>
      <w:hyperlink r:id="rId79" w:anchor="{%22appno%22:[%2232492/96%22]}" w:tgtFrame="_blank" w:history="1">
        <w:r w:rsidR="005913ED" w:rsidRPr="00B504D7">
          <w:rPr>
            <w:rStyle w:val="Hipersaitas"/>
            <w:rFonts w:cs="Times New Roman"/>
            <w:color w:val="auto"/>
            <w:u w:val="none"/>
            <w:lang w:val="lt-LT"/>
          </w:rPr>
          <w:t>32492/96</w:t>
        </w:r>
      </w:hyperlink>
      <w:r w:rsidR="005913ED" w:rsidRPr="00B504D7">
        <w:rPr>
          <w:rFonts w:cs="Times New Roman"/>
          <w:lang w:val="lt-LT"/>
        </w:rPr>
        <w:t>,</w:t>
      </w:r>
      <w:r w:rsidR="005913ED" w:rsidRPr="00B504D7">
        <w:rPr>
          <w:rFonts w:cs="Times New Roman"/>
          <w:i/>
          <w:iCs/>
          <w:lang w:val="lt-LT"/>
        </w:rPr>
        <w:t xml:space="preserve"> </w:t>
      </w:r>
      <w:hyperlink r:id="rId80" w:anchor="{%22appno%22:[%2232547/96%22]}" w:tgtFrame="_blank" w:history="1">
        <w:r w:rsidR="005913ED" w:rsidRPr="00B504D7">
          <w:rPr>
            <w:rStyle w:val="Hipersaitas"/>
            <w:rFonts w:cs="Times New Roman"/>
            <w:color w:val="auto"/>
            <w:u w:val="none"/>
            <w:lang w:val="lt-LT"/>
          </w:rPr>
          <w:t>32547/96</w:t>
        </w:r>
      </w:hyperlink>
      <w:r w:rsidR="005913ED" w:rsidRPr="00B504D7">
        <w:rPr>
          <w:rFonts w:cs="Times New Roman"/>
          <w:lang w:val="lt-LT"/>
        </w:rPr>
        <w:t>,</w:t>
      </w:r>
      <w:r w:rsidR="005913ED" w:rsidRPr="00B504D7">
        <w:rPr>
          <w:rFonts w:cs="Times New Roman"/>
          <w:i/>
          <w:iCs/>
          <w:lang w:val="lt-LT"/>
        </w:rPr>
        <w:t xml:space="preserve"> </w:t>
      </w:r>
      <w:hyperlink r:id="rId81" w:anchor="{%22appno%22:[%2232548/96%22]}" w:tgtFrame="_blank" w:history="1">
        <w:r w:rsidR="005913ED" w:rsidRPr="00B504D7">
          <w:rPr>
            <w:rStyle w:val="Hipersaitas"/>
            <w:rFonts w:cs="Times New Roman"/>
            <w:color w:val="auto"/>
            <w:u w:val="none"/>
            <w:lang w:val="lt-LT"/>
          </w:rPr>
          <w:t>32548/96</w:t>
        </w:r>
      </w:hyperlink>
      <w:r w:rsidR="005913ED" w:rsidRPr="00B504D7">
        <w:rPr>
          <w:rFonts w:cs="Times New Roman"/>
          <w:lang w:val="lt-LT"/>
        </w:rPr>
        <w:t>,</w:t>
      </w:r>
      <w:r w:rsidR="005913ED" w:rsidRPr="00B504D7">
        <w:rPr>
          <w:rFonts w:cs="Times New Roman"/>
          <w:i/>
          <w:iCs/>
          <w:lang w:val="lt-LT"/>
        </w:rPr>
        <w:t xml:space="preserve"> </w:t>
      </w:r>
      <w:hyperlink r:id="rId82" w:anchor="{%22appno%22:[%2233209/96%22]}" w:tgtFrame="_blank" w:history="1">
        <w:r w:rsidR="005913ED" w:rsidRPr="00B504D7">
          <w:rPr>
            <w:rStyle w:val="Hipersaitas"/>
            <w:rFonts w:cs="Times New Roman"/>
            <w:color w:val="auto"/>
            <w:u w:val="none"/>
            <w:lang w:val="lt-LT"/>
          </w:rPr>
          <w:t>33209/96</w:t>
        </w:r>
      </w:hyperlink>
      <w:r w:rsidR="005913ED" w:rsidRPr="00B504D7">
        <w:rPr>
          <w:rFonts w:cs="Times New Roman"/>
          <w:lang w:val="lt-LT"/>
        </w:rPr>
        <w:t>,</w:t>
      </w:r>
      <w:r w:rsidR="005913ED" w:rsidRPr="00B504D7">
        <w:rPr>
          <w:rFonts w:cs="Times New Roman"/>
          <w:i/>
          <w:iCs/>
          <w:lang w:val="lt-LT"/>
        </w:rPr>
        <w:t xml:space="preserve"> </w:t>
      </w:r>
      <w:hyperlink r:id="rId83" w:anchor="{%22appno%22:[%2233210/96%22]}" w:tgtFrame="_blank" w:history="1">
        <w:r w:rsidR="005913ED" w:rsidRPr="00B504D7">
          <w:rPr>
            <w:rStyle w:val="Hipersaitas"/>
            <w:rFonts w:cs="Times New Roman"/>
            <w:color w:val="auto"/>
            <w:u w:val="none"/>
            <w:lang w:val="lt-LT"/>
          </w:rPr>
          <w:t>33210/96</w:t>
        </w:r>
      </w:hyperlink>
      <w:r w:rsidR="002B4224" w:rsidRPr="00B504D7">
        <w:rPr>
          <w:rFonts w:cs="Times New Roman"/>
          <w:lang w:val="lt-LT"/>
        </w:rPr>
        <w:t>;</w:t>
      </w:r>
      <w:r w:rsidR="005913ED" w:rsidRPr="00B504D7">
        <w:rPr>
          <w:rFonts w:cs="Times New Roman"/>
          <w:i/>
          <w:iCs/>
          <w:lang w:val="lt-LT"/>
        </w:rPr>
        <w:t xml:space="preserve"> E.</w:t>
      </w:r>
      <w:r w:rsidR="00021E54" w:rsidRPr="00B504D7">
        <w:rPr>
          <w:rFonts w:cs="Times New Roman"/>
          <w:i/>
          <w:iCs/>
          <w:lang w:val="lt-LT"/>
        </w:rPr>
        <w:t xml:space="preserve"> </w:t>
      </w:r>
      <w:r w:rsidR="005913ED" w:rsidRPr="00B504D7">
        <w:rPr>
          <w:rFonts w:cs="Times New Roman"/>
          <w:i/>
          <w:iCs/>
          <w:lang w:val="lt-LT"/>
        </w:rPr>
        <w:t>K. prieš Turkiją</w:t>
      </w:r>
      <w:r w:rsidR="005913ED" w:rsidRPr="00B504D7">
        <w:rPr>
          <w:rFonts w:cs="Times New Roman"/>
          <w:lang w:val="lt-LT"/>
        </w:rPr>
        <w:t>, peticijos Nr.</w:t>
      </w:r>
      <w:r w:rsidRPr="00B504D7">
        <w:rPr>
          <w:rFonts w:cs="Times New Roman"/>
          <w:lang w:val="lt-LT"/>
        </w:rPr>
        <w:t> </w:t>
      </w:r>
      <w:r w:rsidR="005913ED" w:rsidRPr="00B504D7">
        <w:rPr>
          <w:rFonts w:cs="Times New Roman"/>
          <w:lang w:val="lt-LT"/>
        </w:rPr>
        <w:t>28496/95)</w:t>
      </w:r>
      <w:r w:rsidR="005913ED" w:rsidRPr="00B504D7">
        <w:rPr>
          <w:rFonts w:cs="Times New Roman"/>
          <w:iCs/>
          <w:lang w:val="lt-LT"/>
        </w:rPr>
        <w:t xml:space="preserve">. </w:t>
      </w:r>
      <w:r w:rsidR="005913ED" w:rsidRPr="00B504D7">
        <w:rPr>
          <w:rFonts w:cs="Times New Roman"/>
          <w:lang w:val="lt-LT"/>
        </w:rPr>
        <w:t xml:space="preserve">Įstatymas atitiks </w:t>
      </w:r>
      <w:proofErr w:type="spellStart"/>
      <w:r w:rsidR="005913ED" w:rsidRPr="00B504D7">
        <w:rPr>
          <w:rFonts w:cs="Times New Roman"/>
          <w:lang w:val="lt-LT"/>
        </w:rPr>
        <w:t>numatomumo</w:t>
      </w:r>
      <w:proofErr w:type="spellEnd"/>
      <w:r w:rsidR="005913ED" w:rsidRPr="00B504D7">
        <w:rPr>
          <w:rFonts w:cs="Times New Roman"/>
          <w:lang w:val="lt-LT"/>
        </w:rPr>
        <w:t xml:space="preserve"> reikalavimą, kai asmuo galės, pasinaudojęs tam tikra teisine pagalba, atitinkamu protingu laipsniu pagal esančią situaciją įvertinti pasekmes, kurias sukels tam tikri veiksmai (</w:t>
      </w:r>
      <w:proofErr w:type="spellStart"/>
      <w:r w:rsidR="005913ED" w:rsidRPr="00B504D7">
        <w:rPr>
          <w:rFonts w:cs="Times New Roman"/>
          <w:i/>
          <w:iCs/>
          <w:lang w:val="lt-LT"/>
        </w:rPr>
        <w:t>Achour</w:t>
      </w:r>
      <w:proofErr w:type="spellEnd"/>
      <w:r w:rsidR="005913ED" w:rsidRPr="00B504D7">
        <w:rPr>
          <w:rFonts w:cs="Times New Roman"/>
          <w:i/>
          <w:iCs/>
          <w:lang w:val="lt-LT"/>
        </w:rPr>
        <w:t xml:space="preserve"> prieš Prancūziją</w:t>
      </w:r>
      <w:r w:rsidR="005913ED" w:rsidRPr="00B504D7">
        <w:rPr>
          <w:rFonts w:cs="Times New Roman"/>
          <w:lang w:val="lt-LT"/>
        </w:rPr>
        <w:t>, peticija Nr. 67335/01). Nors šis teismas pripažįsta, kad tam tikrais atvejais įstatymo aiškinimo ir taikymo klausimai sprendžiami teismų praktikoje (</w:t>
      </w:r>
      <w:proofErr w:type="spellStart"/>
      <w:r w:rsidR="005913ED" w:rsidRPr="00B504D7">
        <w:rPr>
          <w:rFonts w:cs="Times New Roman"/>
          <w:i/>
          <w:iCs/>
          <w:lang w:val="lt-LT"/>
        </w:rPr>
        <w:t>Kokkinakis</w:t>
      </w:r>
      <w:proofErr w:type="spellEnd"/>
      <w:r w:rsidR="005913ED" w:rsidRPr="00B504D7">
        <w:rPr>
          <w:rFonts w:cs="Times New Roman"/>
          <w:i/>
          <w:iCs/>
          <w:lang w:val="lt-LT"/>
        </w:rPr>
        <w:t xml:space="preserve"> prieš Graikiją</w:t>
      </w:r>
      <w:r w:rsidR="005913ED" w:rsidRPr="00B504D7">
        <w:rPr>
          <w:rFonts w:cs="Times New Roman"/>
          <w:lang w:val="lt-LT"/>
        </w:rPr>
        <w:t>, peticijos Nr.</w:t>
      </w:r>
      <w:r w:rsidR="005913ED" w:rsidRPr="00B504D7">
        <w:rPr>
          <w:rFonts w:cs="Times New Roman"/>
          <w:i/>
          <w:iCs/>
          <w:lang w:val="lt-LT"/>
        </w:rPr>
        <w:t xml:space="preserve"> </w:t>
      </w:r>
      <w:hyperlink r:id="rId84" w:anchor="{%22appno%22:[%2214307/88%22]}" w:tgtFrame="_blank" w:history="1">
        <w:r w:rsidR="005913ED" w:rsidRPr="00B504D7">
          <w:rPr>
            <w:rStyle w:val="Hipersaitas"/>
            <w:rFonts w:cs="Times New Roman"/>
            <w:color w:val="auto"/>
            <w:u w:val="none"/>
            <w:lang w:val="lt-LT"/>
          </w:rPr>
          <w:t>14307/88</w:t>
        </w:r>
      </w:hyperlink>
      <w:r w:rsidR="00554D88" w:rsidRPr="00B504D7">
        <w:rPr>
          <w:rFonts w:cs="Times New Roman"/>
          <w:lang w:val="lt-LT"/>
        </w:rPr>
        <w:t>;</w:t>
      </w:r>
      <w:r w:rsidR="005913ED" w:rsidRPr="00B504D7">
        <w:rPr>
          <w:rFonts w:cs="Times New Roman"/>
          <w:i/>
          <w:iCs/>
          <w:lang w:val="lt-LT"/>
        </w:rPr>
        <w:t xml:space="preserve"> </w:t>
      </w:r>
      <w:proofErr w:type="spellStart"/>
      <w:r w:rsidR="005913ED" w:rsidRPr="00B504D7">
        <w:rPr>
          <w:rFonts w:cs="Times New Roman"/>
          <w:i/>
          <w:iCs/>
          <w:lang w:val="lt-LT"/>
        </w:rPr>
        <w:t>Cantoni</w:t>
      </w:r>
      <w:proofErr w:type="spellEnd"/>
      <w:r w:rsidR="005913ED" w:rsidRPr="00B504D7">
        <w:rPr>
          <w:rFonts w:cs="Times New Roman"/>
          <w:i/>
          <w:iCs/>
          <w:lang w:val="lt-LT"/>
        </w:rPr>
        <w:t xml:space="preserve"> prieš Prancūziją</w:t>
      </w:r>
      <w:r w:rsidR="005913ED" w:rsidRPr="00B504D7">
        <w:rPr>
          <w:rFonts w:cs="Times New Roman"/>
          <w:lang w:val="lt-LT"/>
        </w:rPr>
        <w:t>, peticijos Nr.</w:t>
      </w:r>
      <w:r w:rsidR="00021E54" w:rsidRPr="00B504D7">
        <w:rPr>
          <w:rFonts w:cs="Times New Roman"/>
          <w:i/>
          <w:iCs/>
          <w:lang w:val="lt-LT"/>
        </w:rPr>
        <w:t> </w:t>
      </w:r>
      <w:hyperlink r:id="rId85" w:anchor="{%22appno%22:[%2217862/91%22]}" w:tgtFrame="_blank" w:history="1">
        <w:r w:rsidR="005913ED" w:rsidRPr="00B504D7">
          <w:rPr>
            <w:rStyle w:val="Hipersaitas"/>
            <w:rFonts w:cs="Times New Roman"/>
            <w:color w:val="auto"/>
            <w:u w:val="none"/>
            <w:lang w:val="lt-LT"/>
          </w:rPr>
          <w:t>17862/91</w:t>
        </w:r>
      </w:hyperlink>
      <w:r w:rsidR="005913ED" w:rsidRPr="00B504D7">
        <w:rPr>
          <w:rFonts w:cs="Times New Roman"/>
          <w:lang w:val="lt-LT"/>
        </w:rPr>
        <w:t>), nes teisinis tikrumas kartais gali sukelti ir pernelyg didelį griežtumą, o teisė turi derėti su besikeičiančiomis aplinkybėmis. Tačiau kartu pabrėžia, kad Konvencijos 7</w:t>
      </w:r>
      <w:r w:rsidRPr="00B504D7">
        <w:rPr>
          <w:rFonts w:cs="Times New Roman"/>
          <w:lang w:val="lt-LT"/>
        </w:rPr>
        <w:t> </w:t>
      </w:r>
      <w:r w:rsidR="005913ED" w:rsidRPr="00B504D7">
        <w:rPr>
          <w:rFonts w:cs="Times New Roman"/>
          <w:lang w:val="lt-LT"/>
        </w:rPr>
        <w:t>straipsnis negali būti aiškinamas kaip pašalinantis galimybę laipsniškai tikslinti baudžiamosios atsakomybės taisykles per teisminį aiškinimą, kurį teismai atlieka byla po bylos, tačiau tokio aiškinimo rezultatas turi būti suderinamas su nusikaltimo esme ir turi būti pagrįstai numatomas (</w:t>
      </w:r>
      <w:proofErr w:type="spellStart"/>
      <w:r w:rsidR="005913ED" w:rsidRPr="00B504D7">
        <w:rPr>
          <w:rFonts w:cs="Times New Roman"/>
          <w:i/>
          <w:iCs/>
          <w:lang w:val="lt-LT"/>
        </w:rPr>
        <w:t>Streletz</w:t>
      </w:r>
      <w:proofErr w:type="spellEnd"/>
      <w:r w:rsidR="005913ED" w:rsidRPr="00B504D7">
        <w:rPr>
          <w:rFonts w:cs="Times New Roman"/>
          <w:i/>
          <w:iCs/>
          <w:lang w:val="lt-LT"/>
        </w:rPr>
        <w:t xml:space="preserve">, </w:t>
      </w:r>
      <w:proofErr w:type="spellStart"/>
      <w:r w:rsidR="005913ED" w:rsidRPr="00B504D7">
        <w:rPr>
          <w:rFonts w:cs="Times New Roman"/>
          <w:i/>
          <w:iCs/>
          <w:lang w:val="lt-LT"/>
        </w:rPr>
        <w:t>Kessler</w:t>
      </w:r>
      <w:proofErr w:type="spellEnd"/>
      <w:r w:rsidR="005913ED" w:rsidRPr="00B504D7">
        <w:rPr>
          <w:rFonts w:cs="Times New Roman"/>
          <w:i/>
          <w:iCs/>
          <w:lang w:val="lt-LT"/>
        </w:rPr>
        <w:t xml:space="preserve"> ir </w:t>
      </w:r>
      <w:proofErr w:type="spellStart"/>
      <w:r w:rsidR="005913ED" w:rsidRPr="00B504D7">
        <w:rPr>
          <w:rFonts w:cs="Times New Roman"/>
          <w:i/>
          <w:iCs/>
          <w:lang w:val="lt-LT"/>
        </w:rPr>
        <w:t>Krenz</w:t>
      </w:r>
      <w:proofErr w:type="spellEnd"/>
      <w:r w:rsidR="005913ED" w:rsidRPr="00B504D7">
        <w:rPr>
          <w:rFonts w:cs="Times New Roman"/>
          <w:i/>
          <w:iCs/>
          <w:lang w:val="lt-LT"/>
        </w:rPr>
        <w:t xml:space="preserve"> prieš Vokietiją</w:t>
      </w:r>
      <w:r w:rsidR="005913ED" w:rsidRPr="00B504D7">
        <w:rPr>
          <w:rFonts w:cs="Times New Roman"/>
          <w:lang w:val="lt-LT"/>
        </w:rPr>
        <w:t>, peticijų Nr. 34044/96, 35532/97, 44801/98</w:t>
      </w:r>
      <w:r w:rsidR="00554D88" w:rsidRPr="00B504D7">
        <w:rPr>
          <w:rFonts w:cs="Times New Roman"/>
          <w:lang w:val="lt-LT"/>
        </w:rPr>
        <w:t>;</w:t>
      </w:r>
      <w:r w:rsidR="005913ED" w:rsidRPr="00B504D7">
        <w:rPr>
          <w:rFonts w:cs="Times New Roman"/>
          <w:lang w:val="lt-LT"/>
        </w:rPr>
        <w:t xml:space="preserve"> </w:t>
      </w:r>
      <w:proofErr w:type="spellStart"/>
      <w:r w:rsidR="005913ED" w:rsidRPr="00B504D7">
        <w:rPr>
          <w:rFonts w:cs="Times New Roman"/>
          <w:bCs/>
          <w:i/>
          <w:iCs/>
          <w:lang w:val="lt-LT"/>
        </w:rPr>
        <w:t>Scoppola</w:t>
      </w:r>
      <w:proofErr w:type="spellEnd"/>
      <w:r w:rsidR="005913ED" w:rsidRPr="00B504D7">
        <w:rPr>
          <w:rFonts w:cs="Times New Roman"/>
          <w:bCs/>
          <w:i/>
          <w:iCs/>
          <w:lang w:val="lt-LT"/>
        </w:rPr>
        <w:t xml:space="preserve"> </w:t>
      </w:r>
      <w:r w:rsidR="005913ED" w:rsidRPr="00B504D7">
        <w:rPr>
          <w:rFonts w:cs="Times New Roman"/>
          <w:bCs/>
          <w:i/>
          <w:iCs/>
          <w:lang w:val="lt-LT"/>
        </w:rPr>
        <w:lastRenderedPageBreak/>
        <w:t>prieš Italiją</w:t>
      </w:r>
      <w:r w:rsidR="005913ED" w:rsidRPr="00B504D7">
        <w:rPr>
          <w:rFonts w:cs="Times New Roman"/>
          <w:bCs/>
          <w:lang w:val="lt-LT"/>
        </w:rPr>
        <w:t>, peticijos Nr. 10249/03</w:t>
      </w:r>
      <w:r w:rsidR="005913ED" w:rsidRPr="00B504D7">
        <w:rPr>
          <w:rFonts w:cs="Times New Roman"/>
          <w:lang w:val="lt-LT"/>
        </w:rPr>
        <w:t xml:space="preserve">). Taigi EŽTT aiškiai nurodo, kad teismų praktikoje suformuluota įstatymo taikymo taisyklė, taip kaip ir įstatymo nuostata, turi atitikti </w:t>
      </w:r>
      <w:proofErr w:type="spellStart"/>
      <w:r w:rsidR="005913ED" w:rsidRPr="00B504D7">
        <w:rPr>
          <w:rFonts w:cs="Times New Roman"/>
          <w:lang w:val="lt-LT"/>
        </w:rPr>
        <w:t>numatomumo</w:t>
      </w:r>
      <w:proofErr w:type="spellEnd"/>
      <w:r w:rsidR="005913ED" w:rsidRPr="00B504D7">
        <w:rPr>
          <w:rFonts w:cs="Times New Roman"/>
          <w:lang w:val="lt-LT"/>
        </w:rPr>
        <w:t xml:space="preserve"> kriterijų, t. y. ji galioja į ateitį. Tik tokiu būdu </w:t>
      </w:r>
      <w:r w:rsidR="005913ED" w:rsidRPr="00B504D7">
        <w:rPr>
          <w:rFonts w:cs="Times New Roman"/>
          <w:iCs/>
          <w:lang w:val="lt-LT"/>
        </w:rPr>
        <w:t xml:space="preserve">teisinių santykių subjektai, žinodami galimas pasekmes, gali pasirinkti savo veikimo modelį baudžiamajame procese. </w:t>
      </w:r>
    </w:p>
    <w:p w14:paraId="5A6B9D48" w14:textId="1E085B2C" w:rsidR="00A1296B" w:rsidRPr="007F32BE" w:rsidRDefault="00FB277C" w:rsidP="007F32BE">
      <w:pPr>
        <w:pStyle w:val="Sraopastraipa"/>
        <w:numPr>
          <w:ilvl w:val="0"/>
          <w:numId w:val="2"/>
        </w:numPr>
        <w:spacing w:after="120"/>
        <w:jc w:val="both"/>
        <w:rPr>
          <w:i/>
          <w:lang w:val="lt-LT"/>
        </w:rPr>
      </w:pPr>
      <w:r w:rsidRPr="007F32BE">
        <w:rPr>
          <w:color w:val="auto"/>
          <w:lang w:val="lt-LT"/>
        </w:rPr>
        <w:t xml:space="preserve">Apeliacinės instancijos teismas nuosprendžio 70 punkte nurodė, kad </w:t>
      </w:r>
      <w:r w:rsidRPr="007F32BE">
        <w:rPr>
          <w:rFonts w:cs="Times New Roman"/>
          <w:color w:val="auto"/>
          <w:lang w:val="lt-LT"/>
        </w:rPr>
        <w:t>teisėjų kolegija</w:t>
      </w:r>
      <w:r w:rsidR="000A5A7A" w:rsidRPr="007F32BE">
        <w:rPr>
          <w:rFonts w:cs="Times New Roman"/>
          <w:color w:val="auto"/>
          <w:lang w:val="lt-LT"/>
        </w:rPr>
        <w:t>,</w:t>
      </w:r>
      <w:r w:rsidRPr="007F32BE">
        <w:rPr>
          <w:rFonts w:cs="Times New Roman"/>
          <w:color w:val="auto"/>
          <w:lang w:val="lt-LT"/>
        </w:rPr>
        <w:t xml:space="preserve"> varžoma prokuroro apeliacinio skundo ir įstatyme nustatyto draudimo pabloginti nuteistojo padėtį labiau</w:t>
      </w:r>
      <w:r w:rsidR="003A25F4" w:rsidRPr="007F32BE">
        <w:rPr>
          <w:rFonts w:cs="Times New Roman"/>
          <w:color w:val="auto"/>
          <w:lang w:val="lt-LT"/>
        </w:rPr>
        <w:t>,</w:t>
      </w:r>
      <w:r w:rsidRPr="007F32BE">
        <w:rPr>
          <w:rFonts w:cs="Times New Roman"/>
          <w:color w:val="auto"/>
          <w:lang w:val="lt-LT"/>
        </w:rPr>
        <w:t xml:space="preserve"> nei to prašoma, taiko </w:t>
      </w:r>
      <w:bookmarkStart w:id="236" w:name="Buk_145"/>
      <w:r w:rsidR="004F1F30" w:rsidRPr="004F1F30">
        <w:rPr>
          <w:rFonts w:cs="Times New Roman"/>
          <w:color w:val="auto"/>
          <w:lang w:val="lt-LT"/>
        </w:rPr>
        <w:t xml:space="preserve">V. Š. </w:t>
      </w:r>
      <w:bookmarkEnd w:id="236"/>
      <w:r w:rsidRPr="007F32BE">
        <w:rPr>
          <w:rFonts w:cs="Times New Roman"/>
          <w:color w:val="auto"/>
          <w:lang w:val="lt-LT"/>
        </w:rPr>
        <w:t>BK 64</w:t>
      </w:r>
      <w:r w:rsidRPr="007F32BE">
        <w:rPr>
          <w:rFonts w:cs="Times New Roman"/>
          <w:color w:val="auto"/>
          <w:vertAlign w:val="superscript"/>
          <w:lang w:val="lt-LT"/>
        </w:rPr>
        <w:t>1</w:t>
      </w:r>
      <w:r w:rsidRPr="007F32BE">
        <w:rPr>
          <w:rFonts w:cs="Times New Roman"/>
          <w:color w:val="auto"/>
          <w:lang w:val="lt-LT"/>
        </w:rPr>
        <w:t xml:space="preserve"> straipsnio nuostatas ir paskirtą laisvės atėmimo bausmę mažina vienu trečdaliu. </w:t>
      </w:r>
      <w:r w:rsidR="00974D1F" w:rsidRPr="007F32BE">
        <w:rPr>
          <w:lang w:val="lt-LT"/>
        </w:rPr>
        <w:t xml:space="preserve">Nors </w:t>
      </w:r>
      <w:r w:rsidR="00754F0F" w:rsidRPr="007F32BE">
        <w:rPr>
          <w:lang w:val="lt-LT"/>
        </w:rPr>
        <w:t>prokuroras</w:t>
      </w:r>
      <w:r w:rsidR="00974D1F" w:rsidRPr="007F32BE">
        <w:rPr>
          <w:lang w:val="lt-LT"/>
        </w:rPr>
        <w:t xml:space="preserve"> nesutinka su </w:t>
      </w:r>
      <w:r w:rsidRPr="007F32BE">
        <w:rPr>
          <w:lang w:val="lt-LT"/>
        </w:rPr>
        <w:t>šia teismo</w:t>
      </w:r>
      <w:r w:rsidR="00DD57C9" w:rsidRPr="007F32BE">
        <w:rPr>
          <w:lang w:val="lt-LT"/>
        </w:rPr>
        <w:t xml:space="preserve"> išvada, </w:t>
      </w:r>
      <w:r w:rsidR="00974D1F" w:rsidRPr="007F32BE">
        <w:rPr>
          <w:lang w:val="lt-LT"/>
        </w:rPr>
        <w:t xml:space="preserve">tačiau toks nesutikimas yra nepagrįstas. </w:t>
      </w:r>
      <w:r w:rsidR="00520227" w:rsidRPr="007F32BE">
        <w:rPr>
          <w:lang w:val="lt-LT"/>
        </w:rPr>
        <w:t>B</w:t>
      </w:r>
      <w:r w:rsidR="00017D82" w:rsidRPr="007F32BE">
        <w:rPr>
          <w:lang w:val="lt-LT"/>
        </w:rPr>
        <w:t>ylą išnagrinėjus apeliacine tvarka, nuteistojo padėtis negali būti pabloginta labiau</w:t>
      </w:r>
      <w:r w:rsidR="003A25F4" w:rsidRPr="007F32BE">
        <w:rPr>
          <w:lang w:val="lt-LT"/>
        </w:rPr>
        <w:t>,</w:t>
      </w:r>
      <w:r w:rsidR="00017D82" w:rsidRPr="007F32BE">
        <w:rPr>
          <w:lang w:val="lt-LT"/>
        </w:rPr>
        <w:t xml:space="preserve"> negu to prašoma apeliaciniame skunde</w:t>
      </w:r>
      <w:r w:rsidR="00937236" w:rsidRPr="007F32BE">
        <w:rPr>
          <w:lang w:val="lt-LT"/>
        </w:rPr>
        <w:t xml:space="preserve"> (BPK </w:t>
      </w:r>
      <w:r w:rsidR="00F0376D" w:rsidRPr="007F32BE">
        <w:rPr>
          <w:lang w:val="lt-LT"/>
        </w:rPr>
        <w:t>320 straipsnio 4 dalis</w:t>
      </w:r>
      <w:r w:rsidR="00937236" w:rsidRPr="007F32BE">
        <w:rPr>
          <w:lang w:val="lt-LT"/>
        </w:rPr>
        <w:t>)</w:t>
      </w:r>
      <w:r w:rsidR="00017D82" w:rsidRPr="007F32BE">
        <w:rPr>
          <w:lang w:val="lt-LT"/>
        </w:rPr>
        <w:t xml:space="preserve">. </w:t>
      </w:r>
      <w:r w:rsidR="00DD57C9" w:rsidRPr="007F32BE">
        <w:rPr>
          <w:lang w:val="lt-LT"/>
        </w:rPr>
        <w:t xml:space="preserve">Nagrinėjamu atveju </w:t>
      </w:r>
      <w:r w:rsidR="00017D82" w:rsidRPr="007F32BE">
        <w:rPr>
          <w:lang w:val="lt-LT"/>
        </w:rPr>
        <w:t xml:space="preserve">tiek apeliaciniu skundu, tiek baigiamųjų kalbų metu prokuroras prašė taikyti </w:t>
      </w:r>
      <w:r w:rsidR="00017D82" w:rsidRPr="007F32BE">
        <w:rPr>
          <w:color w:val="auto"/>
          <w:lang w:val="lt-LT"/>
        </w:rPr>
        <w:t>BK 64</w:t>
      </w:r>
      <w:r w:rsidR="00017D82" w:rsidRPr="007F32BE">
        <w:rPr>
          <w:color w:val="auto"/>
          <w:vertAlign w:val="superscript"/>
          <w:lang w:val="lt-LT"/>
        </w:rPr>
        <w:t>1</w:t>
      </w:r>
      <w:r w:rsidR="00017D82" w:rsidRPr="007F32BE">
        <w:rPr>
          <w:color w:val="auto"/>
          <w:lang w:val="lt-LT"/>
        </w:rPr>
        <w:t xml:space="preserve"> straipsnio nuostatas</w:t>
      </w:r>
      <w:r w:rsidR="007A7479" w:rsidRPr="007F32BE">
        <w:rPr>
          <w:color w:val="auto"/>
          <w:lang w:val="lt-LT"/>
        </w:rPr>
        <w:t>.</w:t>
      </w:r>
      <w:r w:rsidR="00DD57C9" w:rsidRPr="007F32BE">
        <w:rPr>
          <w:color w:val="auto"/>
          <w:lang w:val="lt-LT"/>
        </w:rPr>
        <w:t xml:space="preserve"> Nors aukštesnysis prokuroras, padavęs kasacinį skundą, nėra saistomas žemesniojo prokuroro pozicijos, tačiau toks</w:t>
      </w:r>
      <w:r w:rsidR="0013050A" w:rsidRPr="007F32BE">
        <w:rPr>
          <w:color w:val="auto"/>
          <w:lang w:val="lt-LT"/>
        </w:rPr>
        <w:t xml:space="preserve"> valstybinio kaltintojo pozicijos keitimas neabejotinai laikytinas </w:t>
      </w:r>
      <w:proofErr w:type="spellStart"/>
      <w:r w:rsidR="00B77FE8" w:rsidRPr="007F32BE">
        <w:rPr>
          <w:color w:val="auto"/>
          <w:lang w:val="lt-LT"/>
        </w:rPr>
        <w:t>siurpriziniu</w:t>
      </w:r>
      <w:proofErr w:type="spellEnd"/>
      <w:r w:rsidR="00B77FE8" w:rsidRPr="007F32BE">
        <w:rPr>
          <w:color w:val="auto"/>
          <w:lang w:val="lt-LT"/>
        </w:rPr>
        <w:t xml:space="preserve"> gynybai</w:t>
      </w:r>
      <w:r w:rsidR="00DD5818" w:rsidRPr="007F32BE">
        <w:rPr>
          <w:color w:val="auto"/>
          <w:lang w:val="lt-LT"/>
        </w:rPr>
        <w:t xml:space="preserve">, </w:t>
      </w:r>
      <w:r w:rsidR="0013050A" w:rsidRPr="007F32BE">
        <w:rPr>
          <w:color w:val="auto"/>
          <w:lang w:val="lt-LT"/>
        </w:rPr>
        <w:t xml:space="preserve">nes </w:t>
      </w:r>
      <w:r w:rsidR="009B0E3A" w:rsidRPr="007F32BE">
        <w:rPr>
          <w:color w:val="auto"/>
          <w:lang w:val="lt-LT"/>
        </w:rPr>
        <w:t>ir kasacinės instancijos teismo posėdžio metu gynėjas, duodamas paaiškinimus, pabrėžė, kad pirmiau procese prokuroras šio klausimo nekėlė</w:t>
      </w:r>
      <w:r w:rsidR="00DD57C9" w:rsidRPr="007F32BE">
        <w:rPr>
          <w:color w:val="auto"/>
          <w:lang w:val="lt-LT"/>
        </w:rPr>
        <w:t>, o jų apeliacinio ir kasacinio skundo prašymai buvo reiškiami tik siekiant švelnesnės bausmės nuteistajam</w:t>
      </w:r>
      <w:r w:rsidR="00520227" w:rsidRPr="007F32BE">
        <w:rPr>
          <w:color w:val="auto"/>
          <w:lang w:val="lt-LT"/>
        </w:rPr>
        <w:t xml:space="preserve">. </w:t>
      </w:r>
    </w:p>
    <w:p w14:paraId="1D86BF85" w14:textId="600EF93D" w:rsidR="00DC4869" w:rsidRPr="006452F9" w:rsidRDefault="00DC4869" w:rsidP="00B504D7">
      <w:pPr>
        <w:pStyle w:val="Sraopastraipa"/>
        <w:numPr>
          <w:ilvl w:val="0"/>
          <w:numId w:val="2"/>
        </w:numPr>
        <w:spacing w:after="120"/>
        <w:jc w:val="both"/>
        <w:rPr>
          <w:rFonts w:cs="Times New Roman"/>
          <w:lang w:val="lt-LT"/>
        </w:rPr>
      </w:pPr>
      <w:r w:rsidRPr="006452F9">
        <w:rPr>
          <w:rFonts w:cs="Times New Roman"/>
          <w:lang w:val="lt-LT"/>
        </w:rPr>
        <w:t>Išplėstinė septynių teisėjų kolegija konstatuoja, kad tokioje procesinėje situacijoje, kai pirmosios instancijos teismas, skirdamas bausmę, pritaiko BK 64</w:t>
      </w:r>
      <w:r w:rsidRPr="006452F9">
        <w:rPr>
          <w:rFonts w:cs="Times New Roman"/>
          <w:vertAlign w:val="superscript"/>
          <w:lang w:val="lt-LT"/>
        </w:rPr>
        <w:t>1</w:t>
      </w:r>
      <w:r w:rsidRPr="006452F9">
        <w:rPr>
          <w:rFonts w:cs="Times New Roman"/>
          <w:lang w:val="lt-LT"/>
        </w:rPr>
        <w:t xml:space="preserve"> straipsnį, prokuroras apeliaciniu skundu ir apeliacinio proceso metu prašo paskirti kitos rūšies bausmę ir pritaikyti BK 64</w:t>
      </w:r>
      <w:r w:rsidRPr="006452F9">
        <w:rPr>
          <w:rFonts w:cs="Times New Roman"/>
          <w:vertAlign w:val="superscript"/>
          <w:lang w:val="lt-LT"/>
        </w:rPr>
        <w:t>1</w:t>
      </w:r>
      <w:r w:rsidRPr="006452F9">
        <w:rPr>
          <w:rFonts w:cs="Times New Roman"/>
          <w:lang w:val="lt-LT"/>
        </w:rPr>
        <w:t xml:space="preserve"> straipsnį, apeliacinės instancijos teismas, nepriklausomai nuo to, ar jis atliko įrodymų tyrimą, bausmę turi skirti laikydamasis </w:t>
      </w:r>
      <w:proofErr w:type="spellStart"/>
      <w:r w:rsidRPr="006452F9">
        <w:rPr>
          <w:rFonts w:cs="Times New Roman"/>
          <w:i/>
          <w:iCs/>
          <w:lang w:val="lt-LT"/>
        </w:rPr>
        <w:t>non</w:t>
      </w:r>
      <w:proofErr w:type="spellEnd"/>
      <w:r w:rsidRPr="006452F9">
        <w:rPr>
          <w:rFonts w:cs="Times New Roman"/>
          <w:i/>
          <w:iCs/>
          <w:lang w:val="lt-LT"/>
        </w:rPr>
        <w:t xml:space="preserve"> </w:t>
      </w:r>
      <w:proofErr w:type="spellStart"/>
      <w:r w:rsidRPr="006452F9">
        <w:rPr>
          <w:rFonts w:cs="Times New Roman"/>
          <w:i/>
          <w:iCs/>
          <w:lang w:val="lt-LT"/>
        </w:rPr>
        <w:t>reformatio</w:t>
      </w:r>
      <w:proofErr w:type="spellEnd"/>
      <w:r w:rsidRPr="006452F9">
        <w:rPr>
          <w:rFonts w:cs="Times New Roman"/>
          <w:i/>
          <w:iCs/>
          <w:lang w:val="lt-LT"/>
        </w:rPr>
        <w:t xml:space="preserve"> </w:t>
      </w:r>
      <w:proofErr w:type="spellStart"/>
      <w:r w:rsidRPr="006452F9">
        <w:rPr>
          <w:rFonts w:cs="Times New Roman"/>
          <w:i/>
          <w:iCs/>
          <w:lang w:val="lt-LT"/>
        </w:rPr>
        <w:t>in</w:t>
      </w:r>
      <w:proofErr w:type="spellEnd"/>
      <w:r w:rsidRPr="006452F9">
        <w:rPr>
          <w:rFonts w:cs="Times New Roman"/>
          <w:i/>
          <w:iCs/>
          <w:lang w:val="lt-LT"/>
        </w:rPr>
        <w:t xml:space="preserve"> </w:t>
      </w:r>
      <w:proofErr w:type="spellStart"/>
      <w:r w:rsidRPr="006452F9">
        <w:rPr>
          <w:rFonts w:cs="Times New Roman"/>
          <w:i/>
          <w:iCs/>
          <w:lang w:val="lt-LT"/>
        </w:rPr>
        <w:t>peius</w:t>
      </w:r>
      <w:proofErr w:type="spellEnd"/>
      <w:r w:rsidRPr="006452F9">
        <w:rPr>
          <w:rFonts w:cs="Times New Roman"/>
          <w:lang w:val="lt-LT"/>
        </w:rPr>
        <w:t xml:space="preserve"> principo. Taigi, apeliacinės instancijos teismas</w:t>
      </w:r>
      <w:r w:rsidR="004C2C56">
        <w:rPr>
          <w:rFonts w:cs="Times New Roman"/>
          <w:lang w:val="lt-LT"/>
        </w:rPr>
        <w:t>,</w:t>
      </w:r>
      <w:r w:rsidRPr="006452F9">
        <w:rPr>
          <w:rFonts w:cs="Times New Roman"/>
          <w:lang w:val="lt-LT"/>
        </w:rPr>
        <w:t xml:space="preserve"> nagrinėjamoje byloje paskirdamas kitokią nei pirmosios instancijos teismas bausmę ir sumažindamas ją trečdaliu pagal BK 64</w:t>
      </w:r>
      <w:r w:rsidRPr="006452F9">
        <w:rPr>
          <w:rFonts w:cs="Times New Roman"/>
          <w:vertAlign w:val="superscript"/>
          <w:lang w:val="lt-LT"/>
        </w:rPr>
        <w:t>1</w:t>
      </w:r>
      <w:r w:rsidRPr="006452F9">
        <w:rPr>
          <w:rFonts w:cs="Times New Roman"/>
          <w:lang w:val="lt-LT"/>
        </w:rPr>
        <w:t xml:space="preserve"> straipsnio nuostatas, tinkamai taikė baudžiamąjį įstatymą.</w:t>
      </w:r>
    </w:p>
    <w:p w14:paraId="6FFC18A6" w14:textId="7D53DD9C" w:rsidR="00DD69A7" w:rsidRPr="00B504D7" w:rsidRDefault="00185E3A" w:rsidP="007D2C18">
      <w:pPr>
        <w:pStyle w:val="Sraopastraipa"/>
        <w:numPr>
          <w:ilvl w:val="0"/>
          <w:numId w:val="2"/>
        </w:numPr>
        <w:spacing w:after="120"/>
        <w:jc w:val="both"/>
        <w:rPr>
          <w:lang w:val="lt-LT"/>
        </w:rPr>
      </w:pPr>
      <w:r w:rsidRPr="00B504D7">
        <w:rPr>
          <w:lang w:val="lt-LT"/>
        </w:rPr>
        <w:t>Išplėstinė septynių t</w:t>
      </w:r>
      <w:r w:rsidR="00C30659" w:rsidRPr="00B504D7">
        <w:rPr>
          <w:lang w:val="lt-LT"/>
        </w:rPr>
        <w:t xml:space="preserve">eisėjų kolegija pažymi, kad išvados dėl nuteistajam </w:t>
      </w:r>
      <w:r w:rsidR="008C658F" w:rsidRPr="00B504D7">
        <w:rPr>
          <w:lang w:val="lt-LT"/>
        </w:rPr>
        <w:t xml:space="preserve">apeliacinės instancijos teismo </w:t>
      </w:r>
      <w:r w:rsidR="00C30659" w:rsidRPr="00B504D7">
        <w:rPr>
          <w:lang w:val="lt-LT"/>
        </w:rPr>
        <w:t>paskirtos bausmės nekeičia ir BK bendrosios dalies 2024</w:t>
      </w:r>
      <w:r w:rsidR="008C658F" w:rsidRPr="00B504D7">
        <w:rPr>
          <w:lang w:val="lt-LT"/>
        </w:rPr>
        <w:t xml:space="preserve"> m. balandžio </w:t>
      </w:r>
      <w:r w:rsidR="00C30659" w:rsidRPr="00B504D7">
        <w:rPr>
          <w:lang w:val="lt-LT"/>
        </w:rPr>
        <w:t>25 įstatymu Nr.</w:t>
      </w:r>
      <w:r w:rsidR="003A25F4" w:rsidRPr="00B504D7">
        <w:rPr>
          <w:lang w:val="lt-LT"/>
        </w:rPr>
        <w:t> </w:t>
      </w:r>
      <w:r w:rsidR="00C30659" w:rsidRPr="00B504D7">
        <w:rPr>
          <w:lang w:val="lt-LT"/>
        </w:rPr>
        <w:t xml:space="preserve">XIV-2573 padaryti pakeitimai, </w:t>
      </w:r>
      <w:r w:rsidR="008C658F" w:rsidRPr="00B504D7">
        <w:rPr>
          <w:lang w:val="lt-LT"/>
        </w:rPr>
        <w:t>įsigalioję</w:t>
      </w:r>
      <w:r w:rsidR="00C30659" w:rsidRPr="00B504D7">
        <w:rPr>
          <w:lang w:val="lt-LT"/>
        </w:rPr>
        <w:t xml:space="preserve"> nuo 2025 m. vasario 1</w:t>
      </w:r>
      <w:r w:rsidR="00DE4BE6" w:rsidRPr="00B504D7">
        <w:rPr>
          <w:lang w:val="lt-LT"/>
        </w:rPr>
        <w:t xml:space="preserve"> </w:t>
      </w:r>
      <w:r w:rsidR="00C30659" w:rsidRPr="00B504D7">
        <w:rPr>
          <w:lang w:val="lt-LT"/>
        </w:rPr>
        <w:t>d.</w:t>
      </w:r>
      <w:r w:rsidR="008279DF" w:rsidRPr="00B504D7">
        <w:rPr>
          <w:lang w:val="lt-LT"/>
        </w:rPr>
        <w:t xml:space="preserve"> </w:t>
      </w:r>
      <w:r w:rsidR="00DD69A7" w:rsidRPr="00B504D7">
        <w:rPr>
          <w:lang w:val="lt-LT"/>
        </w:rPr>
        <w:t xml:space="preserve"> </w:t>
      </w:r>
    </w:p>
    <w:p w14:paraId="2F83868E" w14:textId="5AEF511F" w:rsidR="00A0262B" w:rsidRPr="00B504D7" w:rsidRDefault="00DD69A7" w:rsidP="007D2C18">
      <w:pPr>
        <w:pStyle w:val="Sraopastraipa"/>
        <w:numPr>
          <w:ilvl w:val="0"/>
          <w:numId w:val="2"/>
        </w:numPr>
        <w:spacing w:after="120"/>
        <w:jc w:val="both"/>
        <w:rPr>
          <w:lang w:val="lt-LT"/>
        </w:rPr>
      </w:pPr>
      <w:r w:rsidRPr="00B504D7">
        <w:rPr>
          <w:lang w:val="lt-LT"/>
        </w:rPr>
        <w:t xml:space="preserve">Pagal šiuo metu galiojančią BK 61 straipsnio </w:t>
      </w:r>
      <w:r w:rsidR="008279DF" w:rsidRPr="00B504D7">
        <w:rPr>
          <w:lang w:val="lt-LT"/>
        </w:rPr>
        <w:t>2</w:t>
      </w:r>
      <w:r w:rsidRPr="00B504D7">
        <w:rPr>
          <w:lang w:val="lt-LT"/>
        </w:rPr>
        <w:t xml:space="preserve"> dalį</w:t>
      </w:r>
      <w:r w:rsidR="003A25F4" w:rsidRPr="00B504D7">
        <w:rPr>
          <w:lang w:val="lt-LT"/>
        </w:rPr>
        <w:t>,</w:t>
      </w:r>
      <w:r w:rsidRPr="00B504D7">
        <w:rPr>
          <w:lang w:val="lt-LT"/>
        </w:rPr>
        <w:t xml:space="preserve"> teismas, įvertinęs atsakomybę lengvinančias ir (ar) atsakomybę sunkinančias aplinkybes, jų </w:t>
      </w:r>
      <w:r w:rsidR="003A25F4" w:rsidRPr="00B504D7">
        <w:rPr>
          <w:lang w:val="lt-LT"/>
        </w:rPr>
        <w:t>skaičių</w:t>
      </w:r>
      <w:r w:rsidRPr="00B504D7">
        <w:rPr>
          <w:lang w:val="lt-LT"/>
        </w:rPr>
        <w:t xml:space="preserve">, pobūdį ir tarpusavio santykį, taip pat kitas BK 54 straipsnio 2 dalyje nurodytas aplinkybes, motyvuotai parenka švelnesnę ar griežtesnę bausmės rūšį ir nustato skiriamos bausmės dydį. </w:t>
      </w:r>
      <w:r w:rsidR="00A2321F" w:rsidRPr="00B504D7">
        <w:rPr>
          <w:lang w:val="lt-LT"/>
        </w:rPr>
        <w:t xml:space="preserve">Be to, šio straipsnio 4 dalyje </w:t>
      </w:r>
      <w:r w:rsidR="003A25F4" w:rsidRPr="00B504D7">
        <w:rPr>
          <w:lang w:val="lt-LT"/>
        </w:rPr>
        <w:t>nustatyta</w:t>
      </w:r>
      <w:r w:rsidR="00A2321F" w:rsidRPr="00B504D7">
        <w:rPr>
          <w:lang w:val="lt-LT"/>
        </w:rPr>
        <w:t xml:space="preserve">, jog tuo atveju, kai kaltininkas savo noru prisipažino padaręs nusikaltimą, nuoširdžiai gailisi, aktyviai padėjo išaiškinti nusikaltimą ir nėra atsakomybę sunkinančių aplinkybių, teismas paprastai skiria jam minimalią straipsnio sankcijoje už padarytą nusikaltimą </w:t>
      </w:r>
      <w:r w:rsidR="003A25F4" w:rsidRPr="00B504D7">
        <w:rPr>
          <w:lang w:val="lt-LT"/>
        </w:rPr>
        <w:t xml:space="preserve">nustatytą </w:t>
      </w:r>
      <w:r w:rsidR="00A2321F" w:rsidRPr="00B504D7">
        <w:rPr>
          <w:lang w:val="lt-LT"/>
        </w:rPr>
        <w:t xml:space="preserve">laisvės atėmimo bausmę arba su laisvės atėmimu nesusijusią bausmę. Esant šios dalies pirmame sakinyje nustatytoms sąlygoms, teismas gali skirti didesnę nei minimalią sankcijoje už padarytą nusikaltimą </w:t>
      </w:r>
      <w:r w:rsidR="003A25F4" w:rsidRPr="00B504D7">
        <w:rPr>
          <w:lang w:val="lt-LT"/>
        </w:rPr>
        <w:t xml:space="preserve">nustatytą </w:t>
      </w:r>
      <w:r w:rsidR="00A2321F" w:rsidRPr="00B504D7">
        <w:rPr>
          <w:lang w:val="lt-LT"/>
        </w:rPr>
        <w:t xml:space="preserve">laisvės atėmimo bausmę, tačiau tokį savo sprendimą privalo motyvuoti. Už sunkų arba labai sunkų nusikaltimą teismas, esant šioje dalyje nurodytoms aplinkybėms, skiria ne didesnę kaip straipsnio sankcijoje už padarytą nusikaltimą </w:t>
      </w:r>
      <w:r w:rsidR="003A25F4" w:rsidRPr="00B504D7">
        <w:rPr>
          <w:lang w:val="lt-LT"/>
        </w:rPr>
        <w:t xml:space="preserve">nurodytos </w:t>
      </w:r>
      <w:r w:rsidR="00A2321F" w:rsidRPr="00B504D7">
        <w:rPr>
          <w:lang w:val="lt-LT"/>
        </w:rPr>
        <w:t xml:space="preserve">bausmės vidurkis laisvės atėmimo bausmę arba su laisvės atėmimu nesusijusią bausmę, išskyrus atvejus, kai straipsnio sankcijoje </w:t>
      </w:r>
      <w:r w:rsidR="003A25F4" w:rsidRPr="00B504D7">
        <w:rPr>
          <w:lang w:val="lt-LT"/>
        </w:rPr>
        <w:t xml:space="preserve">nustatyta </w:t>
      </w:r>
      <w:r w:rsidR="00A2321F" w:rsidRPr="00B504D7">
        <w:rPr>
          <w:lang w:val="lt-LT"/>
        </w:rPr>
        <w:t xml:space="preserve">laisvės atėmimo iki gyvos galvos bausmė. </w:t>
      </w:r>
      <w:r w:rsidRPr="00B504D7">
        <w:rPr>
          <w:lang w:val="lt-LT"/>
        </w:rPr>
        <w:t xml:space="preserve">Taigi, bausmės dydis nebėra skaičiuojamas nuo vidurkio, kaip buvo </w:t>
      </w:r>
      <w:r w:rsidR="003A25F4" w:rsidRPr="00B504D7">
        <w:rPr>
          <w:lang w:val="lt-LT"/>
        </w:rPr>
        <w:t xml:space="preserve">nurodyta </w:t>
      </w:r>
      <w:r w:rsidRPr="00B504D7">
        <w:rPr>
          <w:lang w:val="lt-LT"/>
        </w:rPr>
        <w:t>iki 2025 m. vasario 1 d. galiojusioje BK 62 straipsnio 2 dalies redakcijoje (2000 m. rugsėjo 26 d. įstatymo redakcija)</w:t>
      </w:r>
      <w:r w:rsidR="00A2321F" w:rsidRPr="00B504D7">
        <w:rPr>
          <w:lang w:val="lt-LT"/>
        </w:rPr>
        <w:t xml:space="preserve">, o esant 4 dalyje </w:t>
      </w:r>
      <w:r w:rsidR="003A25F4" w:rsidRPr="00B504D7">
        <w:rPr>
          <w:lang w:val="lt-LT"/>
        </w:rPr>
        <w:t xml:space="preserve">nurodytoms </w:t>
      </w:r>
      <w:r w:rsidR="00A2321F" w:rsidRPr="00B504D7">
        <w:rPr>
          <w:lang w:val="lt-LT"/>
        </w:rPr>
        <w:t xml:space="preserve">aplinkybėms paprastai skiriama minimali sankcijoje </w:t>
      </w:r>
      <w:r w:rsidR="003A25F4" w:rsidRPr="00B504D7">
        <w:rPr>
          <w:lang w:val="lt-LT"/>
        </w:rPr>
        <w:t xml:space="preserve">nustatyta </w:t>
      </w:r>
      <w:r w:rsidR="00A2321F" w:rsidRPr="00B504D7">
        <w:rPr>
          <w:lang w:val="lt-LT"/>
        </w:rPr>
        <w:t xml:space="preserve">bausmė, o už sunkų </w:t>
      </w:r>
      <w:r w:rsidR="00FD22A1" w:rsidRPr="00B504D7">
        <w:rPr>
          <w:lang w:val="lt-LT"/>
        </w:rPr>
        <w:t xml:space="preserve">nusikaltimą </w:t>
      </w:r>
      <w:r w:rsidR="00A2321F" w:rsidRPr="00B504D7">
        <w:rPr>
          <w:lang w:val="lt-LT"/>
        </w:rPr>
        <w:t>(</w:t>
      </w:r>
      <w:bookmarkStart w:id="237" w:name="Buk_68"/>
      <w:r w:rsidR="004F1F30" w:rsidRPr="004F1F30">
        <w:rPr>
          <w:color w:val="auto"/>
          <w:lang w:val="lt-LT"/>
        </w:rPr>
        <w:t xml:space="preserve">V. Š. </w:t>
      </w:r>
      <w:bookmarkEnd w:id="237"/>
      <w:r w:rsidR="00A2321F" w:rsidRPr="00B504D7">
        <w:rPr>
          <w:lang w:val="lt-LT"/>
        </w:rPr>
        <w:t xml:space="preserve">nuteistas būtent už tokio nusikaltimo padarymą) skiriama </w:t>
      </w:r>
      <w:r w:rsidR="003A25F4" w:rsidRPr="00B504D7">
        <w:rPr>
          <w:lang w:val="lt-LT"/>
        </w:rPr>
        <w:t xml:space="preserve">bausmė, kuri yra </w:t>
      </w:r>
      <w:r w:rsidR="00A2321F" w:rsidRPr="00B504D7">
        <w:rPr>
          <w:lang w:val="lt-LT"/>
        </w:rPr>
        <w:t xml:space="preserve">ne didesnė nei sankcijoje </w:t>
      </w:r>
      <w:r w:rsidR="003A25F4" w:rsidRPr="00B504D7">
        <w:rPr>
          <w:lang w:val="lt-LT"/>
        </w:rPr>
        <w:t xml:space="preserve">nurodytos </w:t>
      </w:r>
      <w:r w:rsidR="00A2321F" w:rsidRPr="00B504D7">
        <w:rPr>
          <w:lang w:val="lt-LT"/>
        </w:rPr>
        <w:t xml:space="preserve">bausmės vidurkis. </w:t>
      </w:r>
    </w:p>
    <w:p w14:paraId="0210CD2D" w14:textId="364B7926" w:rsidR="00C30659" w:rsidRPr="00B504D7" w:rsidRDefault="00A2321F" w:rsidP="004478F8">
      <w:pPr>
        <w:pStyle w:val="Sraopastraipa"/>
        <w:numPr>
          <w:ilvl w:val="0"/>
          <w:numId w:val="2"/>
        </w:numPr>
        <w:jc w:val="both"/>
        <w:rPr>
          <w:lang w:val="lt-LT"/>
        </w:rPr>
      </w:pPr>
      <w:r w:rsidRPr="00B504D7">
        <w:rPr>
          <w:lang w:val="lt-LT"/>
        </w:rPr>
        <w:t>Nagrinėjamu atveju apeliacinės instancijos teismas</w:t>
      </w:r>
      <w:r w:rsidR="003A25F4" w:rsidRPr="00B504D7">
        <w:rPr>
          <w:lang w:val="lt-LT"/>
        </w:rPr>
        <w:t>,</w:t>
      </w:r>
      <w:r w:rsidRPr="00B504D7">
        <w:rPr>
          <w:lang w:val="lt-LT"/>
        </w:rPr>
        <w:t xml:space="preserve"> skirdamas laisvės atėmimo bausmę </w:t>
      </w:r>
      <w:bookmarkStart w:id="238" w:name="Buk_146"/>
      <w:r w:rsidR="004F1F30" w:rsidRPr="004F1F30">
        <w:rPr>
          <w:color w:val="auto"/>
          <w:lang w:val="lt-LT"/>
        </w:rPr>
        <w:t>V. Š.</w:t>
      </w:r>
      <w:bookmarkEnd w:id="238"/>
      <w:r w:rsidR="003A25F4" w:rsidRPr="00B504D7">
        <w:rPr>
          <w:lang w:val="lt-LT"/>
        </w:rPr>
        <w:t>,</w:t>
      </w:r>
      <w:r w:rsidR="00A0262B" w:rsidRPr="00B504D7">
        <w:rPr>
          <w:lang w:val="lt-LT"/>
        </w:rPr>
        <w:t xml:space="preserve"> </w:t>
      </w:r>
      <w:r w:rsidRPr="00B504D7">
        <w:rPr>
          <w:lang w:val="lt-LT"/>
        </w:rPr>
        <w:t xml:space="preserve">nurodė aiškius motyvus, kuriais remdamasis </w:t>
      </w:r>
      <w:r w:rsidR="00FD22A1" w:rsidRPr="00B504D7">
        <w:rPr>
          <w:lang w:val="lt-LT"/>
        </w:rPr>
        <w:t xml:space="preserve">jis </w:t>
      </w:r>
      <w:r w:rsidRPr="00B504D7">
        <w:rPr>
          <w:lang w:val="lt-LT"/>
        </w:rPr>
        <w:t xml:space="preserve">paskyrė </w:t>
      </w:r>
      <w:bookmarkStart w:id="239" w:name="Buk_147"/>
      <w:r w:rsidR="004F1F30" w:rsidRPr="004F1F30">
        <w:rPr>
          <w:color w:val="auto"/>
          <w:lang w:val="lt-LT"/>
        </w:rPr>
        <w:t xml:space="preserve">V. Š. </w:t>
      </w:r>
      <w:bookmarkEnd w:id="239"/>
      <w:r w:rsidRPr="00B504D7">
        <w:rPr>
          <w:lang w:val="lt-LT"/>
        </w:rPr>
        <w:t>sankcijos vidurkį atitinkančią laisvės atėmimo bausmę</w:t>
      </w:r>
      <w:r w:rsidR="008279DF" w:rsidRPr="00B504D7">
        <w:rPr>
          <w:lang w:val="lt-LT"/>
        </w:rPr>
        <w:t xml:space="preserve">. </w:t>
      </w:r>
      <w:r w:rsidRPr="00B504D7">
        <w:rPr>
          <w:lang w:val="lt-LT"/>
        </w:rPr>
        <w:t>Byloje nenustatytos aplinkybės, kurios sudarytų galimybę, taikant šiuo metu galiojan</w:t>
      </w:r>
      <w:r w:rsidRPr="00B504D7">
        <w:rPr>
          <w:color w:val="auto"/>
          <w:lang w:val="lt-LT"/>
        </w:rPr>
        <w:t>čios</w:t>
      </w:r>
      <w:r w:rsidRPr="00B504D7">
        <w:rPr>
          <w:lang w:val="lt-LT"/>
        </w:rPr>
        <w:t xml:space="preserve"> BK 61 straipsnio 4 dalies redakciją</w:t>
      </w:r>
      <w:r w:rsidR="00706802" w:rsidRPr="00B504D7">
        <w:rPr>
          <w:lang w:val="lt-LT"/>
        </w:rPr>
        <w:t>,</w:t>
      </w:r>
      <w:r w:rsidRPr="00B504D7">
        <w:rPr>
          <w:lang w:val="lt-LT"/>
        </w:rPr>
        <w:t xml:space="preserve"> skirti minimalią sankcijoje </w:t>
      </w:r>
      <w:r w:rsidR="003A25F4" w:rsidRPr="00B504D7">
        <w:rPr>
          <w:lang w:val="lt-LT"/>
        </w:rPr>
        <w:t xml:space="preserve">nustatytą </w:t>
      </w:r>
      <w:r w:rsidRPr="00B504D7">
        <w:rPr>
          <w:lang w:val="lt-LT"/>
        </w:rPr>
        <w:t xml:space="preserve">laisvės </w:t>
      </w:r>
      <w:r w:rsidRPr="00B504D7">
        <w:rPr>
          <w:lang w:val="lt-LT"/>
        </w:rPr>
        <w:lastRenderedPageBreak/>
        <w:t xml:space="preserve">atėmimo bausmę. </w:t>
      </w:r>
      <w:r w:rsidR="00382B36" w:rsidRPr="00B504D7">
        <w:rPr>
          <w:lang w:val="lt-LT"/>
        </w:rPr>
        <w:t>Pagal suformuotą teismų praktiką</w:t>
      </w:r>
      <w:r w:rsidR="000539A6" w:rsidRPr="00B504D7">
        <w:rPr>
          <w:lang w:val="lt-LT"/>
        </w:rPr>
        <w:t xml:space="preserve">, </w:t>
      </w:r>
      <w:r w:rsidR="00382B36" w:rsidRPr="00B504D7">
        <w:rPr>
          <w:lang w:val="lt-LT"/>
        </w:rPr>
        <w:t>BK 54 straipsnio 3 dalis</w:t>
      </w:r>
      <w:r w:rsidR="000539A6" w:rsidRPr="00B504D7">
        <w:rPr>
          <w:lang w:val="lt-LT"/>
        </w:rPr>
        <w:t>,</w:t>
      </w:r>
      <w:r w:rsidR="00382B36" w:rsidRPr="00B504D7">
        <w:rPr>
          <w:lang w:val="lt-LT"/>
        </w:rPr>
        <w:t xml:space="preserve"> </w:t>
      </w:r>
      <w:r w:rsidR="000539A6" w:rsidRPr="00B504D7">
        <w:rPr>
          <w:lang w:val="lt-LT"/>
        </w:rPr>
        <w:t xml:space="preserve">kaip minėta pirmiau, </w:t>
      </w:r>
      <w:r w:rsidR="00382B36" w:rsidRPr="00B504D7">
        <w:rPr>
          <w:lang w:val="lt-LT"/>
        </w:rPr>
        <w:t>paprastai taikoma, esant visumai išimtinių aplinkybių, dėl kurių įstatyme nu</w:t>
      </w:r>
      <w:r w:rsidR="003A25F4" w:rsidRPr="00B504D7">
        <w:rPr>
          <w:lang w:val="lt-LT"/>
        </w:rPr>
        <w:t>rodyto</w:t>
      </w:r>
      <w:r w:rsidR="00382B36" w:rsidRPr="00B504D7">
        <w:rPr>
          <w:lang w:val="lt-LT"/>
        </w:rPr>
        <w:t>s bausmės paskyrimas būtų aiškiai neproporcingas, neadekvatus konkrečiam baudžiamojo įstatymo pažeidimui, kaltininko asmenybei ir kitoms bylos aplinkybėms (</w:t>
      </w:r>
      <w:r w:rsidR="000539A6" w:rsidRPr="00B504D7">
        <w:rPr>
          <w:lang w:val="lt-LT"/>
        </w:rPr>
        <w:t>kasacinės</w:t>
      </w:r>
      <w:r w:rsidR="00382B36" w:rsidRPr="00B504D7">
        <w:rPr>
          <w:lang w:val="lt-LT"/>
        </w:rPr>
        <w:t xml:space="preserve"> nutartys baudžiamosiose bylose Nr. 2K-P-89/2014, 2K 98 1073/2019, 2K-40-648/2020). </w:t>
      </w:r>
      <w:r w:rsidR="00DD69A7" w:rsidRPr="00B504D7">
        <w:rPr>
          <w:lang w:val="lt-LT"/>
        </w:rPr>
        <w:t>Nors naujasis baudžiamasis įstatymas ir išplėtė galimybes BK 62 straipsnio</w:t>
      </w:r>
      <w:r w:rsidR="000539A6" w:rsidRPr="00B504D7">
        <w:rPr>
          <w:lang w:val="lt-LT"/>
        </w:rPr>
        <w:t xml:space="preserve"> ir B</w:t>
      </w:r>
      <w:r w:rsidR="00DD69A7" w:rsidRPr="00B504D7">
        <w:rPr>
          <w:lang w:val="lt-LT"/>
        </w:rPr>
        <w:t>K 54 straipsnio 3 dalies (2024</w:t>
      </w:r>
      <w:r w:rsidR="00E35CA0">
        <w:rPr>
          <w:lang w:val="lt-LT"/>
        </w:rPr>
        <w:t> </w:t>
      </w:r>
      <w:r w:rsidR="00DD69A7" w:rsidRPr="00B504D7">
        <w:rPr>
          <w:lang w:val="lt-LT"/>
        </w:rPr>
        <w:t>m. balandžio 25 d. įstatymo redakcija) pagrindu nuteistiesiems skirti švelnesnes bausmes, kas atitinkamai švelnina baudžiamojon atsakomybėn traukiamų asmenų padėtį, tačiau šiuo atveju</w:t>
      </w:r>
      <w:r w:rsidR="003A25F4" w:rsidRPr="00B504D7">
        <w:rPr>
          <w:lang w:val="lt-LT"/>
        </w:rPr>
        <w:t>,</w:t>
      </w:r>
      <w:r w:rsidR="00DD69A7" w:rsidRPr="00B504D7">
        <w:rPr>
          <w:lang w:val="lt-LT"/>
        </w:rPr>
        <w:t xml:space="preserve"> net ir pasikeitus minėtoms įstatymo nuostatoms</w:t>
      </w:r>
      <w:r w:rsidR="00382B36" w:rsidRPr="00B504D7">
        <w:rPr>
          <w:lang w:val="lt-LT"/>
        </w:rPr>
        <w:t xml:space="preserve">, tokios aplinkybės, kurios </w:t>
      </w:r>
      <w:r w:rsidR="00DD69A7" w:rsidRPr="00B504D7">
        <w:rPr>
          <w:lang w:val="lt-LT"/>
        </w:rPr>
        <w:t>leistų nuteistajam skirti švelnesn</w:t>
      </w:r>
      <w:r w:rsidR="00B42FB5" w:rsidRPr="00B504D7">
        <w:rPr>
          <w:lang w:val="lt-LT"/>
        </w:rPr>
        <w:t>ę</w:t>
      </w:r>
      <w:r w:rsidR="00DD69A7" w:rsidRPr="00B504D7">
        <w:rPr>
          <w:lang w:val="lt-LT"/>
        </w:rPr>
        <w:t xml:space="preserve"> bausm</w:t>
      </w:r>
      <w:r w:rsidR="00B42FB5" w:rsidRPr="00B504D7">
        <w:rPr>
          <w:lang w:val="lt-LT"/>
        </w:rPr>
        <w:t>ę</w:t>
      </w:r>
      <w:r w:rsidR="003A25F4" w:rsidRPr="00B504D7">
        <w:rPr>
          <w:lang w:val="lt-LT"/>
        </w:rPr>
        <w:t>,</w:t>
      </w:r>
      <w:r w:rsidR="00382B36" w:rsidRPr="00B504D7">
        <w:rPr>
          <w:lang w:val="lt-LT"/>
        </w:rPr>
        <w:t xml:space="preserve"> byloje nenustatytos</w:t>
      </w:r>
      <w:r w:rsidR="008A7D0F" w:rsidRPr="00B504D7">
        <w:rPr>
          <w:lang w:val="lt-LT"/>
        </w:rPr>
        <w:t xml:space="preserve">. </w:t>
      </w:r>
    </w:p>
    <w:p w14:paraId="362D843F" w14:textId="77777777" w:rsidR="00A343B6" w:rsidRPr="00B504D7" w:rsidRDefault="00A343B6" w:rsidP="00560916">
      <w:pPr>
        <w:pStyle w:val="Pagrindinistekstas"/>
        <w:rPr>
          <w:lang w:val="lt-LT"/>
        </w:rPr>
      </w:pPr>
    </w:p>
    <w:p w14:paraId="0C8A3A85" w14:textId="2788A954" w:rsidR="00A30CAC" w:rsidRPr="00B504D7" w:rsidRDefault="005763B8" w:rsidP="00560916">
      <w:pPr>
        <w:ind w:firstLine="720"/>
        <w:jc w:val="both"/>
        <w:rPr>
          <w:rFonts w:cs="Times New Roman"/>
          <w:lang w:val="lt-LT"/>
        </w:rPr>
      </w:pPr>
      <w:r w:rsidRPr="00B504D7">
        <w:rPr>
          <w:rFonts w:cs="Times New Roman"/>
          <w:lang w:val="lt-LT"/>
        </w:rPr>
        <w:t>Išplėstinė septynių teisėjų kolegija, atsižvelgdama į išdėstytus argumentus ir vadovaudamasi Lietuvos Respublikos baudžiamojo proceso kodekso 382 str</w:t>
      </w:r>
      <w:r w:rsidRPr="00B504D7">
        <w:rPr>
          <w:rFonts w:cs="Times New Roman"/>
          <w:color w:val="auto"/>
          <w:lang w:val="lt-LT"/>
        </w:rPr>
        <w:t xml:space="preserve">aipsnio </w:t>
      </w:r>
      <w:r w:rsidR="00B72E3E" w:rsidRPr="00B504D7">
        <w:rPr>
          <w:rFonts w:cs="Times New Roman"/>
          <w:color w:val="auto"/>
          <w:u w:color="7030A0"/>
          <w:lang w:val="lt-LT"/>
        </w:rPr>
        <w:t xml:space="preserve">1 </w:t>
      </w:r>
      <w:r w:rsidRPr="00B504D7">
        <w:rPr>
          <w:rFonts w:cs="Times New Roman"/>
          <w:color w:val="auto"/>
          <w:lang w:val="lt-LT"/>
        </w:rPr>
        <w:t>punktu,</w:t>
      </w:r>
    </w:p>
    <w:p w14:paraId="2DF3ACFA" w14:textId="77777777" w:rsidR="00A30CAC" w:rsidRPr="00B504D7" w:rsidRDefault="00A30CAC">
      <w:pPr>
        <w:ind w:firstLine="720"/>
        <w:jc w:val="both"/>
        <w:rPr>
          <w:rFonts w:cs="Times New Roman"/>
          <w:lang w:val="lt-LT"/>
        </w:rPr>
      </w:pPr>
    </w:p>
    <w:p w14:paraId="783FB02F" w14:textId="77777777" w:rsidR="00A30CAC" w:rsidRPr="00B504D7" w:rsidRDefault="00000000">
      <w:pPr>
        <w:jc w:val="both"/>
        <w:rPr>
          <w:rFonts w:cs="Times New Roman"/>
          <w:lang w:val="lt-LT"/>
        </w:rPr>
      </w:pPr>
      <w:r w:rsidRPr="00B504D7">
        <w:rPr>
          <w:rFonts w:cs="Times New Roman"/>
          <w:lang w:val="lt-LT"/>
        </w:rPr>
        <w:t>n u t a r i a :</w:t>
      </w:r>
    </w:p>
    <w:p w14:paraId="3E56F236" w14:textId="77777777" w:rsidR="00A30CAC" w:rsidRPr="00B504D7" w:rsidRDefault="00000000">
      <w:pPr>
        <w:rPr>
          <w:rFonts w:cs="Times New Roman"/>
          <w:lang w:val="lt-LT"/>
        </w:rPr>
      </w:pPr>
      <w:r w:rsidRPr="00B504D7">
        <w:rPr>
          <w:rFonts w:cs="Times New Roman"/>
          <w:lang w:val="lt-LT"/>
        </w:rPr>
        <w:tab/>
      </w:r>
    </w:p>
    <w:p w14:paraId="2520EBD8" w14:textId="2F56D1C6" w:rsidR="00643F0C" w:rsidRPr="00B504D7" w:rsidRDefault="00000000" w:rsidP="00DC51CE">
      <w:pPr>
        <w:jc w:val="both"/>
        <w:rPr>
          <w:lang w:val="lt-LT"/>
        </w:rPr>
      </w:pPr>
      <w:r w:rsidRPr="00B504D7">
        <w:rPr>
          <w:rFonts w:cs="Times New Roman"/>
          <w:lang w:val="lt-LT"/>
        </w:rPr>
        <w:tab/>
      </w:r>
      <w:r w:rsidR="008F7DFA" w:rsidRPr="00B504D7">
        <w:rPr>
          <w:rFonts w:cs="Times New Roman"/>
          <w:lang w:val="lt-LT"/>
        </w:rPr>
        <w:t>A</w:t>
      </w:r>
      <w:r w:rsidR="00873983" w:rsidRPr="00B504D7">
        <w:rPr>
          <w:rFonts w:cs="Times New Roman"/>
          <w:lang w:val="lt-LT"/>
        </w:rPr>
        <w:t xml:space="preserve">tmesti </w:t>
      </w:r>
      <w:r w:rsidR="003D0B21" w:rsidRPr="00B504D7">
        <w:rPr>
          <w:lang w:val="lt-LT"/>
        </w:rPr>
        <w:t xml:space="preserve">Lietuvos Respublikos generalinės prokuratūros Organizuotų nusikaltimų ir korupcijos tyrimo departamento vyriausiojo prokuroro Artūro </w:t>
      </w:r>
      <w:proofErr w:type="spellStart"/>
      <w:r w:rsidR="003D0B21" w:rsidRPr="00B504D7">
        <w:rPr>
          <w:lang w:val="lt-LT"/>
        </w:rPr>
        <w:t>Urbelio</w:t>
      </w:r>
      <w:proofErr w:type="spellEnd"/>
      <w:r w:rsidR="003D0B21" w:rsidRPr="00B504D7">
        <w:rPr>
          <w:lang w:val="lt-LT"/>
        </w:rPr>
        <w:t xml:space="preserve"> ir</w:t>
      </w:r>
      <w:r w:rsidR="003D0B21" w:rsidRPr="00B504D7">
        <w:rPr>
          <w:iCs/>
          <w:lang w:val="lt-LT"/>
        </w:rPr>
        <w:t xml:space="preserve"> </w:t>
      </w:r>
      <w:r w:rsidR="003D0B21" w:rsidRPr="00B504D7">
        <w:rPr>
          <w:lang w:val="lt-LT"/>
        </w:rPr>
        <w:t xml:space="preserve">nuteistojo </w:t>
      </w:r>
      <w:bookmarkStart w:id="240" w:name="Buk_120"/>
      <w:r w:rsidR="004F1F30" w:rsidRPr="004F1F30">
        <w:rPr>
          <w:color w:val="auto"/>
          <w:lang w:val="lt-LT"/>
        </w:rPr>
        <w:t xml:space="preserve">V. Š. </w:t>
      </w:r>
      <w:bookmarkEnd w:id="240"/>
      <w:r w:rsidR="003D0B21" w:rsidRPr="00B504D7">
        <w:rPr>
          <w:lang w:val="lt-LT"/>
        </w:rPr>
        <w:t xml:space="preserve">gynėjo advokato Ruslano </w:t>
      </w:r>
      <w:proofErr w:type="spellStart"/>
      <w:r w:rsidR="003D0B21" w:rsidRPr="00B504D7">
        <w:rPr>
          <w:lang w:val="lt-LT"/>
        </w:rPr>
        <w:t>Boiko</w:t>
      </w:r>
      <w:proofErr w:type="spellEnd"/>
      <w:r w:rsidR="003D0B21" w:rsidRPr="00B504D7">
        <w:rPr>
          <w:lang w:val="lt-LT"/>
        </w:rPr>
        <w:t xml:space="preserve"> kasacinius skundus.</w:t>
      </w:r>
    </w:p>
    <w:p w14:paraId="4B517ADE" w14:textId="77777777" w:rsidR="003D0B21" w:rsidRPr="00B504D7" w:rsidRDefault="003D0B21" w:rsidP="00DC51CE">
      <w:pPr>
        <w:jc w:val="both"/>
        <w:rPr>
          <w:rFonts w:cs="Times New Roman"/>
          <w:lang w:val="lt-LT"/>
        </w:rPr>
      </w:pPr>
    </w:p>
    <w:p w14:paraId="3BD74E28" w14:textId="77777777" w:rsidR="00323B84" w:rsidRPr="00B504D7" w:rsidRDefault="00323B84" w:rsidP="00DC51CE">
      <w:pPr>
        <w:jc w:val="both"/>
        <w:rPr>
          <w:rFonts w:cs="Times New Roman"/>
          <w:lang w:val="lt-LT"/>
        </w:rPr>
      </w:pPr>
    </w:p>
    <w:p w14:paraId="63DEA09A" w14:textId="77777777" w:rsidR="005763B8" w:rsidRPr="00B504D7" w:rsidRDefault="005763B8" w:rsidP="005763B8">
      <w:pPr>
        <w:rPr>
          <w:rFonts w:cs="Times New Roman"/>
          <w:lang w:val="lt-LT"/>
        </w:rPr>
      </w:pPr>
      <w:r w:rsidRPr="00B504D7">
        <w:rPr>
          <w:rFonts w:cs="Times New Roman"/>
          <w:lang w:val="lt-LT"/>
        </w:rPr>
        <w:t>Teisėjai</w:t>
      </w: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t xml:space="preserve">Daiva </w:t>
      </w:r>
      <w:proofErr w:type="spellStart"/>
      <w:r w:rsidRPr="00B504D7">
        <w:rPr>
          <w:rFonts w:cs="Times New Roman"/>
          <w:lang w:val="lt-LT"/>
        </w:rPr>
        <w:t>Pranytė-Zalieckienė</w:t>
      </w:r>
      <w:proofErr w:type="spellEnd"/>
    </w:p>
    <w:p w14:paraId="6EC4205D" w14:textId="77777777" w:rsidR="005763B8" w:rsidRPr="00B504D7" w:rsidRDefault="005763B8" w:rsidP="005763B8">
      <w:pPr>
        <w:rPr>
          <w:rFonts w:cs="Times New Roman"/>
          <w:lang w:val="lt-LT"/>
        </w:rPr>
      </w:pPr>
    </w:p>
    <w:p w14:paraId="751A899E" w14:textId="77777777" w:rsidR="005763B8" w:rsidRPr="00B504D7" w:rsidRDefault="005763B8" w:rsidP="005763B8">
      <w:pPr>
        <w:rPr>
          <w:rFonts w:cs="Times New Roman"/>
          <w:lang w:val="lt-LT"/>
        </w:rPr>
      </w:pPr>
    </w:p>
    <w:p w14:paraId="161E59BA" w14:textId="77777777" w:rsidR="005763B8" w:rsidRPr="00B504D7" w:rsidRDefault="005763B8" w:rsidP="005763B8">
      <w:pPr>
        <w:rPr>
          <w:rFonts w:cs="Times New Roman"/>
          <w:lang w:val="lt-LT"/>
        </w:rPr>
      </w:pP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t>Rima Ažubalytė</w:t>
      </w:r>
    </w:p>
    <w:p w14:paraId="2564FAA1" w14:textId="77777777" w:rsidR="005763B8" w:rsidRPr="00B504D7" w:rsidRDefault="005763B8" w:rsidP="005763B8">
      <w:pPr>
        <w:rPr>
          <w:rFonts w:cs="Times New Roman"/>
          <w:lang w:val="lt-LT"/>
        </w:rPr>
      </w:pPr>
    </w:p>
    <w:p w14:paraId="2DEFC5F6" w14:textId="77777777" w:rsidR="005763B8" w:rsidRPr="00B504D7" w:rsidRDefault="005763B8" w:rsidP="005763B8">
      <w:pPr>
        <w:rPr>
          <w:rFonts w:cs="Times New Roman"/>
          <w:lang w:val="lt-LT"/>
        </w:rPr>
      </w:pPr>
    </w:p>
    <w:p w14:paraId="628A2F2E" w14:textId="77777777" w:rsidR="005763B8" w:rsidRPr="00B504D7" w:rsidRDefault="005763B8" w:rsidP="005763B8">
      <w:pPr>
        <w:rPr>
          <w:rFonts w:cs="Times New Roman"/>
          <w:lang w:val="lt-LT"/>
        </w:rPr>
      </w:pP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t xml:space="preserve">Olegas </w:t>
      </w:r>
      <w:proofErr w:type="spellStart"/>
      <w:r w:rsidRPr="00B504D7">
        <w:rPr>
          <w:rFonts w:cs="Times New Roman"/>
          <w:lang w:val="lt-LT"/>
        </w:rPr>
        <w:t>Fedosiukas</w:t>
      </w:r>
      <w:proofErr w:type="spellEnd"/>
    </w:p>
    <w:p w14:paraId="6A40D61E" w14:textId="77777777" w:rsidR="005763B8" w:rsidRPr="00B504D7" w:rsidRDefault="005763B8" w:rsidP="005763B8">
      <w:pPr>
        <w:rPr>
          <w:rFonts w:cs="Times New Roman"/>
          <w:lang w:val="lt-LT"/>
        </w:rPr>
      </w:pPr>
    </w:p>
    <w:p w14:paraId="364988E1" w14:textId="77777777" w:rsidR="005763B8" w:rsidRPr="00B504D7" w:rsidRDefault="005763B8" w:rsidP="005763B8">
      <w:pPr>
        <w:rPr>
          <w:rFonts w:cs="Times New Roman"/>
          <w:lang w:val="lt-LT"/>
        </w:rPr>
      </w:pPr>
      <w:r w:rsidRPr="00B504D7">
        <w:rPr>
          <w:rFonts w:cs="Times New Roman"/>
          <w:lang w:val="lt-LT"/>
        </w:rPr>
        <w:t xml:space="preserve">                                                                                                        </w:t>
      </w:r>
    </w:p>
    <w:p w14:paraId="7D6868E8" w14:textId="654BEA97" w:rsidR="005763B8" w:rsidRPr="00B504D7" w:rsidRDefault="005763B8" w:rsidP="007D2C18">
      <w:pPr>
        <w:ind w:left="5760" w:firstLine="720"/>
        <w:rPr>
          <w:rFonts w:cs="Times New Roman"/>
          <w:lang w:val="lt-LT"/>
        </w:rPr>
      </w:pPr>
      <w:r w:rsidRPr="00B504D7">
        <w:rPr>
          <w:rFonts w:cs="Times New Roman"/>
          <w:lang w:val="lt-LT"/>
        </w:rPr>
        <w:t xml:space="preserve">Artūras </w:t>
      </w:r>
      <w:proofErr w:type="spellStart"/>
      <w:r w:rsidRPr="00B504D7">
        <w:rPr>
          <w:rFonts w:cs="Times New Roman"/>
          <w:lang w:val="lt-LT"/>
        </w:rPr>
        <w:t>Pažarskis</w:t>
      </w:r>
      <w:proofErr w:type="spellEnd"/>
    </w:p>
    <w:p w14:paraId="74D295F8" w14:textId="17309743" w:rsidR="007C7C82" w:rsidRPr="00B504D7" w:rsidRDefault="007C7C82" w:rsidP="005763B8">
      <w:pPr>
        <w:rPr>
          <w:rFonts w:cs="Times New Roman"/>
          <w:lang w:val="lt-LT"/>
        </w:rPr>
      </w:pPr>
      <w:r w:rsidRPr="00B504D7">
        <w:rPr>
          <w:rFonts w:cs="Times New Roman"/>
          <w:lang w:val="lt-LT"/>
        </w:rPr>
        <w:t xml:space="preserve">                                                                                       </w:t>
      </w:r>
    </w:p>
    <w:p w14:paraId="139693A4" w14:textId="0AA1A21E" w:rsidR="007C7C82" w:rsidRPr="00B504D7" w:rsidRDefault="007C7C82" w:rsidP="005763B8">
      <w:pPr>
        <w:rPr>
          <w:rFonts w:cs="Times New Roman"/>
          <w:lang w:val="lt-LT"/>
        </w:rPr>
      </w:pPr>
      <w:r w:rsidRPr="00B504D7">
        <w:rPr>
          <w:rFonts w:cs="Times New Roman"/>
          <w:lang w:val="lt-LT"/>
        </w:rPr>
        <w:t xml:space="preserve">                                                                                                             </w:t>
      </w:r>
    </w:p>
    <w:p w14:paraId="0A3725D1" w14:textId="2C73914D" w:rsidR="007C7C82" w:rsidRPr="00B504D7" w:rsidRDefault="007C7C82" w:rsidP="007D2C18">
      <w:pPr>
        <w:ind w:left="5760" w:firstLine="720"/>
        <w:rPr>
          <w:rFonts w:cs="Times New Roman"/>
          <w:lang w:val="lt-LT"/>
        </w:rPr>
      </w:pPr>
      <w:r w:rsidRPr="00B504D7">
        <w:rPr>
          <w:rFonts w:cs="Times New Roman"/>
          <w:lang w:val="lt-LT"/>
        </w:rPr>
        <w:t xml:space="preserve">Alenas </w:t>
      </w:r>
      <w:proofErr w:type="spellStart"/>
      <w:r w:rsidRPr="00B504D7">
        <w:rPr>
          <w:rFonts w:cs="Times New Roman"/>
          <w:lang w:val="lt-LT"/>
        </w:rPr>
        <w:t>Piesliakas</w:t>
      </w:r>
      <w:proofErr w:type="spellEnd"/>
    </w:p>
    <w:p w14:paraId="298D97B9" w14:textId="77777777" w:rsidR="005763B8" w:rsidRPr="00B504D7" w:rsidRDefault="005763B8" w:rsidP="005763B8">
      <w:pPr>
        <w:rPr>
          <w:rFonts w:cs="Times New Roman"/>
          <w:lang w:val="lt-LT"/>
        </w:rPr>
      </w:pPr>
    </w:p>
    <w:p w14:paraId="38026F65" w14:textId="77777777" w:rsidR="005763B8" w:rsidRPr="00B504D7" w:rsidRDefault="005763B8" w:rsidP="005763B8">
      <w:pPr>
        <w:rPr>
          <w:rFonts w:cs="Times New Roman"/>
          <w:lang w:val="lt-LT"/>
        </w:rPr>
      </w:pP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r>
    </w:p>
    <w:p w14:paraId="507851B4" w14:textId="77777777" w:rsidR="005763B8" w:rsidRPr="00B504D7" w:rsidRDefault="005763B8" w:rsidP="005763B8">
      <w:pPr>
        <w:rPr>
          <w:rFonts w:cs="Times New Roman"/>
          <w:lang w:val="lt-LT"/>
        </w:rPr>
      </w:pP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t xml:space="preserve">Tomas </w:t>
      </w:r>
      <w:proofErr w:type="spellStart"/>
      <w:r w:rsidRPr="00B504D7">
        <w:rPr>
          <w:rFonts w:cs="Times New Roman"/>
          <w:lang w:val="lt-LT"/>
        </w:rPr>
        <w:t>Šeškauskas</w:t>
      </w:r>
      <w:proofErr w:type="spellEnd"/>
    </w:p>
    <w:p w14:paraId="32E34254" w14:textId="77777777" w:rsidR="005763B8" w:rsidRPr="00B504D7" w:rsidRDefault="005763B8" w:rsidP="005763B8">
      <w:pPr>
        <w:rPr>
          <w:rFonts w:cs="Times New Roman"/>
          <w:lang w:val="lt-LT"/>
        </w:rPr>
      </w:pPr>
    </w:p>
    <w:p w14:paraId="5374657C" w14:textId="77777777" w:rsidR="005763B8" w:rsidRPr="00B504D7" w:rsidRDefault="005763B8" w:rsidP="005763B8">
      <w:pPr>
        <w:rPr>
          <w:rFonts w:cs="Times New Roman"/>
          <w:lang w:val="lt-LT"/>
        </w:rPr>
      </w:pPr>
    </w:p>
    <w:p w14:paraId="11EF344A" w14:textId="14E1223F" w:rsidR="00A30CAC" w:rsidRPr="00B504D7" w:rsidRDefault="005763B8" w:rsidP="005763B8">
      <w:pPr>
        <w:rPr>
          <w:rFonts w:cs="Times New Roman"/>
          <w:lang w:val="lt-LT"/>
        </w:rPr>
      </w:pP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r>
      <w:r w:rsidRPr="00B504D7">
        <w:rPr>
          <w:rFonts w:cs="Times New Roman"/>
          <w:lang w:val="lt-LT"/>
        </w:rPr>
        <w:tab/>
        <w:t>Albinas Antanaitis</w:t>
      </w:r>
    </w:p>
    <w:sectPr w:rsidR="00A30CAC" w:rsidRPr="00B504D7">
      <w:headerReference w:type="default" r:id="rId86"/>
      <w:pgSz w:w="11900" w:h="16840"/>
      <w:pgMar w:top="1134" w:right="567" w:bottom="1134" w:left="1701" w:header="454" w:footer="0"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4851A" w14:textId="77777777" w:rsidR="00825FE2" w:rsidRDefault="00825FE2">
      <w:r>
        <w:separator/>
      </w:r>
    </w:p>
  </w:endnote>
  <w:endnote w:type="continuationSeparator" w:id="0">
    <w:p w14:paraId="06E52988" w14:textId="77777777" w:rsidR="00825FE2" w:rsidRDefault="00825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roman"/>
    <w:pitch w:val="default"/>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New Roman (Body CS)">
    <w:altName w:val="Times New Roman"/>
    <w:charset w:val="00"/>
    <w:family w:val="roman"/>
    <w:pitch w:val="variable"/>
    <w:sig w:usb0="E0002AE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5A2AD" w14:textId="77777777" w:rsidR="00825FE2" w:rsidRDefault="00825FE2">
      <w:r>
        <w:separator/>
      </w:r>
    </w:p>
  </w:footnote>
  <w:footnote w:type="continuationSeparator" w:id="0">
    <w:p w14:paraId="6A9A77F2" w14:textId="77777777" w:rsidR="00825FE2" w:rsidRDefault="00825F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BB2C6" w14:textId="77777777" w:rsidR="00A30CAC" w:rsidRDefault="00000000">
    <w:pPr>
      <w:pStyle w:val="Antrats"/>
      <w:jc w:val="center"/>
    </w:pPr>
    <w:r>
      <w:fldChar w:fldCharType="begin"/>
    </w:r>
    <w:r>
      <w:instrText xml:space="preserve"> PAGE </w:instrText>
    </w:r>
    <w:r>
      <w:fldChar w:fldCharType="separate"/>
    </w:r>
    <w:r w:rsidR="00EA5B27">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C483E"/>
    <w:multiLevelType w:val="multilevel"/>
    <w:tmpl w:val="A934DE12"/>
    <w:numStyleLink w:val="ImportedStyle1"/>
  </w:abstractNum>
  <w:abstractNum w:abstractNumId="1" w15:restartNumberingAfterBreak="0">
    <w:nsid w:val="0B043CA4"/>
    <w:multiLevelType w:val="multilevel"/>
    <w:tmpl w:val="BF34A922"/>
    <w:lvl w:ilvl="0">
      <w:start w:val="1"/>
      <w:numFmt w:val="decimal"/>
      <w:lvlText w:val="%1."/>
      <w:lvlJc w:val="left"/>
      <w:pPr>
        <w:ind w:left="360" w:hanging="360"/>
      </w:pPr>
      <w:rPr>
        <w:b w:val="0"/>
        <w:bCs w:val="0"/>
      </w:rPr>
    </w:lvl>
    <w:lvl w:ilvl="1">
      <w:start w:val="1"/>
      <w:numFmt w:val="decimal"/>
      <w:isLgl/>
      <w:lvlText w:val="%1.%2."/>
      <w:lvlJc w:val="left"/>
      <w:pPr>
        <w:ind w:left="785" w:hanging="360"/>
      </w:pPr>
    </w:lvl>
    <w:lvl w:ilvl="2">
      <w:start w:val="1"/>
      <w:numFmt w:val="decimal"/>
      <w:isLgl/>
      <w:lvlText w:val="%1.%2.%3."/>
      <w:lvlJc w:val="left"/>
      <w:pPr>
        <w:ind w:left="2520" w:hanging="720"/>
      </w:pPr>
    </w:lvl>
    <w:lvl w:ilvl="3">
      <w:start w:val="1"/>
      <w:numFmt w:val="decimal"/>
      <w:isLgl/>
      <w:lvlText w:val="%1.%2.%3.%4."/>
      <w:lvlJc w:val="left"/>
      <w:pPr>
        <w:ind w:left="2880" w:hanging="720"/>
      </w:pPr>
    </w:lvl>
    <w:lvl w:ilvl="4">
      <w:start w:val="1"/>
      <w:numFmt w:val="decimal"/>
      <w:isLgl/>
      <w:lvlText w:val="%1.%2.%3.%4.%5."/>
      <w:lvlJc w:val="left"/>
      <w:pPr>
        <w:ind w:left="3600" w:hanging="1080"/>
      </w:pPr>
    </w:lvl>
    <w:lvl w:ilvl="5">
      <w:start w:val="1"/>
      <w:numFmt w:val="decimal"/>
      <w:isLgl/>
      <w:lvlText w:val="%1.%2.%3.%4.%5.%6."/>
      <w:lvlJc w:val="left"/>
      <w:pPr>
        <w:ind w:left="3960" w:hanging="1080"/>
      </w:pPr>
    </w:lvl>
    <w:lvl w:ilvl="6">
      <w:start w:val="1"/>
      <w:numFmt w:val="decimal"/>
      <w:isLgl/>
      <w:lvlText w:val="%1.%2.%3.%4.%5.%6.%7."/>
      <w:lvlJc w:val="left"/>
      <w:pPr>
        <w:ind w:left="4680" w:hanging="1440"/>
      </w:pPr>
    </w:lvl>
    <w:lvl w:ilvl="7">
      <w:start w:val="1"/>
      <w:numFmt w:val="decimal"/>
      <w:isLgl/>
      <w:lvlText w:val="%1.%2.%3.%4.%5.%6.%7.%8."/>
      <w:lvlJc w:val="left"/>
      <w:pPr>
        <w:ind w:left="5040" w:hanging="1440"/>
      </w:pPr>
    </w:lvl>
    <w:lvl w:ilvl="8">
      <w:start w:val="1"/>
      <w:numFmt w:val="decimal"/>
      <w:isLgl/>
      <w:lvlText w:val="%1.%2.%3.%4.%5.%6.%7.%8.%9."/>
      <w:lvlJc w:val="left"/>
      <w:pPr>
        <w:ind w:left="5760" w:hanging="1800"/>
      </w:pPr>
    </w:lvl>
  </w:abstractNum>
  <w:abstractNum w:abstractNumId="2" w15:restartNumberingAfterBreak="0">
    <w:nsid w:val="0ED666BD"/>
    <w:multiLevelType w:val="multilevel"/>
    <w:tmpl w:val="3DA08E10"/>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nothing"/>
      <w:lvlText w:val="%1.%2."/>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717" w:hanging="71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1077" w:hanging="107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1437" w:hanging="143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1797" w:hanging="179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 w15:restartNumberingAfterBreak="0">
    <w:nsid w:val="17541CF0"/>
    <w:multiLevelType w:val="multilevel"/>
    <w:tmpl w:val="C9AA20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7F005E4"/>
    <w:multiLevelType w:val="hybridMultilevel"/>
    <w:tmpl w:val="4BD8069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8052145"/>
    <w:multiLevelType w:val="hybridMultilevel"/>
    <w:tmpl w:val="26E2075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18372B49"/>
    <w:multiLevelType w:val="multilevel"/>
    <w:tmpl w:val="97D2F87E"/>
    <w:lvl w:ilvl="0">
      <w:start w:val="4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C8D0908"/>
    <w:multiLevelType w:val="multilevel"/>
    <w:tmpl w:val="6A1291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2C11149"/>
    <w:multiLevelType w:val="multilevel"/>
    <w:tmpl w:val="A934DE12"/>
    <w:styleLink w:val="ImportedStyle1"/>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nothing"/>
      <w:lvlText w:val="%1.%2."/>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717" w:hanging="71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1077" w:hanging="107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1437" w:hanging="143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1797" w:hanging="179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9" w15:restartNumberingAfterBreak="0">
    <w:nsid w:val="2B7C7DA6"/>
    <w:multiLevelType w:val="multilevel"/>
    <w:tmpl w:val="579A4BA2"/>
    <w:lvl w:ilvl="0">
      <w:start w:val="3"/>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C213971"/>
    <w:multiLevelType w:val="hybridMultilevel"/>
    <w:tmpl w:val="9686378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33C95768"/>
    <w:multiLevelType w:val="hybridMultilevel"/>
    <w:tmpl w:val="15B882A6"/>
    <w:lvl w:ilvl="0" w:tplc="20D036BC">
      <w:start w:val="1"/>
      <w:numFmt w:val="decimal"/>
      <w:lvlText w:val="%1."/>
      <w:lvlJc w:val="left"/>
      <w:pPr>
        <w:ind w:left="717" w:hanging="360"/>
      </w:pPr>
      <w:rPr>
        <w:rFonts w:hint="default"/>
      </w:rPr>
    </w:lvl>
    <w:lvl w:ilvl="1" w:tplc="04270019" w:tentative="1">
      <w:start w:val="1"/>
      <w:numFmt w:val="lowerLetter"/>
      <w:lvlText w:val="%2."/>
      <w:lvlJc w:val="left"/>
      <w:pPr>
        <w:ind w:left="1437" w:hanging="360"/>
      </w:pPr>
    </w:lvl>
    <w:lvl w:ilvl="2" w:tplc="0427001B" w:tentative="1">
      <w:start w:val="1"/>
      <w:numFmt w:val="lowerRoman"/>
      <w:lvlText w:val="%3."/>
      <w:lvlJc w:val="right"/>
      <w:pPr>
        <w:ind w:left="2157" w:hanging="180"/>
      </w:pPr>
    </w:lvl>
    <w:lvl w:ilvl="3" w:tplc="0427000F" w:tentative="1">
      <w:start w:val="1"/>
      <w:numFmt w:val="decimal"/>
      <w:lvlText w:val="%4."/>
      <w:lvlJc w:val="left"/>
      <w:pPr>
        <w:ind w:left="2877" w:hanging="360"/>
      </w:pPr>
    </w:lvl>
    <w:lvl w:ilvl="4" w:tplc="04270019" w:tentative="1">
      <w:start w:val="1"/>
      <w:numFmt w:val="lowerLetter"/>
      <w:lvlText w:val="%5."/>
      <w:lvlJc w:val="left"/>
      <w:pPr>
        <w:ind w:left="3597" w:hanging="360"/>
      </w:pPr>
    </w:lvl>
    <w:lvl w:ilvl="5" w:tplc="0427001B" w:tentative="1">
      <w:start w:val="1"/>
      <w:numFmt w:val="lowerRoman"/>
      <w:lvlText w:val="%6."/>
      <w:lvlJc w:val="right"/>
      <w:pPr>
        <w:ind w:left="4317" w:hanging="180"/>
      </w:pPr>
    </w:lvl>
    <w:lvl w:ilvl="6" w:tplc="0427000F" w:tentative="1">
      <w:start w:val="1"/>
      <w:numFmt w:val="decimal"/>
      <w:lvlText w:val="%7."/>
      <w:lvlJc w:val="left"/>
      <w:pPr>
        <w:ind w:left="5037" w:hanging="360"/>
      </w:pPr>
    </w:lvl>
    <w:lvl w:ilvl="7" w:tplc="04270019" w:tentative="1">
      <w:start w:val="1"/>
      <w:numFmt w:val="lowerLetter"/>
      <w:lvlText w:val="%8."/>
      <w:lvlJc w:val="left"/>
      <w:pPr>
        <w:ind w:left="5757" w:hanging="360"/>
      </w:pPr>
    </w:lvl>
    <w:lvl w:ilvl="8" w:tplc="0427001B" w:tentative="1">
      <w:start w:val="1"/>
      <w:numFmt w:val="lowerRoman"/>
      <w:lvlText w:val="%9."/>
      <w:lvlJc w:val="right"/>
      <w:pPr>
        <w:ind w:left="6477" w:hanging="180"/>
      </w:pPr>
    </w:lvl>
  </w:abstractNum>
  <w:abstractNum w:abstractNumId="12" w15:restartNumberingAfterBreak="0">
    <w:nsid w:val="34B0778E"/>
    <w:multiLevelType w:val="multilevel"/>
    <w:tmpl w:val="159EA386"/>
    <w:lvl w:ilvl="0">
      <w:start w:val="1"/>
      <w:numFmt w:val="decimal"/>
      <w:lvlText w:val="%1."/>
      <w:lvlJc w:val="left"/>
      <w:pPr>
        <w:ind w:left="720" w:hanging="360"/>
      </w:pPr>
      <w:rPr>
        <w:rFonts w:ascii="Times New Roman" w:hAnsi="Times New Roman" w:cs="Times New Roman" w:hint="default"/>
        <w:i w:val="0"/>
        <w:color w:val="auto"/>
      </w:rPr>
    </w:lvl>
    <w:lvl w:ilvl="1">
      <w:start w:val="1"/>
      <w:numFmt w:val="decimal"/>
      <w:isLgl/>
      <w:lvlText w:val="%1.%2."/>
      <w:lvlJc w:val="left"/>
      <w:pPr>
        <w:ind w:left="1211"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71024F6"/>
    <w:multiLevelType w:val="multilevel"/>
    <w:tmpl w:val="3DA08E10"/>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nothing"/>
      <w:lvlText w:val="%1.%2."/>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717" w:hanging="71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1077" w:hanging="107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1437" w:hanging="143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1797" w:hanging="179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4" w15:restartNumberingAfterBreak="0">
    <w:nsid w:val="3BD17250"/>
    <w:multiLevelType w:val="multilevel"/>
    <w:tmpl w:val="A934DE12"/>
    <w:numStyleLink w:val="ImportedStyle1"/>
  </w:abstractNum>
  <w:abstractNum w:abstractNumId="15" w15:restartNumberingAfterBreak="0">
    <w:nsid w:val="3BDC1C49"/>
    <w:multiLevelType w:val="multilevel"/>
    <w:tmpl w:val="A9220076"/>
    <w:lvl w:ilvl="0">
      <w:start w:val="202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8"/>
        <w:szCs w:val="18"/>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D995410"/>
    <w:multiLevelType w:val="multilevel"/>
    <w:tmpl w:val="6ED41A9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E102A16"/>
    <w:multiLevelType w:val="hybridMultilevel"/>
    <w:tmpl w:val="8F1A56B2"/>
    <w:styleLink w:val="ImportedStyle2"/>
    <w:lvl w:ilvl="0" w:tplc="4E22DFF0">
      <w:start w:val="1"/>
      <w:numFmt w:val="decimal"/>
      <w:lvlText w:val="%1."/>
      <w:lvlJc w:val="left"/>
      <w:pPr>
        <w:tabs>
          <w:tab w:val="left" w:pos="414"/>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B9FA44AA">
      <w:start w:val="1"/>
      <w:numFmt w:val="decimal"/>
      <w:lvlText w:val="%2."/>
      <w:lvlJc w:val="left"/>
      <w:pPr>
        <w:tabs>
          <w:tab w:val="left" w:pos="414"/>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9006A6EE">
      <w:start w:val="1"/>
      <w:numFmt w:val="decimal"/>
      <w:lvlText w:val="%3."/>
      <w:lvlJc w:val="left"/>
      <w:pPr>
        <w:tabs>
          <w:tab w:val="left" w:pos="414"/>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71123488">
      <w:start w:val="1"/>
      <w:numFmt w:val="decimal"/>
      <w:lvlText w:val="%4."/>
      <w:lvlJc w:val="left"/>
      <w:pPr>
        <w:tabs>
          <w:tab w:val="left" w:pos="414"/>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D5A269D0">
      <w:start w:val="1"/>
      <w:numFmt w:val="decimal"/>
      <w:lvlText w:val="%5."/>
      <w:lvlJc w:val="left"/>
      <w:pPr>
        <w:tabs>
          <w:tab w:val="left" w:pos="414"/>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ADC27ED2">
      <w:start w:val="1"/>
      <w:numFmt w:val="decimal"/>
      <w:lvlText w:val="%6."/>
      <w:lvlJc w:val="left"/>
      <w:pPr>
        <w:tabs>
          <w:tab w:val="left" w:pos="414"/>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DE9CCA40">
      <w:start w:val="1"/>
      <w:numFmt w:val="decimal"/>
      <w:lvlText w:val="%7."/>
      <w:lvlJc w:val="left"/>
      <w:pPr>
        <w:tabs>
          <w:tab w:val="left" w:pos="414"/>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92EAC04E">
      <w:start w:val="1"/>
      <w:numFmt w:val="decimal"/>
      <w:lvlText w:val="%8."/>
      <w:lvlJc w:val="left"/>
      <w:pPr>
        <w:tabs>
          <w:tab w:val="left" w:pos="414"/>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F53A5196">
      <w:start w:val="1"/>
      <w:numFmt w:val="decimal"/>
      <w:lvlText w:val="%9."/>
      <w:lvlJc w:val="left"/>
      <w:pPr>
        <w:tabs>
          <w:tab w:val="left" w:pos="414"/>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8" w15:restartNumberingAfterBreak="0">
    <w:nsid w:val="3E214346"/>
    <w:multiLevelType w:val="hybridMultilevel"/>
    <w:tmpl w:val="C4F20982"/>
    <w:lvl w:ilvl="0" w:tplc="F9B2BA50">
      <w:start w:val="1"/>
      <w:numFmt w:val="decimal"/>
      <w:lvlText w:val="%1."/>
      <w:lvlJc w:val="left"/>
      <w:pPr>
        <w:ind w:left="360" w:hanging="360"/>
      </w:pPr>
      <w:rPr>
        <w:b w:val="0"/>
        <w:i w:val="0"/>
        <w:color w:val="auto"/>
      </w:rPr>
    </w:lvl>
    <w:lvl w:ilvl="1" w:tplc="04270019">
      <w:start w:val="1"/>
      <w:numFmt w:val="lowerLetter"/>
      <w:lvlText w:val="%2."/>
      <w:lvlJc w:val="left"/>
      <w:pPr>
        <w:ind w:left="360" w:hanging="360"/>
      </w:pPr>
    </w:lvl>
    <w:lvl w:ilvl="2" w:tplc="DCEAC034">
      <w:start w:val="1"/>
      <w:numFmt w:val="upperRoman"/>
      <w:lvlText w:val="%3."/>
      <w:lvlJc w:val="left"/>
      <w:pPr>
        <w:ind w:left="2340" w:hanging="720"/>
      </w:pPr>
      <w:rPr>
        <w:rFonts w:hint="default"/>
      </w:r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9" w15:restartNumberingAfterBreak="0">
    <w:nsid w:val="43CF2E6A"/>
    <w:multiLevelType w:val="multilevel"/>
    <w:tmpl w:val="3DA08E10"/>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nothing"/>
      <w:lvlText w:val="%1.%2."/>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717" w:hanging="71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1077" w:hanging="107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1437" w:hanging="143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1797" w:hanging="179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0" w15:restartNumberingAfterBreak="0">
    <w:nsid w:val="478877FB"/>
    <w:multiLevelType w:val="hybridMultilevel"/>
    <w:tmpl w:val="121E6D44"/>
    <w:lvl w:ilvl="0" w:tplc="EDC6899C">
      <w:start w:val="1"/>
      <w:numFmt w:val="decimal"/>
      <w:lvlText w:val="%1."/>
      <w:lvlJc w:val="left"/>
      <w:pPr>
        <w:ind w:left="720" w:hanging="360"/>
      </w:pPr>
      <w:rPr>
        <w:rFonts w:hint="default"/>
        <w:b w:val="0"/>
        <w:i w:val="0"/>
        <w:u w:val="none"/>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4DD47F3C"/>
    <w:multiLevelType w:val="multilevel"/>
    <w:tmpl w:val="3DA08E10"/>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nothing"/>
      <w:lvlText w:val="%1.%2."/>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717" w:hanging="71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1077" w:hanging="107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1437" w:hanging="143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1797" w:hanging="179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2" w15:restartNumberingAfterBreak="0">
    <w:nsid w:val="515F7560"/>
    <w:multiLevelType w:val="multilevel"/>
    <w:tmpl w:val="A934DE12"/>
    <w:numStyleLink w:val="ImportedStyle1"/>
  </w:abstractNum>
  <w:abstractNum w:abstractNumId="23" w15:restartNumberingAfterBreak="0">
    <w:nsid w:val="517374C3"/>
    <w:multiLevelType w:val="multilevel"/>
    <w:tmpl w:val="3DA08E10"/>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nothing"/>
      <w:lvlText w:val="%1.%2."/>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717" w:hanging="71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1077" w:hanging="107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1437" w:hanging="143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1797" w:hanging="179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4" w15:restartNumberingAfterBreak="0">
    <w:nsid w:val="5432454E"/>
    <w:multiLevelType w:val="multilevel"/>
    <w:tmpl w:val="3DA08E10"/>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nothing"/>
      <w:lvlText w:val="%1.%2."/>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717" w:hanging="71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1077" w:hanging="107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1437" w:hanging="143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1797" w:hanging="179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5" w15:restartNumberingAfterBreak="0">
    <w:nsid w:val="5606672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73E2827"/>
    <w:multiLevelType w:val="multilevel"/>
    <w:tmpl w:val="2CC632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745385E"/>
    <w:multiLevelType w:val="hybridMultilevel"/>
    <w:tmpl w:val="3D425A5C"/>
    <w:lvl w:ilvl="0" w:tplc="04270001">
      <w:start w:val="1"/>
      <w:numFmt w:val="bullet"/>
      <w:lvlText w:val=""/>
      <w:lvlJc w:val="left"/>
      <w:pPr>
        <w:ind w:left="1077" w:hanging="360"/>
      </w:pPr>
      <w:rPr>
        <w:rFonts w:ascii="Symbol" w:hAnsi="Symbol" w:hint="default"/>
      </w:rPr>
    </w:lvl>
    <w:lvl w:ilvl="1" w:tplc="04270003" w:tentative="1">
      <w:start w:val="1"/>
      <w:numFmt w:val="bullet"/>
      <w:lvlText w:val="o"/>
      <w:lvlJc w:val="left"/>
      <w:pPr>
        <w:ind w:left="1797" w:hanging="360"/>
      </w:pPr>
      <w:rPr>
        <w:rFonts w:ascii="Courier New" w:hAnsi="Courier New" w:cs="Courier New" w:hint="default"/>
      </w:rPr>
    </w:lvl>
    <w:lvl w:ilvl="2" w:tplc="04270005" w:tentative="1">
      <w:start w:val="1"/>
      <w:numFmt w:val="bullet"/>
      <w:lvlText w:val=""/>
      <w:lvlJc w:val="left"/>
      <w:pPr>
        <w:ind w:left="2517" w:hanging="360"/>
      </w:pPr>
      <w:rPr>
        <w:rFonts w:ascii="Wingdings" w:hAnsi="Wingdings" w:hint="default"/>
      </w:rPr>
    </w:lvl>
    <w:lvl w:ilvl="3" w:tplc="04270001" w:tentative="1">
      <w:start w:val="1"/>
      <w:numFmt w:val="bullet"/>
      <w:lvlText w:val=""/>
      <w:lvlJc w:val="left"/>
      <w:pPr>
        <w:ind w:left="3237" w:hanging="360"/>
      </w:pPr>
      <w:rPr>
        <w:rFonts w:ascii="Symbol" w:hAnsi="Symbol" w:hint="default"/>
      </w:rPr>
    </w:lvl>
    <w:lvl w:ilvl="4" w:tplc="04270003" w:tentative="1">
      <w:start w:val="1"/>
      <w:numFmt w:val="bullet"/>
      <w:lvlText w:val="o"/>
      <w:lvlJc w:val="left"/>
      <w:pPr>
        <w:ind w:left="3957" w:hanging="360"/>
      </w:pPr>
      <w:rPr>
        <w:rFonts w:ascii="Courier New" w:hAnsi="Courier New" w:cs="Courier New" w:hint="default"/>
      </w:rPr>
    </w:lvl>
    <w:lvl w:ilvl="5" w:tplc="04270005" w:tentative="1">
      <w:start w:val="1"/>
      <w:numFmt w:val="bullet"/>
      <w:lvlText w:val=""/>
      <w:lvlJc w:val="left"/>
      <w:pPr>
        <w:ind w:left="4677" w:hanging="360"/>
      </w:pPr>
      <w:rPr>
        <w:rFonts w:ascii="Wingdings" w:hAnsi="Wingdings" w:hint="default"/>
      </w:rPr>
    </w:lvl>
    <w:lvl w:ilvl="6" w:tplc="04270001" w:tentative="1">
      <w:start w:val="1"/>
      <w:numFmt w:val="bullet"/>
      <w:lvlText w:val=""/>
      <w:lvlJc w:val="left"/>
      <w:pPr>
        <w:ind w:left="5397" w:hanging="360"/>
      </w:pPr>
      <w:rPr>
        <w:rFonts w:ascii="Symbol" w:hAnsi="Symbol" w:hint="default"/>
      </w:rPr>
    </w:lvl>
    <w:lvl w:ilvl="7" w:tplc="04270003" w:tentative="1">
      <w:start w:val="1"/>
      <w:numFmt w:val="bullet"/>
      <w:lvlText w:val="o"/>
      <w:lvlJc w:val="left"/>
      <w:pPr>
        <w:ind w:left="6117" w:hanging="360"/>
      </w:pPr>
      <w:rPr>
        <w:rFonts w:ascii="Courier New" w:hAnsi="Courier New" w:cs="Courier New" w:hint="default"/>
      </w:rPr>
    </w:lvl>
    <w:lvl w:ilvl="8" w:tplc="04270005" w:tentative="1">
      <w:start w:val="1"/>
      <w:numFmt w:val="bullet"/>
      <w:lvlText w:val=""/>
      <w:lvlJc w:val="left"/>
      <w:pPr>
        <w:ind w:left="6837" w:hanging="360"/>
      </w:pPr>
      <w:rPr>
        <w:rFonts w:ascii="Wingdings" w:hAnsi="Wingdings" w:hint="default"/>
      </w:rPr>
    </w:lvl>
  </w:abstractNum>
  <w:abstractNum w:abstractNumId="28" w15:restartNumberingAfterBreak="0">
    <w:nsid w:val="621471A2"/>
    <w:multiLevelType w:val="hybridMultilevel"/>
    <w:tmpl w:val="6138042E"/>
    <w:lvl w:ilvl="0" w:tplc="20D036BC">
      <w:start w:val="1"/>
      <w:numFmt w:val="decimal"/>
      <w:lvlText w:val="%1."/>
      <w:lvlJc w:val="left"/>
      <w:pPr>
        <w:ind w:left="717"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65245953"/>
    <w:multiLevelType w:val="hybridMultilevel"/>
    <w:tmpl w:val="8F1A56B2"/>
    <w:numStyleLink w:val="ImportedStyle2"/>
  </w:abstractNum>
  <w:abstractNum w:abstractNumId="30" w15:restartNumberingAfterBreak="0">
    <w:nsid w:val="67253BD3"/>
    <w:multiLevelType w:val="hybridMultilevel"/>
    <w:tmpl w:val="C05AF5A8"/>
    <w:lvl w:ilvl="0" w:tplc="E9A4EB18">
      <w:start w:val="1"/>
      <w:numFmt w:val="bullet"/>
      <w:pStyle w:val="Sraassuenkleliais"/>
      <w:lvlText w:val="-"/>
      <w:lvlJc w:val="left"/>
      <w:pPr>
        <w:ind w:left="851" w:hanging="851"/>
      </w:pPr>
      <w:rPr>
        <w:rFonts w:ascii="Arial" w:hAnsi="Arial" w:hint="default"/>
        <w:b/>
        <w:bCs/>
        <w:i w:val="0"/>
        <w:strike w:val="0"/>
        <w:dstrike w:val="0"/>
        <w:vanish w:val="0"/>
        <w:color w:val="A7A7A7" w:themeColor="text2"/>
        <w:sz w:val="96"/>
        <w:szCs w:val="16"/>
        <w:u w:color="A7A7A7" w:themeColor="text2"/>
        <w:vertAlign w:val="baseline"/>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1" w15:restartNumberingAfterBreak="0">
    <w:nsid w:val="681369C4"/>
    <w:multiLevelType w:val="hybridMultilevel"/>
    <w:tmpl w:val="8292974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6B086616"/>
    <w:multiLevelType w:val="hybridMultilevel"/>
    <w:tmpl w:val="61DA86D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707E6005"/>
    <w:multiLevelType w:val="multilevel"/>
    <w:tmpl w:val="EEB65B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2753C59"/>
    <w:multiLevelType w:val="multilevel"/>
    <w:tmpl w:val="A934DE12"/>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nothing"/>
      <w:lvlText w:val="%1.%2."/>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717" w:hanging="71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1077" w:hanging="107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1437" w:hanging="143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1797" w:hanging="179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5" w15:restartNumberingAfterBreak="0">
    <w:nsid w:val="74036131"/>
    <w:multiLevelType w:val="multilevel"/>
    <w:tmpl w:val="3DA08E10"/>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nothing"/>
      <w:lvlText w:val="%1.%2."/>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717" w:hanging="71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1077" w:hanging="107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1437" w:hanging="143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1797" w:hanging="179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6" w15:restartNumberingAfterBreak="0">
    <w:nsid w:val="775B2672"/>
    <w:multiLevelType w:val="multilevel"/>
    <w:tmpl w:val="5E3A6E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A544327"/>
    <w:multiLevelType w:val="hybridMultilevel"/>
    <w:tmpl w:val="365E27D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8" w15:restartNumberingAfterBreak="0">
    <w:nsid w:val="7C162F41"/>
    <w:multiLevelType w:val="hybridMultilevel"/>
    <w:tmpl w:val="A6021A68"/>
    <w:lvl w:ilvl="0" w:tplc="04270019">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762265307">
    <w:abstractNumId w:val="8"/>
  </w:num>
  <w:num w:numId="2" w16cid:durableId="1766807800">
    <w:abstractNumId w:val="0"/>
  </w:num>
  <w:num w:numId="3" w16cid:durableId="328794448">
    <w:abstractNumId w:val="0"/>
    <w:lvlOverride w:ilvl="0">
      <w:lvl w:ilvl="0">
        <w:start w:val="1"/>
        <w:numFmt w:val="decimal"/>
        <w:lvlText w:val="%1."/>
        <w:lvlJc w:val="left"/>
        <w:pPr>
          <w:tabs>
            <w:tab w:val="left" w:pos="780"/>
          </w:tabs>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lvlText w:val="%1.%2."/>
        <w:lvlJc w:val="left"/>
        <w:pPr>
          <w:ind w:left="788" w:hanging="4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224" w:hanging="7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224" w:hanging="7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584" w:hanging="11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584" w:hanging="11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944" w:hanging="1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944" w:hanging="1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2304" w:hanging="187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16cid:durableId="1026443496">
    <w:abstractNumId w:val="0"/>
    <w:lvlOverride w:ilvl="0">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lvlText w:val="%1.%2."/>
        <w:lvlJc w:val="left"/>
        <w:pPr>
          <w:ind w:left="788" w:hanging="431"/>
        </w:pPr>
        <w:rPr>
          <w:rFonts w:hAnsi="Arial Unicode MS"/>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start w:val="1"/>
        <w:numFmt w:val="decimal"/>
        <w:lvlText w:val="%1.%2.%3."/>
        <w:lvlJc w:val="left"/>
        <w:pPr>
          <w:ind w:left="791" w:hanging="791"/>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3">
      <w:lvl w:ilvl="3">
        <w:start w:val="1"/>
        <w:numFmt w:val="decimal"/>
        <w:suff w:val="nothing"/>
        <w:lvlText w:val="%1.%2.%3.%4."/>
        <w:lvlJc w:val="left"/>
        <w:pPr>
          <w:ind w:left="120" w:hanging="12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4">
      <w:lvl w:ilvl="4">
        <w:start w:val="1"/>
        <w:numFmt w:val="decimal"/>
        <w:lvlText w:val="%1.%2.%3.%4.%5."/>
        <w:lvlJc w:val="left"/>
        <w:pPr>
          <w:ind w:left="1151" w:hanging="1151"/>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5">
      <w:lvl w:ilvl="5">
        <w:start w:val="1"/>
        <w:numFmt w:val="decimal"/>
        <w:suff w:val="nothing"/>
        <w:lvlText w:val="%1.%2.%3.%4.%5.%6."/>
        <w:lvlJc w:val="left"/>
        <w:pPr>
          <w:ind w:left="120" w:hanging="12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6">
      <w:lvl w:ilvl="6">
        <w:start w:val="1"/>
        <w:numFmt w:val="decimal"/>
        <w:lvlText w:val="%1.%2.%3.%4.%5.%6.%7."/>
        <w:lvlJc w:val="left"/>
        <w:pPr>
          <w:ind w:left="1511" w:hanging="1511"/>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7">
      <w:lvl w:ilvl="7">
        <w:start w:val="1"/>
        <w:numFmt w:val="decimal"/>
        <w:suff w:val="nothing"/>
        <w:lvlText w:val="%1.%2.%3.%4.%5.%6.%7.%8."/>
        <w:lvlJc w:val="left"/>
        <w:pPr>
          <w:ind w:left="120" w:hanging="12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8">
      <w:lvl w:ilvl="8">
        <w:start w:val="1"/>
        <w:numFmt w:val="decimal"/>
        <w:lvlText w:val="%1.%2.%3.%4.%5.%6.%7.%8.%9."/>
        <w:lvlJc w:val="left"/>
        <w:pPr>
          <w:ind w:left="1871" w:hanging="1871"/>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num>
  <w:num w:numId="5" w16cid:durableId="895550041">
    <w:abstractNumId w:val="17"/>
  </w:num>
  <w:num w:numId="6" w16cid:durableId="248930234">
    <w:abstractNumId w:val="29"/>
    <w:lvlOverride w:ilvl="0">
      <w:lvl w:ilvl="0" w:tplc="93FA8B30">
        <w:start w:val="1"/>
        <w:numFmt w:val="decimal"/>
        <w:lvlText w:val="%1."/>
        <w:lvlJc w:val="left"/>
        <w:pPr>
          <w:tabs>
            <w:tab w:val="left" w:pos="418"/>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1A7415CA">
        <w:start w:val="1"/>
        <w:numFmt w:val="decimal"/>
        <w:lvlText w:val="%2."/>
        <w:lvlJc w:val="left"/>
        <w:pPr>
          <w:tabs>
            <w:tab w:val="left" w:pos="418"/>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4202DC88">
        <w:start w:val="1"/>
        <w:numFmt w:val="decimal"/>
        <w:lvlText w:val="%3."/>
        <w:lvlJc w:val="left"/>
        <w:pPr>
          <w:tabs>
            <w:tab w:val="left" w:pos="418"/>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0082DFFC">
        <w:start w:val="1"/>
        <w:numFmt w:val="decimal"/>
        <w:lvlText w:val="%4."/>
        <w:lvlJc w:val="left"/>
        <w:pPr>
          <w:tabs>
            <w:tab w:val="left" w:pos="418"/>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70BA2DD0">
        <w:start w:val="1"/>
        <w:numFmt w:val="decimal"/>
        <w:lvlText w:val="%5."/>
        <w:lvlJc w:val="left"/>
        <w:pPr>
          <w:tabs>
            <w:tab w:val="left" w:pos="418"/>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100ACCAA">
        <w:start w:val="1"/>
        <w:numFmt w:val="decimal"/>
        <w:lvlText w:val="%6."/>
        <w:lvlJc w:val="left"/>
        <w:pPr>
          <w:tabs>
            <w:tab w:val="left" w:pos="418"/>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4F748BC4">
        <w:start w:val="1"/>
        <w:numFmt w:val="decimal"/>
        <w:lvlText w:val="%7."/>
        <w:lvlJc w:val="left"/>
        <w:pPr>
          <w:tabs>
            <w:tab w:val="left" w:pos="418"/>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43F6A77C">
        <w:start w:val="1"/>
        <w:numFmt w:val="decimal"/>
        <w:lvlText w:val="%8."/>
        <w:lvlJc w:val="left"/>
        <w:pPr>
          <w:tabs>
            <w:tab w:val="left" w:pos="418"/>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EC9466D8">
        <w:start w:val="1"/>
        <w:numFmt w:val="decimal"/>
        <w:lvlText w:val="%9."/>
        <w:lvlJc w:val="left"/>
        <w:pPr>
          <w:tabs>
            <w:tab w:val="left" w:pos="418"/>
          </w:tabs>
          <w:ind w:left="400" w:hanging="40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7" w16cid:durableId="1646819023">
    <w:abstractNumId w:val="29"/>
  </w:num>
  <w:num w:numId="8" w16cid:durableId="578831948">
    <w:abstractNumId w:val="14"/>
  </w:num>
  <w:num w:numId="9" w16cid:durableId="1149521838">
    <w:abstractNumId w:val="22"/>
  </w:num>
  <w:num w:numId="10" w16cid:durableId="638075531">
    <w:abstractNumId w:val="7"/>
  </w:num>
  <w:num w:numId="11" w16cid:durableId="1429499116">
    <w:abstractNumId w:val="16"/>
  </w:num>
  <w:num w:numId="12" w16cid:durableId="1973829416">
    <w:abstractNumId w:val="26"/>
  </w:num>
  <w:num w:numId="13" w16cid:durableId="364185210">
    <w:abstractNumId w:val="4"/>
  </w:num>
  <w:num w:numId="14" w16cid:durableId="995573572">
    <w:abstractNumId w:val="10"/>
  </w:num>
  <w:num w:numId="15" w16cid:durableId="1383098298">
    <w:abstractNumId w:val="37"/>
  </w:num>
  <w:num w:numId="16" w16cid:durableId="785007773">
    <w:abstractNumId w:val="18"/>
  </w:num>
  <w:num w:numId="17" w16cid:durableId="974335737">
    <w:abstractNumId w:val="38"/>
  </w:num>
  <w:num w:numId="18" w16cid:durableId="814295458">
    <w:abstractNumId w:val="12"/>
  </w:num>
  <w:num w:numId="19" w16cid:durableId="1904945065">
    <w:abstractNumId w:val="9"/>
  </w:num>
  <w:num w:numId="20" w16cid:durableId="662899802">
    <w:abstractNumId w:val="36"/>
  </w:num>
  <w:num w:numId="21" w16cid:durableId="1039819585">
    <w:abstractNumId w:val="15"/>
  </w:num>
  <w:num w:numId="22" w16cid:durableId="2011372277">
    <w:abstractNumId w:val="32"/>
  </w:num>
  <w:num w:numId="23" w16cid:durableId="577902957">
    <w:abstractNumId w:val="11"/>
  </w:num>
  <w:num w:numId="24" w16cid:durableId="845483250">
    <w:abstractNumId w:val="28"/>
  </w:num>
  <w:num w:numId="25" w16cid:durableId="1241909248">
    <w:abstractNumId w:val="5"/>
  </w:num>
  <w:num w:numId="26" w16cid:durableId="1279339150">
    <w:abstractNumId w:val="3"/>
  </w:num>
  <w:num w:numId="27" w16cid:durableId="486439584">
    <w:abstractNumId w:val="13"/>
  </w:num>
  <w:num w:numId="28" w16cid:durableId="692807518">
    <w:abstractNumId w:val="23"/>
  </w:num>
  <w:num w:numId="29" w16cid:durableId="2019230898">
    <w:abstractNumId w:val="24"/>
  </w:num>
  <w:num w:numId="30" w16cid:durableId="1705406118">
    <w:abstractNumId w:val="19"/>
  </w:num>
  <w:num w:numId="31" w16cid:durableId="1652635836">
    <w:abstractNumId w:val="35"/>
  </w:num>
  <w:num w:numId="32" w16cid:durableId="1771970908">
    <w:abstractNumId w:val="21"/>
  </w:num>
  <w:num w:numId="33" w16cid:durableId="713426377">
    <w:abstractNumId w:val="2"/>
  </w:num>
  <w:num w:numId="34" w16cid:durableId="644630939">
    <w:abstractNumId w:val="6"/>
  </w:num>
  <w:num w:numId="35" w16cid:durableId="1292633493">
    <w:abstractNumId w:val="27"/>
  </w:num>
  <w:num w:numId="36" w16cid:durableId="2041279549">
    <w:abstractNumId w:val="20"/>
  </w:num>
  <w:num w:numId="37" w16cid:durableId="1710448692">
    <w:abstractNumId w:val="30"/>
  </w:num>
  <w:num w:numId="38" w16cid:durableId="1110121858">
    <w:abstractNumId w:val="31"/>
  </w:num>
  <w:num w:numId="39" w16cid:durableId="1309630529">
    <w:abstractNumId w:val="34"/>
  </w:num>
  <w:num w:numId="40" w16cid:durableId="1252860849">
    <w:abstractNumId w:val="33"/>
  </w:num>
  <w:num w:numId="41" w16cid:durableId="1542864835">
    <w:abstractNumId w:val="25"/>
  </w:num>
  <w:num w:numId="42" w16cid:durableId="3679496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0CAC"/>
    <w:rsid w:val="000005DA"/>
    <w:rsid w:val="0000101B"/>
    <w:rsid w:val="000014C0"/>
    <w:rsid w:val="000014DE"/>
    <w:rsid w:val="00001C15"/>
    <w:rsid w:val="00001C21"/>
    <w:rsid w:val="00001DA4"/>
    <w:rsid w:val="00001FC0"/>
    <w:rsid w:val="0000216D"/>
    <w:rsid w:val="000026FB"/>
    <w:rsid w:val="00002AEC"/>
    <w:rsid w:val="00004BCF"/>
    <w:rsid w:val="00006AD2"/>
    <w:rsid w:val="00007137"/>
    <w:rsid w:val="000071F2"/>
    <w:rsid w:val="00007368"/>
    <w:rsid w:val="00007E8F"/>
    <w:rsid w:val="000100DA"/>
    <w:rsid w:val="0001213D"/>
    <w:rsid w:val="00012284"/>
    <w:rsid w:val="000127DA"/>
    <w:rsid w:val="00015164"/>
    <w:rsid w:val="00017B6A"/>
    <w:rsid w:val="00017D70"/>
    <w:rsid w:val="00017D82"/>
    <w:rsid w:val="00020297"/>
    <w:rsid w:val="00020F7F"/>
    <w:rsid w:val="000210CE"/>
    <w:rsid w:val="000213AD"/>
    <w:rsid w:val="00021A2F"/>
    <w:rsid w:val="00021E54"/>
    <w:rsid w:val="0002203C"/>
    <w:rsid w:val="000227B9"/>
    <w:rsid w:val="00023B78"/>
    <w:rsid w:val="0002492D"/>
    <w:rsid w:val="00024D71"/>
    <w:rsid w:val="00024E3C"/>
    <w:rsid w:val="00026B09"/>
    <w:rsid w:val="00027468"/>
    <w:rsid w:val="000277E1"/>
    <w:rsid w:val="0003067F"/>
    <w:rsid w:val="0003097F"/>
    <w:rsid w:val="00030F55"/>
    <w:rsid w:val="000312BB"/>
    <w:rsid w:val="000322A0"/>
    <w:rsid w:val="000347E1"/>
    <w:rsid w:val="000356C2"/>
    <w:rsid w:val="00036A55"/>
    <w:rsid w:val="00040931"/>
    <w:rsid w:val="00040FB1"/>
    <w:rsid w:val="00041894"/>
    <w:rsid w:val="00041B00"/>
    <w:rsid w:val="00041D0A"/>
    <w:rsid w:val="000425CA"/>
    <w:rsid w:val="00044273"/>
    <w:rsid w:val="0004479A"/>
    <w:rsid w:val="0004545F"/>
    <w:rsid w:val="00045831"/>
    <w:rsid w:val="00047E46"/>
    <w:rsid w:val="0005069C"/>
    <w:rsid w:val="00050708"/>
    <w:rsid w:val="000508D9"/>
    <w:rsid w:val="00050B55"/>
    <w:rsid w:val="00050C84"/>
    <w:rsid w:val="00051656"/>
    <w:rsid w:val="00052687"/>
    <w:rsid w:val="00053209"/>
    <w:rsid w:val="000532D5"/>
    <w:rsid w:val="000539A6"/>
    <w:rsid w:val="000547B1"/>
    <w:rsid w:val="00054DF0"/>
    <w:rsid w:val="00055AFC"/>
    <w:rsid w:val="00056E5E"/>
    <w:rsid w:val="0005711B"/>
    <w:rsid w:val="000572CD"/>
    <w:rsid w:val="0005732F"/>
    <w:rsid w:val="000576D4"/>
    <w:rsid w:val="000608F5"/>
    <w:rsid w:val="0006130A"/>
    <w:rsid w:val="00062695"/>
    <w:rsid w:val="00062FF1"/>
    <w:rsid w:val="000640E8"/>
    <w:rsid w:val="00064C75"/>
    <w:rsid w:val="00066812"/>
    <w:rsid w:val="00066F64"/>
    <w:rsid w:val="000704FB"/>
    <w:rsid w:val="00071BCF"/>
    <w:rsid w:val="00072733"/>
    <w:rsid w:val="0007275B"/>
    <w:rsid w:val="00073155"/>
    <w:rsid w:val="00073211"/>
    <w:rsid w:val="00073AF9"/>
    <w:rsid w:val="00073BC2"/>
    <w:rsid w:val="00073E8C"/>
    <w:rsid w:val="00074858"/>
    <w:rsid w:val="00075645"/>
    <w:rsid w:val="00076216"/>
    <w:rsid w:val="000763C8"/>
    <w:rsid w:val="00080A04"/>
    <w:rsid w:val="00080FCC"/>
    <w:rsid w:val="0008164F"/>
    <w:rsid w:val="000818CE"/>
    <w:rsid w:val="00081FF0"/>
    <w:rsid w:val="00082634"/>
    <w:rsid w:val="00082FB5"/>
    <w:rsid w:val="0008391E"/>
    <w:rsid w:val="00083C15"/>
    <w:rsid w:val="000842E6"/>
    <w:rsid w:val="000845B3"/>
    <w:rsid w:val="00085637"/>
    <w:rsid w:val="00087FCB"/>
    <w:rsid w:val="00087FEE"/>
    <w:rsid w:val="000903C0"/>
    <w:rsid w:val="00090CEF"/>
    <w:rsid w:val="00091560"/>
    <w:rsid w:val="00091BBC"/>
    <w:rsid w:val="000924FE"/>
    <w:rsid w:val="00092AE1"/>
    <w:rsid w:val="00093784"/>
    <w:rsid w:val="000945EA"/>
    <w:rsid w:val="00094923"/>
    <w:rsid w:val="00094A16"/>
    <w:rsid w:val="00095395"/>
    <w:rsid w:val="000957C8"/>
    <w:rsid w:val="0009625C"/>
    <w:rsid w:val="000963AE"/>
    <w:rsid w:val="00096519"/>
    <w:rsid w:val="000966D5"/>
    <w:rsid w:val="00096EBC"/>
    <w:rsid w:val="000976D5"/>
    <w:rsid w:val="000A0407"/>
    <w:rsid w:val="000A078F"/>
    <w:rsid w:val="000A1169"/>
    <w:rsid w:val="000A2813"/>
    <w:rsid w:val="000A5A7A"/>
    <w:rsid w:val="000A5B56"/>
    <w:rsid w:val="000A6CB9"/>
    <w:rsid w:val="000A6EA0"/>
    <w:rsid w:val="000A6F3A"/>
    <w:rsid w:val="000A70FA"/>
    <w:rsid w:val="000A748D"/>
    <w:rsid w:val="000B02F4"/>
    <w:rsid w:val="000B1A98"/>
    <w:rsid w:val="000B26AE"/>
    <w:rsid w:val="000B2CCC"/>
    <w:rsid w:val="000B56FB"/>
    <w:rsid w:val="000B5EFE"/>
    <w:rsid w:val="000B78F1"/>
    <w:rsid w:val="000B7B26"/>
    <w:rsid w:val="000C04B3"/>
    <w:rsid w:val="000C2CB0"/>
    <w:rsid w:val="000C4C62"/>
    <w:rsid w:val="000C5069"/>
    <w:rsid w:val="000C51EF"/>
    <w:rsid w:val="000C576E"/>
    <w:rsid w:val="000C5E1C"/>
    <w:rsid w:val="000C64B2"/>
    <w:rsid w:val="000C690F"/>
    <w:rsid w:val="000D1188"/>
    <w:rsid w:val="000D166C"/>
    <w:rsid w:val="000D1A48"/>
    <w:rsid w:val="000D2185"/>
    <w:rsid w:val="000D3435"/>
    <w:rsid w:val="000D3619"/>
    <w:rsid w:val="000D3AED"/>
    <w:rsid w:val="000D420B"/>
    <w:rsid w:val="000D4416"/>
    <w:rsid w:val="000D44CE"/>
    <w:rsid w:val="000D4915"/>
    <w:rsid w:val="000D508C"/>
    <w:rsid w:val="000D5248"/>
    <w:rsid w:val="000D5D72"/>
    <w:rsid w:val="000D665B"/>
    <w:rsid w:val="000D68A6"/>
    <w:rsid w:val="000D748A"/>
    <w:rsid w:val="000E05C6"/>
    <w:rsid w:val="000E0A9D"/>
    <w:rsid w:val="000E0C11"/>
    <w:rsid w:val="000E0EA6"/>
    <w:rsid w:val="000E16E5"/>
    <w:rsid w:val="000E23A6"/>
    <w:rsid w:val="000E26EF"/>
    <w:rsid w:val="000E44D3"/>
    <w:rsid w:val="000E48EA"/>
    <w:rsid w:val="000E5D76"/>
    <w:rsid w:val="000F0A34"/>
    <w:rsid w:val="000F138F"/>
    <w:rsid w:val="000F249F"/>
    <w:rsid w:val="000F277C"/>
    <w:rsid w:val="000F280A"/>
    <w:rsid w:val="000F2D6B"/>
    <w:rsid w:val="000F33D6"/>
    <w:rsid w:val="000F367E"/>
    <w:rsid w:val="000F3923"/>
    <w:rsid w:val="000F3A64"/>
    <w:rsid w:val="000F4C4C"/>
    <w:rsid w:val="000F5DF7"/>
    <w:rsid w:val="000F617C"/>
    <w:rsid w:val="000F67C4"/>
    <w:rsid w:val="000F7A9E"/>
    <w:rsid w:val="000F7C68"/>
    <w:rsid w:val="00100ACB"/>
    <w:rsid w:val="0010112D"/>
    <w:rsid w:val="001011E3"/>
    <w:rsid w:val="00102E3C"/>
    <w:rsid w:val="00103A61"/>
    <w:rsid w:val="0010466E"/>
    <w:rsid w:val="00105655"/>
    <w:rsid w:val="00106CB4"/>
    <w:rsid w:val="0011062D"/>
    <w:rsid w:val="00112B03"/>
    <w:rsid w:val="00112C5E"/>
    <w:rsid w:val="00113050"/>
    <w:rsid w:val="001135B3"/>
    <w:rsid w:val="00113DD5"/>
    <w:rsid w:val="001142F9"/>
    <w:rsid w:val="00114637"/>
    <w:rsid w:val="00115029"/>
    <w:rsid w:val="001154F3"/>
    <w:rsid w:val="00115AD8"/>
    <w:rsid w:val="00115D9C"/>
    <w:rsid w:val="0012001E"/>
    <w:rsid w:val="00121C57"/>
    <w:rsid w:val="001224BE"/>
    <w:rsid w:val="00122725"/>
    <w:rsid w:val="001234E8"/>
    <w:rsid w:val="0012565F"/>
    <w:rsid w:val="001256C9"/>
    <w:rsid w:val="001257DD"/>
    <w:rsid w:val="001261F6"/>
    <w:rsid w:val="001263CE"/>
    <w:rsid w:val="00126C24"/>
    <w:rsid w:val="00127573"/>
    <w:rsid w:val="00127B60"/>
    <w:rsid w:val="0013050A"/>
    <w:rsid w:val="00130967"/>
    <w:rsid w:val="00130B43"/>
    <w:rsid w:val="0013199F"/>
    <w:rsid w:val="00131C7F"/>
    <w:rsid w:val="00131D6B"/>
    <w:rsid w:val="00133A03"/>
    <w:rsid w:val="00135023"/>
    <w:rsid w:val="0013604A"/>
    <w:rsid w:val="00136304"/>
    <w:rsid w:val="00136585"/>
    <w:rsid w:val="00137022"/>
    <w:rsid w:val="00137559"/>
    <w:rsid w:val="00140039"/>
    <w:rsid w:val="001402E9"/>
    <w:rsid w:val="00140DDC"/>
    <w:rsid w:val="00142317"/>
    <w:rsid w:val="00142326"/>
    <w:rsid w:val="001429CF"/>
    <w:rsid w:val="00143DE3"/>
    <w:rsid w:val="00143E9A"/>
    <w:rsid w:val="00144927"/>
    <w:rsid w:val="0014584C"/>
    <w:rsid w:val="00145D83"/>
    <w:rsid w:val="001465BA"/>
    <w:rsid w:val="001466EF"/>
    <w:rsid w:val="0014776B"/>
    <w:rsid w:val="00147B58"/>
    <w:rsid w:val="0015057F"/>
    <w:rsid w:val="001508B2"/>
    <w:rsid w:val="00152598"/>
    <w:rsid w:val="001526B7"/>
    <w:rsid w:val="00152E11"/>
    <w:rsid w:val="00153FB5"/>
    <w:rsid w:val="001540A0"/>
    <w:rsid w:val="001566A9"/>
    <w:rsid w:val="00156B3F"/>
    <w:rsid w:val="00156FCF"/>
    <w:rsid w:val="0015719D"/>
    <w:rsid w:val="00157751"/>
    <w:rsid w:val="0016001E"/>
    <w:rsid w:val="001608C8"/>
    <w:rsid w:val="00160B96"/>
    <w:rsid w:val="001611A4"/>
    <w:rsid w:val="00162683"/>
    <w:rsid w:val="00162DB7"/>
    <w:rsid w:val="00163194"/>
    <w:rsid w:val="00163DB9"/>
    <w:rsid w:val="0016489C"/>
    <w:rsid w:val="001649DB"/>
    <w:rsid w:val="001650AE"/>
    <w:rsid w:val="00165155"/>
    <w:rsid w:val="00165236"/>
    <w:rsid w:val="0016652C"/>
    <w:rsid w:val="00167294"/>
    <w:rsid w:val="00167C01"/>
    <w:rsid w:val="00170461"/>
    <w:rsid w:val="00171CBD"/>
    <w:rsid w:val="0017202E"/>
    <w:rsid w:val="00172FB2"/>
    <w:rsid w:val="001738CF"/>
    <w:rsid w:val="00175220"/>
    <w:rsid w:val="00176CE4"/>
    <w:rsid w:val="0018011E"/>
    <w:rsid w:val="001803F4"/>
    <w:rsid w:val="0018067B"/>
    <w:rsid w:val="00180A43"/>
    <w:rsid w:val="0018253F"/>
    <w:rsid w:val="001839D1"/>
    <w:rsid w:val="00183BED"/>
    <w:rsid w:val="00183CB4"/>
    <w:rsid w:val="00184FEE"/>
    <w:rsid w:val="0018558A"/>
    <w:rsid w:val="00185E3A"/>
    <w:rsid w:val="00186FF6"/>
    <w:rsid w:val="0018738A"/>
    <w:rsid w:val="00187C3C"/>
    <w:rsid w:val="0019122D"/>
    <w:rsid w:val="001912AD"/>
    <w:rsid w:val="00193904"/>
    <w:rsid w:val="00194373"/>
    <w:rsid w:val="00194832"/>
    <w:rsid w:val="00194F03"/>
    <w:rsid w:val="001959F1"/>
    <w:rsid w:val="00196231"/>
    <w:rsid w:val="0019675B"/>
    <w:rsid w:val="001967CC"/>
    <w:rsid w:val="0019726B"/>
    <w:rsid w:val="001A0495"/>
    <w:rsid w:val="001A06B6"/>
    <w:rsid w:val="001A0B5A"/>
    <w:rsid w:val="001A1B2E"/>
    <w:rsid w:val="001A26B1"/>
    <w:rsid w:val="001A2A53"/>
    <w:rsid w:val="001A3341"/>
    <w:rsid w:val="001A3BCB"/>
    <w:rsid w:val="001A5164"/>
    <w:rsid w:val="001A5F77"/>
    <w:rsid w:val="001A74ED"/>
    <w:rsid w:val="001B14B0"/>
    <w:rsid w:val="001B14C0"/>
    <w:rsid w:val="001B16DB"/>
    <w:rsid w:val="001B247E"/>
    <w:rsid w:val="001B27BD"/>
    <w:rsid w:val="001B2827"/>
    <w:rsid w:val="001B29D5"/>
    <w:rsid w:val="001B39DD"/>
    <w:rsid w:val="001B3AE7"/>
    <w:rsid w:val="001B3DBE"/>
    <w:rsid w:val="001B3EE1"/>
    <w:rsid w:val="001B4173"/>
    <w:rsid w:val="001B4CD9"/>
    <w:rsid w:val="001B5A7A"/>
    <w:rsid w:val="001B6585"/>
    <w:rsid w:val="001B690D"/>
    <w:rsid w:val="001B760B"/>
    <w:rsid w:val="001B76D6"/>
    <w:rsid w:val="001C0C12"/>
    <w:rsid w:val="001C0D3E"/>
    <w:rsid w:val="001C0F42"/>
    <w:rsid w:val="001C26C3"/>
    <w:rsid w:val="001C26C6"/>
    <w:rsid w:val="001C37A8"/>
    <w:rsid w:val="001C397E"/>
    <w:rsid w:val="001C3A38"/>
    <w:rsid w:val="001C465C"/>
    <w:rsid w:val="001C4D55"/>
    <w:rsid w:val="001C4DD7"/>
    <w:rsid w:val="001C57CA"/>
    <w:rsid w:val="001C5878"/>
    <w:rsid w:val="001C6447"/>
    <w:rsid w:val="001C777D"/>
    <w:rsid w:val="001C7DC3"/>
    <w:rsid w:val="001D1654"/>
    <w:rsid w:val="001D1786"/>
    <w:rsid w:val="001D28F8"/>
    <w:rsid w:val="001D2A8A"/>
    <w:rsid w:val="001D368C"/>
    <w:rsid w:val="001D454A"/>
    <w:rsid w:val="001D54B6"/>
    <w:rsid w:val="001D54FF"/>
    <w:rsid w:val="001D56C7"/>
    <w:rsid w:val="001D5C32"/>
    <w:rsid w:val="001D5F8C"/>
    <w:rsid w:val="001D6275"/>
    <w:rsid w:val="001D6B4E"/>
    <w:rsid w:val="001D7B21"/>
    <w:rsid w:val="001E057E"/>
    <w:rsid w:val="001E06AC"/>
    <w:rsid w:val="001E0857"/>
    <w:rsid w:val="001E1DBC"/>
    <w:rsid w:val="001E4568"/>
    <w:rsid w:val="001E4A58"/>
    <w:rsid w:val="001E4C64"/>
    <w:rsid w:val="001E56D6"/>
    <w:rsid w:val="001E56EB"/>
    <w:rsid w:val="001E62B2"/>
    <w:rsid w:val="001E64DC"/>
    <w:rsid w:val="001E657F"/>
    <w:rsid w:val="001E6582"/>
    <w:rsid w:val="001E6943"/>
    <w:rsid w:val="001E7122"/>
    <w:rsid w:val="001E731B"/>
    <w:rsid w:val="001E766A"/>
    <w:rsid w:val="001E7B07"/>
    <w:rsid w:val="001F0101"/>
    <w:rsid w:val="001F07AF"/>
    <w:rsid w:val="001F0CD6"/>
    <w:rsid w:val="001F0EA6"/>
    <w:rsid w:val="001F166D"/>
    <w:rsid w:val="001F1846"/>
    <w:rsid w:val="001F1D28"/>
    <w:rsid w:val="001F1FF9"/>
    <w:rsid w:val="001F2650"/>
    <w:rsid w:val="001F26D5"/>
    <w:rsid w:val="001F29FC"/>
    <w:rsid w:val="001F31B4"/>
    <w:rsid w:val="001F4609"/>
    <w:rsid w:val="001F6A07"/>
    <w:rsid w:val="001F6F1B"/>
    <w:rsid w:val="001F7C4B"/>
    <w:rsid w:val="00201189"/>
    <w:rsid w:val="00201284"/>
    <w:rsid w:val="0020276C"/>
    <w:rsid w:val="002028D3"/>
    <w:rsid w:val="0020392C"/>
    <w:rsid w:val="00203BBA"/>
    <w:rsid w:val="00203BCE"/>
    <w:rsid w:val="00203DC8"/>
    <w:rsid w:val="00204DFC"/>
    <w:rsid w:val="002061F8"/>
    <w:rsid w:val="00206407"/>
    <w:rsid w:val="002068BA"/>
    <w:rsid w:val="0021133A"/>
    <w:rsid w:val="002137A6"/>
    <w:rsid w:val="00214588"/>
    <w:rsid w:val="00215633"/>
    <w:rsid w:val="002159E5"/>
    <w:rsid w:val="00221A7C"/>
    <w:rsid w:val="00221E53"/>
    <w:rsid w:val="00224013"/>
    <w:rsid w:val="0022464F"/>
    <w:rsid w:val="002247F2"/>
    <w:rsid w:val="00225157"/>
    <w:rsid w:val="00225821"/>
    <w:rsid w:val="0023013A"/>
    <w:rsid w:val="0023059C"/>
    <w:rsid w:val="002308C3"/>
    <w:rsid w:val="00231A9C"/>
    <w:rsid w:val="00231BC2"/>
    <w:rsid w:val="0023243C"/>
    <w:rsid w:val="0023364C"/>
    <w:rsid w:val="002338E5"/>
    <w:rsid w:val="00233943"/>
    <w:rsid w:val="00234071"/>
    <w:rsid w:val="00234FA6"/>
    <w:rsid w:val="00235549"/>
    <w:rsid w:val="00235D5E"/>
    <w:rsid w:val="00236287"/>
    <w:rsid w:val="00236331"/>
    <w:rsid w:val="00240278"/>
    <w:rsid w:val="002407E6"/>
    <w:rsid w:val="002414B4"/>
    <w:rsid w:val="002428A2"/>
    <w:rsid w:val="00242FA4"/>
    <w:rsid w:val="00243639"/>
    <w:rsid w:val="00243E10"/>
    <w:rsid w:val="00244703"/>
    <w:rsid w:val="0024489D"/>
    <w:rsid w:val="00244B47"/>
    <w:rsid w:val="00244CA9"/>
    <w:rsid w:val="00244CD5"/>
    <w:rsid w:val="00244DFE"/>
    <w:rsid w:val="002456A4"/>
    <w:rsid w:val="00245BC0"/>
    <w:rsid w:val="00246447"/>
    <w:rsid w:val="00247246"/>
    <w:rsid w:val="0025058F"/>
    <w:rsid w:val="002509DF"/>
    <w:rsid w:val="00251B23"/>
    <w:rsid w:val="00251BEA"/>
    <w:rsid w:val="00252309"/>
    <w:rsid w:val="00252C6D"/>
    <w:rsid w:val="00252D33"/>
    <w:rsid w:val="00252FBF"/>
    <w:rsid w:val="00254467"/>
    <w:rsid w:val="00254621"/>
    <w:rsid w:val="002547D8"/>
    <w:rsid w:val="00254DF5"/>
    <w:rsid w:val="002573AE"/>
    <w:rsid w:val="002578E4"/>
    <w:rsid w:val="00257BA5"/>
    <w:rsid w:val="00257BBE"/>
    <w:rsid w:val="00260032"/>
    <w:rsid w:val="00260C4B"/>
    <w:rsid w:val="00260D63"/>
    <w:rsid w:val="00261C4D"/>
    <w:rsid w:val="00261C90"/>
    <w:rsid w:val="00261FF1"/>
    <w:rsid w:val="00262447"/>
    <w:rsid w:val="0026351B"/>
    <w:rsid w:val="00263CB7"/>
    <w:rsid w:val="00263D26"/>
    <w:rsid w:val="00264090"/>
    <w:rsid w:val="002640F3"/>
    <w:rsid w:val="002642CD"/>
    <w:rsid w:val="0026519B"/>
    <w:rsid w:val="00265275"/>
    <w:rsid w:val="00265764"/>
    <w:rsid w:val="0026619C"/>
    <w:rsid w:val="00266FDB"/>
    <w:rsid w:val="00267AA6"/>
    <w:rsid w:val="002701F4"/>
    <w:rsid w:val="00270450"/>
    <w:rsid w:val="00270D8D"/>
    <w:rsid w:val="0027211C"/>
    <w:rsid w:val="0027247C"/>
    <w:rsid w:val="002731C5"/>
    <w:rsid w:val="002734BC"/>
    <w:rsid w:val="0027489A"/>
    <w:rsid w:val="00276458"/>
    <w:rsid w:val="002766FB"/>
    <w:rsid w:val="00276AE1"/>
    <w:rsid w:val="00276BC4"/>
    <w:rsid w:val="00277265"/>
    <w:rsid w:val="00277358"/>
    <w:rsid w:val="00277EC1"/>
    <w:rsid w:val="00280090"/>
    <w:rsid w:val="002801D7"/>
    <w:rsid w:val="00280622"/>
    <w:rsid w:val="00281A2C"/>
    <w:rsid w:val="00284297"/>
    <w:rsid w:val="00284C36"/>
    <w:rsid w:val="00285796"/>
    <w:rsid w:val="002864AB"/>
    <w:rsid w:val="002867F7"/>
    <w:rsid w:val="00286D85"/>
    <w:rsid w:val="00287473"/>
    <w:rsid w:val="002878B9"/>
    <w:rsid w:val="00287A75"/>
    <w:rsid w:val="00291301"/>
    <w:rsid w:val="00291B54"/>
    <w:rsid w:val="00291FCB"/>
    <w:rsid w:val="002931E9"/>
    <w:rsid w:val="00293770"/>
    <w:rsid w:val="00294C0A"/>
    <w:rsid w:val="00295296"/>
    <w:rsid w:val="00296422"/>
    <w:rsid w:val="00296900"/>
    <w:rsid w:val="00296B40"/>
    <w:rsid w:val="002A0E9A"/>
    <w:rsid w:val="002A12C9"/>
    <w:rsid w:val="002A16A0"/>
    <w:rsid w:val="002A187B"/>
    <w:rsid w:val="002A21CF"/>
    <w:rsid w:val="002A37B3"/>
    <w:rsid w:val="002A4396"/>
    <w:rsid w:val="002A465E"/>
    <w:rsid w:val="002A49FF"/>
    <w:rsid w:val="002A5B2A"/>
    <w:rsid w:val="002A5F9C"/>
    <w:rsid w:val="002A65B9"/>
    <w:rsid w:val="002A6C90"/>
    <w:rsid w:val="002A7331"/>
    <w:rsid w:val="002B071D"/>
    <w:rsid w:val="002B22A3"/>
    <w:rsid w:val="002B4224"/>
    <w:rsid w:val="002B4415"/>
    <w:rsid w:val="002B456E"/>
    <w:rsid w:val="002B495C"/>
    <w:rsid w:val="002B5B77"/>
    <w:rsid w:val="002B60FD"/>
    <w:rsid w:val="002B6322"/>
    <w:rsid w:val="002B6E9D"/>
    <w:rsid w:val="002B7355"/>
    <w:rsid w:val="002C06A2"/>
    <w:rsid w:val="002C076C"/>
    <w:rsid w:val="002C08F9"/>
    <w:rsid w:val="002C0D13"/>
    <w:rsid w:val="002C1244"/>
    <w:rsid w:val="002C1314"/>
    <w:rsid w:val="002C22CF"/>
    <w:rsid w:val="002C2723"/>
    <w:rsid w:val="002C4CE8"/>
    <w:rsid w:val="002D01B9"/>
    <w:rsid w:val="002D12CE"/>
    <w:rsid w:val="002D1397"/>
    <w:rsid w:val="002D13D9"/>
    <w:rsid w:val="002D1CA7"/>
    <w:rsid w:val="002D208C"/>
    <w:rsid w:val="002D226E"/>
    <w:rsid w:val="002D2281"/>
    <w:rsid w:val="002D2DCE"/>
    <w:rsid w:val="002D3B3A"/>
    <w:rsid w:val="002D3CFF"/>
    <w:rsid w:val="002D47C3"/>
    <w:rsid w:val="002D557C"/>
    <w:rsid w:val="002D5705"/>
    <w:rsid w:val="002D6E8F"/>
    <w:rsid w:val="002E04F5"/>
    <w:rsid w:val="002E093A"/>
    <w:rsid w:val="002E123A"/>
    <w:rsid w:val="002E14DC"/>
    <w:rsid w:val="002E37C9"/>
    <w:rsid w:val="002E4364"/>
    <w:rsid w:val="002E45A2"/>
    <w:rsid w:val="002E559F"/>
    <w:rsid w:val="002E7AC2"/>
    <w:rsid w:val="002F1770"/>
    <w:rsid w:val="002F20AA"/>
    <w:rsid w:val="002F2529"/>
    <w:rsid w:val="002F2548"/>
    <w:rsid w:val="002F266D"/>
    <w:rsid w:val="002F270D"/>
    <w:rsid w:val="002F2A88"/>
    <w:rsid w:val="002F3C13"/>
    <w:rsid w:val="002F4E0A"/>
    <w:rsid w:val="002F55F2"/>
    <w:rsid w:val="002F58A3"/>
    <w:rsid w:val="002F593B"/>
    <w:rsid w:val="002F5F65"/>
    <w:rsid w:val="002F663D"/>
    <w:rsid w:val="002F68F5"/>
    <w:rsid w:val="002F7403"/>
    <w:rsid w:val="002F74C2"/>
    <w:rsid w:val="003000AE"/>
    <w:rsid w:val="00300456"/>
    <w:rsid w:val="003016D6"/>
    <w:rsid w:val="00301CD7"/>
    <w:rsid w:val="00302BD9"/>
    <w:rsid w:val="003032D1"/>
    <w:rsid w:val="00303975"/>
    <w:rsid w:val="00304945"/>
    <w:rsid w:val="00305590"/>
    <w:rsid w:val="00306773"/>
    <w:rsid w:val="003068F8"/>
    <w:rsid w:val="00306E87"/>
    <w:rsid w:val="00306FF4"/>
    <w:rsid w:val="00307613"/>
    <w:rsid w:val="00311B2A"/>
    <w:rsid w:val="0031222A"/>
    <w:rsid w:val="0031255C"/>
    <w:rsid w:val="00312F5A"/>
    <w:rsid w:val="00313B19"/>
    <w:rsid w:val="00314517"/>
    <w:rsid w:val="00314B04"/>
    <w:rsid w:val="0031544C"/>
    <w:rsid w:val="003156B7"/>
    <w:rsid w:val="00315A57"/>
    <w:rsid w:val="00315E52"/>
    <w:rsid w:val="00315E88"/>
    <w:rsid w:val="00316D19"/>
    <w:rsid w:val="00317EAD"/>
    <w:rsid w:val="00321E0B"/>
    <w:rsid w:val="00322658"/>
    <w:rsid w:val="00322D3E"/>
    <w:rsid w:val="00323465"/>
    <w:rsid w:val="00323B84"/>
    <w:rsid w:val="00324E55"/>
    <w:rsid w:val="00324E7F"/>
    <w:rsid w:val="00325CB2"/>
    <w:rsid w:val="003266E7"/>
    <w:rsid w:val="00326CEE"/>
    <w:rsid w:val="00327990"/>
    <w:rsid w:val="003300B8"/>
    <w:rsid w:val="0033022B"/>
    <w:rsid w:val="00330ADD"/>
    <w:rsid w:val="00330FFB"/>
    <w:rsid w:val="00331FAF"/>
    <w:rsid w:val="00332DB9"/>
    <w:rsid w:val="003346E5"/>
    <w:rsid w:val="00334D76"/>
    <w:rsid w:val="00334DFD"/>
    <w:rsid w:val="00335445"/>
    <w:rsid w:val="00335653"/>
    <w:rsid w:val="00335A6D"/>
    <w:rsid w:val="00336C3B"/>
    <w:rsid w:val="00337C6A"/>
    <w:rsid w:val="00340E1F"/>
    <w:rsid w:val="0034114D"/>
    <w:rsid w:val="003420F7"/>
    <w:rsid w:val="00342311"/>
    <w:rsid w:val="003437B4"/>
    <w:rsid w:val="003440FE"/>
    <w:rsid w:val="003450D2"/>
    <w:rsid w:val="00347C9B"/>
    <w:rsid w:val="00347F7B"/>
    <w:rsid w:val="0035013F"/>
    <w:rsid w:val="003501DB"/>
    <w:rsid w:val="003509F0"/>
    <w:rsid w:val="00351920"/>
    <w:rsid w:val="003523B8"/>
    <w:rsid w:val="00352D2C"/>
    <w:rsid w:val="00352E21"/>
    <w:rsid w:val="0035486B"/>
    <w:rsid w:val="00355269"/>
    <w:rsid w:val="003559FA"/>
    <w:rsid w:val="0035779E"/>
    <w:rsid w:val="003609AE"/>
    <w:rsid w:val="00361961"/>
    <w:rsid w:val="00361C98"/>
    <w:rsid w:val="003629D8"/>
    <w:rsid w:val="00362F76"/>
    <w:rsid w:val="00363255"/>
    <w:rsid w:val="0036531C"/>
    <w:rsid w:val="00365636"/>
    <w:rsid w:val="003659C8"/>
    <w:rsid w:val="00365D46"/>
    <w:rsid w:val="00366E96"/>
    <w:rsid w:val="00367534"/>
    <w:rsid w:val="00367957"/>
    <w:rsid w:val="00367D57"/>
    <w:rsid w:val="00367DE5"/>
    <w:rsid w:val="00370218"/>
    <w:rsid w:val="003704EA"/>
    <w:rsid w:val="003709C5"/>
    <w:rsid w:val="0037125E"/>
    <w:rsid w:val="00371F02"/>
    <w:rsid w:val="0037288B"/>
    <w:rsid w:val="00372EE4"/>
    <w:rsid w:val="00373810"/>
    <w:rsid w:val="003746C8"/>
    <w:rsid w:val="00374829"/>
    <w:rsid w:val="00375981"/>
    <w:rsid w:val="003770C4"/>
    <w:rsid w:val="003778A2"/>
    <w:rsid w:val="0037793E"/>
    <w:rsid w:val="00380339"/>
    <w:rsid w:val="003804A2"/>
    <w:rsid w:val="00380561"/>
    <w:rsid w:val="00380829"/>
    <w:rsid w:val="003812D0"/>
    <w:rsid w:val="00381AB9"/>
    <w:rsid w:val="0038220D"/>
    <w:rsid w:val="00382B36"/>
    <w:rsid w:val="00383522"/>
    <w:rsid w:val="003845F8"/>
    <w:rsid w:val="0038495E"/>
    <w:rsid w:val="00384A0B"/>
    <w:rsid w:val="00384AA1"/>
    <w:rsid w:val="0038510A"/>
    <w:rsid w:val="00385B8A"/>
    <w:rsid w:val="003862D0"/>
    <w:rsid w:val="00386D8C"/>
    <w:rsid w:val="003908AD"/>
    <w:rsid w:val="00391A61"/>
    <w:rsid w:val="00391B2C"/>
    <w:rsid w:val="003928F0"/>
    <w:rsid w:val="00392D46"/>
    <w:rsid w:val="00394D05"/>
    <w:rsid w:val="00394DF4"/>
    <w:rsid w:val="00395E00"/>
    <w:rsid w:val="00395E18"/>
    <w:rsid w:val="003977CA"/>
    <w:rsid w:val="00397BA0"/>
    <w:rsid w:val="00397EC1"/>
    <w:rsid w:val="003A0493"/>
    <w:rsid w:val="003A0ED2"/>
    <w:rsid w:val="003A0F70"/>
    <w:rsid w:val="003A113F"/>
    <w:rsid w:val="003A25E1"/>
    <w:rsid w:val="003A25F4"/>
    <w:rsid w:val="003A25FF"/>
    <w:rsid w:val="003A3952"/>
    <w:rsid w:val="003A3E94"/>
    <w:rsid w:val="003A4146"/>
    <w:rsid w:val="003A4153"/>
    <w:rsid w:val="003A45F9"/>
    <w:rsid w:val="003A5056"/>
    <w:rsid w:val="003A69C0"/>
    <w:rsid w:val="003A6CC7"/>
    <w:rsid w:val="003A7948"/>
    <w:rsid w:val="003B05F1"/>
    <w:rsid w:val="003B0934"/>
    <w:rsid w:val="003B0DEC"/>
    <w:rsid w:val="003B13A2"/>
    <w:rsid w:val="003B165E"/>
    <w:rsid w:val="003B1DFF"/>
    <w:rsid w:val="003B2169"/>
    <w:rsid w:val="003B314C"/>
    <w:rsid w:val="003B3E95"/>
    <w:rsid w:val="003B4AA2"/>
    <w:rsid w:val="003B6506"/>
    <w:rsid w:val="003B6DA3"/>
    <w:rsid w:val="003B742F"/>
    <w:rsid w:val="003B7CA8"/>
    <w:rsid w:val="003C089D"/>
    <w:rsid w:val="003C1D50"/>
    <w:rsid w:val="003C2206"/>
    <w:rsid w:val="003C3099"/>
    <w:rsid w:val="003C40F4"/>
    <w:rsid w:val="003C4A03"/>
    <w:rsid w:val="003C52F6"/>
    <w:rsid w:val="003C5750"/>
    <w:rsid w:val="003C58CF"/>
    <w:rsid w:val="003C64A5"/>
    <w:rsid w:val="003C6ADF"/>
    <w:rsid w:val="003C6B23"/>
    <w:rsid w:val="003D0B21"/>
    <w:rsid w:val="003D1301"/>
    <w:rsid w:val="003D22C3"/>
    <w:rsid w:val="003D2438"/>
    <w:rsid w:val="003D26C0"/>
    <w:rsid w:val="003D2A7D"/>
    <w:rsid w:val="003D2AB1"/>
    <w:rsid w:val="003D2D0D"/>
    <w:rsid w:val="003D5A9F"/>
    <w:rsid w:val="003D6D0C"/>
    <w:rsid w:val="003D7900"/>
    <w:rsid w:val="003E1230"/>
    <w:rsid w:val="003E1C15"/>
    <w:rsid w:val="003E1DCE"/>
    <w:rsid w:val="003E250B"/>
    <w:rsid w:val="003E28AA"/>
    <w:rsid w:val="003E34FD"/>
    <w:rsid w:val="003E3D3E"/>
    <w:rsid w:val="003E449B"/>
    <w:rsid w:val="003E4A95"/>
    <w:rsid w:val="003E6B58"/>
    <w:rsid w:val="003E732B"/>
    <w:rsid w:val="003E7A0F"/>
    <w:rsid w:val="003E7D30"/>
    <w:rsid w:val="003F12A8"/>
    <w:rsid w:val="003F154B"/>
    <w:rsid w:val="003F1A86"/>
    <w:rsid w:val="003F1EF8"/>
    <w:rsid w:val="003F2341"/>
    <w:rsid w:val="003F26D8"/>
    <w:rsid w:val="003F27B3"/>
    <w:rsid w:val="003F2CA3"/>
    <w:rsid w:val="003F2D83"/>
    <w:rsid w:val="003F3369"/>
    <w:rsid w:val="003F3B7D"/>
    <w:rsid w:val="003F3B9E"/>
    <w:rsid w:val="003F56F3"/>
    <w:rsid w:val="003F6409"/>
    <w:rsid w:val="003F6B8C"/>
    <w:rsid w:val="00400A77"/>
    <w:rsid w:val="00400BC2"/>
    <w:rsid w:val="00400F0D"/>
    <w:rsid w:val="00400F71"/>
    <w:rsid w:val="00401201"/>
    <w:rsid w:val="004018EA"/>
    <w:rsid w:val="00403E93"/>
    <w:rsid w:val="00404172"/>
    <w:rsid w:val="00404916"/>
    <w:rsid w:val="00406156"/>
    <w:rsid w:val="00406B1C"/>
    <w:rsid w:val="00411AB1"/>
    <w:rsid w:val="0041364A"/>
    <w:rsid w:val="00413D4F"/>
    <w:rsid w:val="004151D1"/>
    <w:rsid w:val="004159E5"/>
    <w:rsid w:val="00415BD6"/>
    <w:rsid w:val="0041629E"/>
    <w:rsid w:val="0041633A"/>
    <w:rsid w:val="004174B3"/>
    <w:rsid w:val="0041786D"/>
    <w:rsid w:val="00420CF5"/>
    <w:rsid w:val="00421C5C"/>
    <w:rsid w:val="0042264F"/>
    <w:rsid w:val="00422713"/>
    <w:rsid w:val="004245CC"/>
    <w:rsid w:val="00424C13"/>
    <w:rsid w:val="00425204"/>
    <w:rsid w:val="004252C2"/>
    <w:rsid w:val="00426763"/>
    <w:rsid w:val="004278B6"/>
    <w:rsid w:val="00430B59"/>
    <w:rsid w:val="00430DFD"/>
    <w:rsid w:val="00431C3B"/>
    <w:rsid w:val="00431D59"/>
    <w:rsid w:val="00431FF7"/>
    <w:rsid w:val="00433811"/>
    <w:rsid w:val="00433E62"/>
    <w:rsid w:val="00433F9B"/>
    <w:rsid w:val="0043452D"/>
    <w:rsid w:val="00434ACB"/>
    <w:rsid w:val="004356EC"/>
    <w:rsid w:val="00435794"/>
    <w:rsid w:val="00435D29"/>
    <w:rsid w:val="00436B14"/>
    <w:rsid w:val="00437787"/>
    <w:rsid w:val="004377DF"/>
    <w:rsid w:val="0044079D"/>
    <w:rsid w:val="00440AC4"/>
    <w:rsid w:val="004411A6"/>
    <w:rsid w:val="00441665"/>
    <w:rsid w:val="0044292A"/>
    <w:rsid w:val="0044315B"/>
    <w:rsid w:val="00443BD6"/>
    <w:rsid w:val="00444201"/>
    <w:rsid w:val="004450E9"/>
    <w:rsid w:val="004455B6"/>
    <w:rsid w:val="00445EF9"/>
    <w:rsid w:val="004460F6"/>
    <w:rsid w:val="0044623F"/>
    <w:rsid w:val="00446701"/>
    <w:rsid w:val="00446A82"/>
    <w:rsid w:val="00446ABA"/>
    <w:rsid w:val="00446BFC"/>
    <w:rsid w:val="0045113B"/>
    <w:rsid w:val="004527C1"/>
    <w:rsid w:val="00452969"/>
    <w:rsid w:val="00453876"/>
    <w:rsid w:val="00453A72"/>
    <w:rsid w:val="00454589"/>
    <w:rsid w:val="00454959"/>
    <w:rsid w:val="00455FBB"/>
    <w:rsid w:val="00456355"/>
    <w:rsid w:val="00456458"/>
    <w:rsid w:val="00456536"/>
    <w:rsid w:val="0045689C"/>
    <w:rsid w:val="00456BA0"/>
    <w:rsid w:val="00456FDC"/>
    <w:rsid w:val="00457805"/>
    <w:rsid w:val="00457BA4"/>
    <w:rsid w:val="00457C1C"/>
    <w:rsid w:val="004615A1"/>
    <w:rsid w:val="004628E0"/>
    <w:rsid w:val="00462AA0"/>
    <w:rsid w:val="00463087"/>
    <w:rsid w:val="00463B00"/>
    <w:rsid w:val="00463D0A"/>
    <w:rsid w:val="00464053"/>
    <w:rsid w:val="00464216"/>
    <w:rsid w:val="00464BF3"/>
    <w:rsid w:val="00464CBC"/>
    <w:rsid w:val="00465290"/>
    <w:rsid w:val="00465B5F"/>
    <w:rsid w:val="0046733F"/>
    <w:rsid w:val="00467D16"/>
    <w:rsid w:val="00467E6A"/>
    <w:rsid w:val="00470019"/>
    <w:rsid w:val="00470452"/>
    <w:rsid w:val="004704A2"/>
    <w:rsid w:val="00470EFD"/>
    <w:rsid w:val="00470FFA"/>
    <w:rsid w:val="00471E30"/>
    <w:rsid w:val="0047258C"/>
    <w:rsid w:val="004726C8"/>
    <w:rsid w:val="0047345A"/>
    <w:rsid w:val="00473B06"/>
    <w:rsid w:val="00473C00"/>
    <w:rsid w:val="00474599"/>
    <w:rsid w:val="004748F6"/>
    <w:rsid w:val="00475050"/>
    <w:rsid w:val="00475441"/>
    <w:rsid w:val="00476441"/>
    <w:rsid w:val="0047734F"/>
    <w:rsid w:val="00477477"/>
    <w:rsid w:val="00480A27"/>
    <w:rsid w:val="00481161"/>
    <w:rsid w:val="00481720"/>
    <w:rsid w:val="00482440"/>
    <w:rsid w:val="004826D0"/>
    <w:rsid w:val="0048295E"/>
    <w:rsid w:val="0048314F"/>
    <w:rsid w:val="00483E93"/>
    <w:rsid w:val="00484DA9"/>
    <w:rsid w:val="00485775"/>
    <w:rsid w:val="0048686C"/>
    <w:rsid w:val="00486B53"/>
    <w:rsid w:val="004876CE"/>
    <w:rsid w:val="00487DCF"/>
    <w:rsid w:val="00487F09"/>
    <w:rsid w:val="00490255"/>
    <w:rsid w:val="00490886"/>
    <w:rsid w:val="00490903"/>
    <w:rsid w:val="00490D5F"/>
    <w:rsid w:val="00491C0F"/>
    <w:rsid w:val="00492EDA"/>
    <w:rsid w:val="0049495B"/>
    <w:rsid w:val="004955BD"/>
    <w:rsid w:val="00495953"/>
    <w:rsid w:val="00495E10"/>
    <w:rsid w:val="00495ED1"/>
    <w:rsid w:val="00496ACF"/>
    <w:rsid w:val="0049786C"/>
    <w:rsid w:val="00497CCD"/>
    <w:rsid w:val="004A0016"/>
    <w:rsid w:val="004A00AD"/>
    <w:rsid w:val="004A018B"/>
    <w:rsid w:val="004A07A0"/>
    <w:rsid w:val="004A0C52"/>
    <w:rsid w:val="004A12E3"/>
    <w:rsid w:val="004A1E2E"/>
    <w:rsid w:val="004A2988"/>
    <w:rsid w:val="004A324C"/>
    <w:rsid w:val="004A37E4"/>
    <w:rsid w:val="004A403A"/>
    <w:rsid w:val="004A43E2"/>
    <w:rsid w:val="004A5723"/>
    <w:rsid w:val="004A5752"/>
    <w:rsid w:val="004A5F8F"/>
    <w:rsid w:val="004A648D"/>
    <w:rsid w:val="004A64E3"/>
    <w:rsid w:val="004A705C"/>
    <w:rsid w:val="004A7145"/>
    <w:rsid w:val="004A7A21"/>
    <w:rsid w:val="004A7A64"/>
    <w:rsid w:val="004B070F"/>
    <w:rsid w:val="004B2BC4"/>
    <w:rsid w:val="004B2FFC"/>
    <w:rsid w:val="004B370D"/>
    <w:rsid w:val="004B4651"/>
    <w:rsid w:val="004B4D8D"/>
    <w:rsid w:val="004B5D9E"/>
    <w:rsid w:val="004B7635"/>
    <w:rsid w:val="004B7AF3"/>
    <w:rsid w:val="004C0037"/>
    <w:rsid w:val="004C024E"/>
    <w:rsid w:val="004C09F0"/>
    <w:rsid w:val="004C1877"/>
    <w:rsid w:val="004C247E"/>
    <w:rsid w:val="004C2C56"/>
    <w:rsid w:val="004C4AC9"/>
    <w:rsid w:val="004C5300"/>
    <w:rsid w:val="004C6135"/>
    <w:rsid w:val="004C6266"/>
    <w:rsid w:val="004C64A8"/>
    <w:rsid w:val="004C7570"/>
    <w:rsid w:val="004C78B5"/>
    <w:rsid w:val="004D01BE"/>
    <w:rsid w:val="004D0CEF"/>
    <w:rsid w:val="004D22CD"/>
    <w:rsid w:val="004D2655"/>
    <w:rsid w:val="004D31FC"/>
    <w:rsid w:val="004D3DB5"/>
    <w:rsid w:val="004D4657"/>
    <w:rsid w:val="004D4B6C"/>
    <w:rsid w:val="004D6780"/>
    <w:rsid w:val="004D72D2"/>
    <w:rsid w:val="004D7E6A"/>
    <w:rsid w:val="004E01A9"/>
    <w:rsid w:val="004E1BAD"/>
    <w:rsid w:val="004E1C18"/>
    <w:rsid w:val="004E1C32"/>
    <w:rsid w:val="004E26B9"/>
    <w:rsid w:val="004E2DF0"/>
    <w:rsid w:val="004E302D"/>
    <w:rsid w:val="004E37EF"/>
    <w:rsid w:val="004E3D4E"/>
    <w:rsid w:val="004E4019"/>
    <w:rsid w:val="004E54EA"/>
    <w:rsid w:val="004E56AF"/>
    <w:rsid w:val="004E586E"/>
    <w:rsid w:val="004E58A6"/>
    <w:rsid w:val="004E5AF9"/>
    <w:rsid w:val="004E60BB"/>
    <w:rsid w:val="004E6840"/>
    <w:rsid w:val="004E6B53"/>
    <w:rsid w:val="004E7E8B"/>
    <w:rsid w:val="004F02D3"/>
    <w:rsid w:val="004F1F30"/>
    <w:rsid w:val="004F20C2"/>
    <w:rsid w:val="004F248B"/>
    <w:rsid w:val="004F3579"/>
    <w:rsid w:val="004F3805"/>
    <w:rsid w:val="004F49B8"/>
    <w:rsid w:val="004F49BA"/>
    <w:rsid w:val="004F4E34"/>
    <w:rsid w:val="004F502F"/>
    <w:rsid w:val="004F65F4"/>
    <w:rsid w:val="004F71D2"/>
    <w:rsid w:val="004F73F8"/>
    <w:rsid w:val="005005B0"/>
    <w:rsid w:val="00500F02"/>
    <w:rsid w:val="00500F18"/>
    <w:rsid w:val="005011E3"/>
    <w:rsid w:val="0050197C"/>
    <w:rsid w:val="00501C09"/>
    <w:rsid w:val="00501FB4"/>
    <w:rsid w:val="00502695"/>
    <w:rsid w:val="00502902"/>
    <w:rsid w:val="00503AE4"/>
    <w:rsid w:val="00503D2A"/>
    <w:rsid w:val="005041B5"/>
    <w:rsid w:val="005055E5"/>
    <w:rsid w:val="00505DCD"/>
    <w:rsid w:val="00510938"/>
    <w:rsid w:val="00510965"/>
    <w:rsid w:val="0051178A"/>
    <w:rsid w:val="00511E82"/>
    <w:rsid w:val="00512036"/>
    <w:rsid w:val="00512113"/>
    <w:rsid w:val="0051235E"/>
    <w:rsid w:val="005139A9"/>
    <w:rsid w:val="005150FB"/>
    <w:rsid w:val="00516672"/>
    <w:rsid w:val="00520227"/>
    <w:rsid w:val="00520854"/>
    <w:rsid w:val="00521AC9"/>
    <w:rsid w:val="00521E3B"/>
    <w:rsid w:val="00522327"/>
    <w:rsid w:val="00523638"/>
    <w:rsid w:val="00524368"/>
    <w:rsid w:val="00524B36"/>
    <w:rsid w:val="00524F08"/>
    <w:rsid w:val="0052503D"/>
    <w:rsid w:val="00525654"/>
    <w:rsid w:val="005262FF"/>
    <w:rsid w:val="00526955"/>
    <w:rsid w:val="00527365"/>
    <w:rsid w:val="00527C6B"/>
    <w:rsid w:val="00527E66"/>
    <w:rsid w:val="00527E6E"/>
    <w:rsid w:val="005305DD"/>
    <w:rsid w:val="00530973"/>
    <w:rsid w:val="005314BF"/>
    <w:rsid w:val="005317CC"/>
    <w:rsid w:val="0053277D"/>
    <w:rsid w:val="00532B0B"/>
    <w:rsid w:val="00532EA8"/>
    <w:rsid w:val="00532F42"/>
    <w:rsid w:val="00534823"/>
    <w:rsid w:val="005352AE"/>
    <w:rsid w:val="005353FA"/>
    <w:rsid w:val="00535B3C"/>
    <w:rsid w:val="00535D29"/>
    <w:rsid w:val="00536030"/>
    <w:rsid w:val="005363D0"/>
    <w:rsid w:val="00536DF3"/>
    <w:rsid w:val="00541223"/>
    <w:rsid w:val="00541939"/>
    <w:rsid w:val="00541EA4"/>
    <w:rsid w:val="0054261B"/>
    <w:rsid w:val="00543139"/>
    <w:rsid w:val="005431F5"/>
    <w:rsid w:val="00543324"/>
    <w:rsid w:val="00543C06"/>
    <w:rsid w:val="005442EE"/>
    <w:rsid w:val="005443DD"/>
    <w:rsid w:val="00544426"/>
    <w:rsid w:val="00544925"/>
    <w:rsid w:val="00544A3C"/>
    <w:rsid w:val="00544DC1"/>
    <w:rsid w:val="00545910"/>
    <w:rsid w:val="00545B37"/>
    <w:rsid w:val="00546794"/>
    <w:rsid w:val="005467A8"/>
    <w:rsid w:val="00546AB3"/>
    <w:rsid w:val="005470B9"/>
    <w:rsid w:val="00547134"/>
    <w:rsid w:val="0054793F"/>
    <w:rsid w:val="00547995"/>
    <w:rsid w:val="00550333"/>
    <w:rsid w:val="00550846"/>
    <w:rsid w:val="005509E0"/>
    <w:rsid w:val="005516D9"/>
    <w:rsid w:val="005517F1"/>
    <w:rsid w:val="00551E9A"/>
    <w:rsid w:val="0055238F"/>
    <w:rsid w:val="00553F4A"/>
    <w:rsid w:val="00553FD6"/>
    <w:rsid w:val="00554D88"/>
    <w:rsid w:val="00555738"/>
    <w:rsid w:val="005557CD"/>
    <w:rsid w:val="00555B0C"/>
    <w:rsid w:val="00555D10"/>
    <w:rsid w:val="00556F0A"/>
    <w:rsid w:val="00557174"/>
    <w:rsid w:val="00557C8A"/>
    <w:rsid w:val="00560098"/>
    <w:rsid w:val="00560819"/>
    <w:rsid w:val="00560916"/>
    <w:rsid w:val="00560E60"/>
    <w:rsid w:val="005617BE"/>
    <w:rsid w:val="00561D58"/>
    <w:rsid w:val="00561FEB"/>
    <w:rsid w:val="00562342"/>
    <w:rsid w:val="00563B27"/>
    <w:rsid w:val="0056457A"/>
    <w:rsid w:val="00564B20"/>
    <w:rsid w:val="00564C11"/>
    <w:rsid w:val="00565B98"/>
    <w:rsid w:val="005660D1"/>
    <w:rsid w:val="00567146"/>
    <w:rsid w:val="00567EDB"/>
    <w:rsid w:val="00570251"/>
    <w:rsid w:val="0057081A"/>
    <w:rsid w:val="00571409"/>
    <w:rsid w:val="00572A31"/>
    <w:rsid w:val="00572EB6"/>
    <w:rsid w:val="0057335D"/>
    <w:rsid w:val="00574381"/>
    <w:rsid w:val="005762CA"/>
    <w:rsid w:val="005763B8"/>
    <w:rsid w:val="005763E9"/>
    <w:rsid w:val="00576DF0"/>
    <w:rsid w:val="00577390"/>
    <w:rsid w:val="005776FE"/>
    <w:rsid w:val="00577BBE"/>
    <w:rsid w:val="0058088C"/>
    <w:rsid w:val="0058135B"/>
    <w:rsid w:val="00581F97"/>
    <w:rsid w:val="0058305B"/>
    <w:rsid w:val="005836DE"/>
    <w:rsid w:val="00583B31"/>
    <w:rsid w:val="00583DEF"/>
    <w:rsid w:val="005845A7"/>
    <w:rsid w:val="00584A4F"/>
    <w:rsid w:val="00584E6F"/>
    <w:rsid w:val="00585005"/>
    <w:rsid w:val="005854DB"/>
    <w:rsid w:val="00585F50"/>
    <w:rsid w:val="00586186"/>
    <w:rsid w:val="00586DA7"/>
    <w:rsid w:val="0058700D"/>
    <w:rsid w:val="005902C3"/>
    <w:rsid w:val="0059065E"/>
    <w:rsid w:val="00590B38"/>
    <w:rsid w:val="005911B0"/>
    <w:rsid w:val="005913ED"/>
    <w:rsid w:val="00593042"/>
    <w:rsid w:val="00593157"/>
    <w:rsid w:val="005936F4"/>
    <w:rsid w:val="00594EF8"/>
    <w:rsid w:val="00595235"/>
    <w:rsid w:val="005954E9"/>
    <w:rsid w:val="005955DA"/>
    <w:rsid w:val="005959BA"/>
    <w:rsid w:val="00595DDF"/>
    <w:rsid w:val="005960AC"/>
    <w:rsid w:val="005975E6"/>
    <w:rsid w:val="00597F41"/>
    <w:rsid w:val="005A0C1E"/>
    <w:rsid w:val="005A14E7"/>
    <w:rsid w:val="005A15AA"/>
    <w:rsid w:val="005A2773"/>
    <w:rsid w:val="005A3DAF"/>
    <w:rsid w:val="005A415D"/>
    <w:rsid w:val="005A4360"/>
    <w:rsid w:val="005A4AD2"/>
    <w:rsid w:val="005A5392"/>
    <w:rsid w:val="005A558A"/>
    <w:rsid w:val="005A66AE"/>
    <w:rsid w:val="005A6EBA"/>
    <w:rsid w:val="005B0D73"/>
    <w:rsid w:val="005B133B"/>
    <w:rsid w:val="005B1554"/>
    <w:rsid w:val="005B20DD"/>
    <w:rsid w:val="005B2523"/>
    <w:rsid w:val="005B296C"/>
    <w:rsid w:val="005B2A97"/>
    <w:rsid w:val="005B2AE3"/>
    <w:rsid w:val="005B2EB2"/>
    <w:rsid w:val="005B2F33"/>
    <w:rsid w:val="005B3369"/>
    <w:rsid w:val="005B5B15"/>
    <w:rsid w:val="005B5BA2"/>
    <w:rsid w:val="005B5F03"/>
    <w:rsid w:val="005B6BC8"/>
    <w:rsid w:val="005C02E6"/>
    <w:rsid w:val="005C11E2"/>
    <w:rsid w:val="005C157A"/>
    <w:rsid w:val="005C4200"/>
    <w:rsid w:val="005C4C4F"/>
    <w:rsid w:val="005C51F5"/>
    <w:rsid w:val="005C594F"/>
    <w:rsid w:val="005C5CB2"/>
    <w:rsid w:val="005C6616"/>
    <w:rsid w:val="005C6B8A"/>
    <w:rsid w:val="005D05A2"/>
    <w:rsid w:val="005D17EA"/>
    <w:rsid w:val="005D3D7D"/>
    <w:rsid w:val="005D3F03"/>
    <w:rsid w:val="005D4AC1"/>
    <w:rsid w:val="005D543F"/>
    <w:rsid w:val="005D6492"/>
    <w:rsid w:val="005D7CC0"/>
    <w:rsid w:val="005E1B3F"/>
    <w:rsid w:val="005E1D22"/>
    <w:rsid w:val="005E48D3"/>
    <w:rsid w:val="005E4D85"/>
    <w:rsid w:val="005E604C"/>
    <w:rsid w:val="005E6E7D"/>
    <w:rsid w:val="005E710A"/>
    <w:rsid w:val="005E7753"/>
    <w:rsid w:val="005E7BA2"/>
    <w:rsid w:val="005F0A52"/>
    <w:rsid w:val="005F2612"/>
    <w:rsid w:val="005F27B3"/>
    <w:rsid w:val="005F280D"/>
    <w:rsid w:val="005F28A3"/>
    <w:rsid w:val="005F30F7"/>
    <w:rsid w:val="005F3557"/>
    <w:rsid w:val="005F42FC"/>
    <w:rsid w:val="005F4A74"/>
    <w:rsid w:val="005F5E28"/>
    <w:rsid w:val="005F6251"/>
    <w:rsid w:val="005F692B"/>
    <w:rsid w:val="005F7100"/>
    <w:rsid w:val="005F7AD0"/>
    <w:rsid w:val="005F7FE0"/>
    <w:rsid w:val="006009B6"/>
    <w:rsid w:val="00600CA5"/>
    <w:rsid w:val="00602544"/>
    <w:rsid w:val="00602FF2"/>
    <w:rsid w:val="006038D9"/>
    <w:rsid w:val="00603A70"/>
    <w:rsid w:val="00603C55"/>
    <w:rsid w:val="0060494E"/>
    <w:rsid w:val="006056AF"/>
    <w:rsid w:val="00605BB5"/>
    <w:rsid w:val="00606B6A"/>
    <w:rsid w:val="00610150"/>
    <w:rsid w:val="0061022C"/>
    <w:rsid w:val="006105E3"/>
    <w:rsid w:val="00610885"/>
    <w:rsid w:val="00611481"/>
    <w:rsid w:val="00611E72"/>
    <w:rsid w:val="00612173"/>
    <w:rsid w:val="0061338D"/>
    <w:rsid w:val="00613409"/>
    <w:rsid w:val="0061458F"/>
    <w:rsid w:val="00614AD8"/>
    <w:rsid w:val="00614D98"/>
    <w:rsid w:val="006158B3"/>
    <w:rsid w:val="0061591C"/>
    <w:rsid w:val="00615BF9"/>
    <w:rsid w:val="006169C5"/>
    <w:rsid w:val="00616A7C"/>
    <w:rsid w:val="00616C16"/>
    <w:rsid w:val="00617868"/>
    <w:rsid w:val="00617AA6"/>
    <w:rsid w:val="00620322"/>
    <w:rsid w:val="00620730"/>
    <w:rsid w:val="0062131E"/>
    <w:rsid w:val="006217FF"/>
    <w:rsid w:val="0062209B"/>
    <w:rsid w:val="00622223"/>
    <w:rsid w:val="0062254C"/>
    <w:rsid w:val="006238E2"/>
    <w:rsid w:val="006241B2"/>
    <w:rsid w:val="00625D37"/>
    <w:rsid w:val="0062720E"/>
    <w:rsid w:val="00627478"/>
    <w:rsid w:val="00627493"/>
    <w:rsid w:val="00627B94"/>
    <w:rsid w:val="006301D9"/>
    <w:rsid w:val="006304C5"/>
    <w:rsid w:val="00630520"/>
    <w:rsid w:val="00631091"/>
    <w:rsid w:val="006313AA"/>
    <w:rsid w:val="0063165B"/>
    <w:rsid w:val="00631924"/>
    <w:rsid w:val="00631AE1"/>
    <w:rsid w:val="00631E78"/>
    <w:rsid w:val="00632057"/>
    <w:rsid w:val="0063272B"/>
    <w:rsid w:val="006328A9"/>
    <w:rsid w:val="0063379D"/>
    <w:rsid w:val="006339C2"/>
    <w:rsid w:val="00634DFC"/>
    <w:rsid w:val="00635231"/>
    <w:rsid w:val="006364A8"/>
    <w:rsid w:val="006400BC"/>
    <w:rsid w:val="00641DEA"/>
    <w:rsid w:val="00642283"/>
    <w:rsid w:val="006428E6"/>
    <w:rsid w:val="00642F6C"/>
    <w:rsid w:val="00643691"/>
    <w:rsid w:val="006438E2"/>
    <w:rsid w:val="00643CCF"/>
    <w:rsid w:val="00643F0C"/>
    <w:rsid w:val="00643FA3"/>
    <w:rsid w:val="00644159"/>
    <w:rsid w:val="006443FD"/>
    <w:rsid w:val="006452F9"/>
    <w:rsid w:val="0064623E"/>
    <w:rsid w:val="006466BC"/>
    <w:rsid w:val="0065010B"/>
    <w:rsid w:val="00650477"/>
    <w:rsid w:val="00650FCF"/>
    <w:rsid w:val="006514E7"/>
    <w:rsid w:val="00651913"/>
    <w:rsid w:val="006528B1"/>
    <w:rsid w:val="00652909"/>
    <w:rsid w:val="00652A4B"/>
    <w:rsid w:val="00652E0A"/>
    <w:rsid w:val="0065411C"/>
    <w:rsid w:val="0065449A"/>
    <w:rsid w:val="0065750D"/>
    <w:rsid w:val="00657A33"/>
    <w:rsid w:val="00661B50"/>
    <w:rsid w:val="00663577"/>
    <w:rsid w:val="006637AB"/>
    <w:rsid w:val="00664BAE"/>
    <w:rsid w:val="00664BD9"/>
    <w:rsid w:val="00664DFB"/>
    <w:rsid w:val="006662FE"/>
    <w:rsid w:val="00666BE0"/>
    <w:rsid w:val="0066723C"/>
    <w:rsid w:val="0067031D"/>
    <w:rsid w:val="0067045D"/>
    <w:rsid w:val="00670F87"/>
    <w:rsid w:val="006717B5"/>
    <w:rsid w:val="0067219A"/>
    <w:rsid w:val="00672DC4"/>
    <w:rsid w:val="006735D8"/>
    <w:rsid w:val="00673C3A"/>
    <w:rsid w:val="00673C97"/>
    <w:rsid w:val="00674304"/>
    <w:rsid w:val="00675C0F"/>
    <w:rsid w:val="00675EBB"/>
    <w:rsid w:val="00676098"/>
    <w:rsid w:val="00676272"/>
    <w:rsid w:val="00676BEA"/>
    <w:rsid w:val="006778FE"/>
    <w:rsid w:val="006779C4"/>
    <w:rsid w:val="0068016E"/>
    <w:rsid w:val="006817A4"/>
    <w:rsid w:val="00681A8B"/>
    <w:rsid w:val="00682230"/>
    <w:rsid w:val="00682730"/>
    <w:rsid w:val="0068366E"/>
    <w:rsid w:val="00683EA9"/>
    <w:rsid w:val="00683F76"/>
    <w:rsid w:val="00684168"/>
    <w:rsid w:val="006848C8"/>
    <w:rsid w:val="00684D7D"/>
    <w:rsid w:val="00686348"/>
    <w:rsid w:val="00686F93"/>
    <w:rsid w:val="00687802"/>
    <w:rsid w:val="006879D6"/>
    <w:rsid w:val="00690666"/>
    <w:rsid w:val="00690813"/>
    <w:rsid w:val="0069119A"/>
    <w:rsid w:val="00691905"/>
    <w:rsid w:val="00691A34"/>
    <w:rsid w:val="00691B84"/>
    <w:rsid w:val="00691CEB"/>
    <w:rsid w:val="00691F38"/>
    <w:rsid w:val="006928E2"/>
    <w:rsid w:val="00693162"/>
    <w:rsid w:val="006937C6"/>
    <w:rsid w:val="0069430E"/>
    <w:rsid w:val="00694805"/>
    <w:rsid w:val="00695BAF"/>
    <w:rsid w:val="00695D8E"/>
    <w:rsid w:val="00696664"/>
    <w:rsid w:val="006966D5"/>
    <w:rsid w:val="00696A85"/>
    <w:rsid w:val="006977D4"/>
    <w:rsid w:val="006A0CA7"/>
    <w:rsid w:val="006A0FA8"/>
    <w:rsid w:val="006A215B"/>
    <w:rsid w:val="006A349F"/>
    <w:rsid w:val="006A4F7A"/>
    <w:rsid w:val="006A750F"/>
    <w:rsid w:val="006A757E"/>
    <w:rsid w:val="006A7CBA"/>
    <w:rsid w:val="006A7DF2"/>
    <w:rsid w:val="006B0314"/>
    <w:rsid w:val="006B081B"/>
    <w:rsid w:val="006B0D6D"/>
    <w:rsid w:val="006B0DBE"/>
    <w:rsid w:val="006B141E"/>
    <w:rsid w:val="006B1926"/>
    <w:rsid w:val="006B1D03"/>
    <w:rsid w:val="006B1D2A"/>
    <w:rsid w:val="006B1EA7"/>
    <w:rsid w:val="006B2FFD"/>
    <w:rsid w:val="006B30A0"/>
    <w:rsid w:val="006B39C6"/>
    <w:rsid w:val="006B3A3C"/>
    <w:rsid w:val="006B4443"/>
    <w:rsid w:val="006B48C5"/>
    <w:rsid w:val="006B5803"/>
    <w:rsid w:val="006B645C"/>
    <w:rsid w:val="006B7556"/>
    <w:rsid w:val="006B7678"/>
    <w:rsid w:val="006B7846"/>
    <w:rsid w:val="006C06F1"/>
    <w:rsid w:val="006C0A6B"/>
    <w:rsid w:val="006C2B63"/>
    <w:rsid w:val="006C3454"/>
    <w:rsid w:val="006C36C3"/>
    <w:rsid w:val="006C43A5"/>
    <w:rsid w:val="006C4DC4"/>
    <w:rsid w:val="006C52F1"/>
    <w:rsid w:val="006C59B4"/>
    <w:rsid w:val="006C7596"/>
    <w:rsid w:val="006C79EB"/>
    <w:rsid w:val="006C7F95"/>
    <w:rsid w:val="006D01CE"/>
    <w:rsid w:val="006D04F4"/>
    <w:rsid w:val="006D0C56"/>
    <w:rsid w:val="006D0CD5"/>
    <w:rsid w:val="006D107D"/>
    <w:rsid w:val="006D25FC"/>
    <w:rsid w:val="006D2D16"/>
    <w:rsid w:val="006D4AB8"/>
    <w:rsid w:val="006D5B08"/>
    <w:rsid w:val="006D5D9C"/>
    <w:rsid w:val="006D6028"/>
    <w:rsid w:val="006E03FE"/>
    <w:rsid w:val="006E0799"/>
    <w:rsid w:val="006E2FD7"/>
    <w:rsid w:val="006E309D"/>
    <w:rsid w:val="006E47F1"/>
    <w:rsid w:val="006E4E1B"/>
    <w:rsid w:val="006E5710"/>
    <w:rsid w:val="006E594F"/>
    <w:rsid w:val="006E5BBB"/>
    <w:rsid w:val="006E5BDB"/>
    <w:rsid w:val="006E655C"/>
    <w:rsid w:val="006E6623"/>
    <w:rsid w:val="006E71C9"/>
    <w:rsid w:val="006F11CA"/>
    <w:rsid w:val="006F299F"/>
    <w:rsid w:val="006F3037"/>
    <w:rsid w:val="006F3396"/>
    <w:rsid w:val="006F40EB"/>
    <w:rsid w:val="006F41C0"/>
    <w:rsid w:val="006F5B61"/>
    <w:rsid w:val="006F626D"/>
    <w:rsid w:val="006F6D92"/>
    <w:rsid w:val="007009E4"/>
    <w:rsid w:val="007049BF"/>
    <w:rsid w:val="00706427"/>
    <w:rsid w:val="00706802"/>
    <w:rsid w:val="0070797B"/>
    <w:rsid w:val="00707B52"/>
    <w:rsid w:val="00710167"/>
    <w:rsid w:val="0071125D"/>
    <w:rsid w:val="00712E71"/>
    <w:rsid w:val="007133B5"/>
    <w:rsid w:val="00714CA5"/>
    <w:rsid w:val="007153FE"/>
    <w:rsid w:val="007155C1"/>
    <w:rsid w:val="00715B31"/>
    <w:rsid w:val="00715EB0"/>
    <w:rsid w:val="007167B5"/>
    <w:rsid w:val="00716A1F"/>
    <w:rsid w:val="0071796D"/>
    <w:rsid w:val="0072188A"/>
    <w:rsid w:val="0072195E"/>
    <w:rsid w:val="00721B33"/>
    <w:rsid w:val="00721D85"/>
    <w:rsid w:val="007223DE"/>
    <w:rsid w:val="0072429E"/>
    <w:rsid w:val="007278A4"/>
    <w:rsid w:val="007306A3"/>
    <w:rsid w:val="00730B6D"/>
    <w:rsid w:val="0073203F"/>
    <w:rsid w:val="00732C2C"/>
    <w:rsid w:val="0073351B"/>
    <w:rsid w:val="00733BBA"/>
    <w:rsid w:val="00735135"/>
    <w:rsid w:val="00735CD4"/>
    <w:rsid w:val="0073613E"/>
    <w:rsid w:val="00736CAC"/>
    <w:rsid w:val="007370D9"/>
    <w:rsid w:val="0073712D"/>
    <w:rsid w:val="00737948"/>
    <w:rsid w:val="00737E9A"/>
    <w:rsid w:val="00740414"/>
    <w:rsid w:val="00740417"/>
    <w:rsid w:val="007409B5"/>
    <w:rsid w:val="00740BC5"/>
    <w:rsid w:val="0074115B"/>
    <w:rsid w:val="00741369"/>
    <w:rsid w:val="0074242B"/>
    <w:rsid w:val="0074247D"/>
    <w:rsid w:val="007424ED"/>
    <w:rsid w:val="007429A2"/>
    <w:rsid w:val="00742E45"/>
    <w:rsid w:val="00742E9F"/>
    <w:rsid w:val="00743195"/>
    <w:rsid w:val="00744314"/>
    <w:rsid w:val="00744A12"/>
    <w:rsid w:val="00745819"/>
    <w:rsid w:val="007462F3"/>
    <w:rsid w:val="00746B02"/>
    <w:rsid w:val="00746C8A"/>
    <w:rsid w:val="00746E3F"/>
    <w:rsid w:val="00747011"/>
    <w:rsid w:val="0074758B"/>
    <w:rsid w:val="00747664"/>
    <w:rsid w:val="00750581"/>
    <w:rsid w:val="00751850"/>
    <w:rsid w:val="00751FC1"/>
    <w:rsid w:val="007528FB"/>
    <w:rsid w:val="00752F3A"/>
    <w:rsid w:val="007531F0"/>
    <w:rsid w:val="00754289"/>
    <w:rsid w:val="00754E05"/>
    <w:rsid w:val="00754F0F"/>
    <w:rsid w:val="00755354"/>
    <w:rsid w:val="0075595E"/>
    <w:rsid w:val="00755D1D"/>
    <w:rsid w:val="00756081"/>
    <w:rsid w:val="0075611A"/>
    <w:rsid w:val="0076022C"/>
    <w:rsid w:val="00760C6D"/>
    <w:rsid w:val="00760DD5"/>
    <w:rsid w:val="00761455"/>
    <w:rsid w:val="007618AD"/>
    <w:rsid w:val="00761CC3"/>
    <w:rsid w:val="00761DFF"/>
    <w:rsid w:val="00761FDC"/>
    <w:rsid w:val="00762A94"/>
    <w:rsid w:val="0076442E"/>
    <w:rsid w:val="0076452B"/>
    <w:rsid w:val="0076453F"/>
    <w:rsid w:val="00765113"/>
    <w:rsid w:val="00765F7C"/>
    <w:rsid w:val="007661B8"/>
    <w:rsid w:val="007664BF"/>
    <w:rsid w:val="00766FD0"/>
    <w:rsid w:val="00767278"/>
    <w:rsid w:val="00767C25"/>
    <w:rsid w:val="00767C43"/>
    <w:rsid w:val="007703B9"/>
    <w:rsid w:val="00770512"/>
    <w:rsid w:val="00770963"/>
    <w:rsid w:val="007709C9"/>
    <w:rsid w:val="00770E9D"/>
    <w:rsid w:val="0077200F"/>
    <w:rsid w:val="00772892"/>
    <w:rsid w:val="00772D15"/>
    <w:rsid w:val="00772FED"/>
    <w:rsid w:val="0077325F"/>
    <w:rsid w:val="00773C3A"/>
    <w:rsid w:val="00774501"/>
    <w:rsid w:val="0077485E"/>
    <w:rsid w:val="00774DA9"/>
    <w:rsid w:val="00775A65"/>
    <w:rsid w:val="00777D38"/>
    <w:rsid w:val="00780D4A"/>
    <w:rsid w:val="00780D6C"/>
    <w:rsid w:val="00781D70"/>
    <w:rsid w:val="00781DF1"/>
    <w:rsid w:val="00781E23"/>
    <w:rsid w:val="00782378"/>
    <w:rsid w:val="007825D6"/>
    <w:rsid w:val="007826EE"/>
    <w:rsid w:val="00782BD4"/>
    <w:rsid w:val="00782DE3"/>
    <w:rsid w:val="00783EC1"/>
    <w:rsid w:val="00783FEB"/>
    <w:rsid w:val="007840EB"/>
    <w:rsid w:val="007847E5"/>
    <w:rsid w:val="00784912"/>
    <w:rsid w:val="007855B6"/>
    <w:rsid w:val="00785B95"/>
    <w:rsid w:val="00786407"/>
    <w:rsid w:val="0078663B"/>
    <w:rsid w:val="007868B4"/>
    <w:rsid w:val="00786FE4"/>
    <w:rsid w:val="00790AEC"/>
    <w:rsid w:val="007926D9"/>
    <w:rsid w:val="00792AF4"/>
    <w:rsid w:val="00792DE8"/>
    <w:rsid w:val="0079342E"/>
    <w:rsid w:val="00793713"/>
    <w:rsid w:val="00793985"/>
    <w:rsid w:val="00794ED7"/>
    <w:rsid w:val="00795640"/>
    <w:rsid w:val="00795FFF"/>
    <w:rsid w:val="0079777E"/>
    <w:rsid w:val="007A0836"/>
    <w:rsid w:val="007A1424"/>
    <w:rsid w:val="007A1601"/>
    <w:rsid w:val="007A1A76"/>
    <w:rsid w:val="007A306D"/>
    <w:rsid w:val="007A38E0"/>
    <w:rsid w:val="007A445B"/>
    <w:rsid w:val="007A4530"/>
    <w:rsid w:val="007A4EC4"/>
    <w:rsid w:val="007A52C6"/>
    <w:rsid w:val="007A6686"/>
    <w:rsid w:val="007A6869"/>
    <w:rsid w:val="007A6B37"/>
    <w:rsid w:val="007A715E"/>
    <w:rsid w:val="007A7479"/>
    <w:rsid w:val="007A7D06"/>
    <w:rsid w:val="007B0184"/>
    <w:rsid w:val="007B01E1"/>
    <w:rsid w:val="007B050E"/>
    <w:rsid w:val="007B15D4"/>
    <w:rsid w:val="007B2C96"/>
    <w:rsid w:val="007B2CC9"/>
    <w:rsid w:val="007B3F21"/>
    <w:rsid w:val="007B46B9"/>
    <w:rsid w:val="007B7066"/>
    <w:rsid w:val="007B72AC"/>
    <w:rsid w:val="007B7D6A"/>
    <w:rsid w:val="007C0A3E"/>
    <w:rsid w:val="007C1789"/>
    <w:rsid w:val="007C22D8"/>
    <w:rsid w:val="007C233B"/>
    <w:rsid w:val="007C32E4"/>
    <w:rsid w:val="007C3359"/>
    <w:rsid w:val="007C391B"/>
    <w:rsid w:val="007C43A7"/>
    <w:rsid w:val="007C5479"/>
    <w:rsid w:val="007C5BB3"/>
    <w:rsid w:val="007C5C72"/>
    <w:rsid w:val="007C6560"/>
    <w:rsid w:val="007C7078"/>
    <w:rsid w:val="007C7B76"/>
    <w:rsid w:val="007C7BDB"/>
    <w:rsid w:val="007C7C82"/>
    <w:rsid w:val="007C7D8C"/>
    <w:rsid w:val="007D05D5"/>
    <w:rsid w:val="007D0E63"/>
    <w:rsid w:val="007D2A14"/>
    <w:rsid w:val="007D2C18"/>
    <w:rsid w:val="007D2D72"/>
    <w:rsid w:val="007D38C5"/>
    <w:rsid w:val="007D4058"/>
    <w:rsid w:val="007D5572"/>
    <w:rsid w:val="007D6CA4"/>
    <w:rsid w:val="007D763B"/>
    <w:rsid w:val="007D7D86"/>
    <w:rsid w:val="007E05A4"/>
    <w:rsid w:val="007E179F"/>
    <w:rsid w:val="007E1C72"/>
    <w:rsid w:val="007E1F35"/>
    <w:rsid w:val="007E2607"/>
    <w:rsid w:val="007E3E9A"/>
    <w:rsid w:val="007E4818"/>
    <w:rsid w:val="007E71D6"/>
    <w:rsid w:val="007E76E5"/>
    <w:rsid w:val="007F195F"/>
    <w:rsid w:val="007F2234"/>
    <w:rsid w:val="007F32BE"/>
    <w:rsid w:val="007F3334"/>
    <w:rsid w:val="007F3C34"/>
    <w:rsid w:val="007F3EAE"/>
    <w:rsid w:val="007F457D"/>
    <w:rsid w:val="007F4CAF"/>
    <w:rsid w:val="007F4EF9"/>
    <w:rsid w:val="007F53EE"/>
    <w:rsid w:val="007F62CE"/>
    <w:rsid w:val="007F67D6"/>
    <w:rsid w:val="007F67D9"/>
    <w:rsid w:val="007F6965"/>
    <w:rsid w:val="007F7361"/>
    <w:rsid w:val="007F7369"/>
    <w:rsid w:val="007F77E5"/>
    <w:rsid w:val="00801C79"/>
    <w:rsid w:val="00802CCB"/>
    <w:rsid w:val="00802D56"/>
    <w:rsid w:val="00802F12"/>
    <w:rsid w:val="00804D41"/>
    <w:rsid w:val="0080604B"/>
    <w:rsid w:val="008063CC"/>
    <w:rsid w:val="00807D5D"/>
    <w:rsid w:val="0081046C"/>
    <w:rsid w:val="00812B4E"/>
    <w:rsid w:val="0081308A"/>
    <w:rsid w:val="0081414E"/>
    <w:rsid w:val="00815490"/>
    <w:rsid w:val="00815CA6"/>
    <w:rsid w:val="00816CA7"/>
    <w:rsid w:val="008178A5"/>
    <w:rsid w:val="00817DA4"/>
    <w:rsid w:val="00820078"/>
    <w:rsid w:val="00820982"/>
    <w:rsid w:val="00820DC6"/>
    <w:rsid w:val="00820E3B"/>
    <w:rsid w:val="00822219"/>
    <w:rsid w:val="00822CAB"/>
    <w:rsid w:val="0082363E"/>
    <w:rsid w:val="0082558A"/>
    <w:rsid w:val="00825FE2"/>
    <w:rsid w:val="008260E7"/>
    <w:rsid w:val="008279DF"/>
    <w:rsid w:val="00830183"/>
    <w:rsid w:val="00830D5D"/>
    <w:rsid w:val="00831074"/>
    <w:rsid w:val="008314AC"/>
    <w:rsid w:val="00831740"/>
    <w:rsid w:val="008326B0"/>
    <w:rsid w:val="00832FD0"/>
    <w:rsid w:val="008330A1"/>
    <w:rsid w:val="0083400C"/>
    <w:rsid w:val="008347F0"/>
    <w:rsid w:val="00836170"/>
    <w:rsid w:val="00836AAB"/>
    <w:rsid w:val="00837C97"/>
    <w:rsid w:val="0084185A"/>
    <w:rsid w:val="00841F7C"/>
    <w:rsid w:val="008421C0"/>
    <w:rsid w:val="00842C54"/>
    <w:rsid w:val="00842FF1"/>
    <w:rsid w:val="0084362B"/>
    <w:rsid w:val="00843DB1"/>
    <w:rsid w:val="00843E83"/>
    <w:rsid w:val="0084452E"/>
    <w:rsid w:val="00844C2D"/>
    <w:rsid w:val="00844E82"/>
    <w:rsid w:val="00845929"/>
    <w:rsid w:val="00846238"/>
    <w:rsid w:val="008475A5"/>
    <w:rsid w:val="00847BA8"/>
    <w:rsid w:val="00850635"/>
    <w:rsid w:val="00850669"/>
    <w:rsid w:val="00850B34"/>
    <w:rsid w:val="00851264"/>
    <w:rsid w:val="00851C1B"/>
    <w:rsid w:val="008530CE"/>
    <w:rsid w:val="00853EE2"/>
    <w:rsid w:val="00854549"/>
    <w:rsid w:val="00854D8C"/>
    <w:rsid w:val="0085519A"/>
    <w:rsid w:val="00855722"/>
    <w:rsid w:val="00855A59"/>
    <w:rsid w:val="00855E40"/>
    <w:rsid w:val="0085622A"/>
    <w:rsid w:val="00856871"/>
    <w:rsid w:val="00856979"/>
    <w:rsid w:val="008572DF"/>
    <w:rsid w:val="00860C4C"/>
    <w:rsid w:val="008622E6"/>
    <w:rsid w:val="00862B29"/>
    <w:rsid w:val="00862CEF"/>
    <w:rsid w:val="00862D2A"/>
    <w:rsid w:val="00862E98"/>
    <w:rsid w:val="00864621"/>
    <w:rsid w:val="00864E2C"/>
    <w:rsid w:val="008651E8"/>
    <w:rsid w:val="008659C2"/>
    <w:rsid w:val="00866F2A"/>
    <w:rsid w:val="00867130"/>
    <w:rsid w:val="0087062F"/>
    <w:rsid w:val="00870BA1"/>
    <w:rsid w:val="00871251"/>
    <w:rsid w:val="0087125A"/>
    <w:rsid w:val="00871311"/>
    <w:rsid w:val="00871EC0"/>
    <w:rsid w:val="00872A77"/>
    <w:rsid w:val="00873983"/>
    <w:rsid w:val="008747E2"/>
    <w:rsid w:val="0087557E"/>
    <w:rsid w:val="00875E1D"/>
    <w:rsid w:val="0087635D"/>
    <w:rsid w:val="0087689C"/>
    <w:rsid w:val="0087697B"/>
    <w:rsid w:val="0087703F"/>
    <w:rsid w:val="008805D7"/>
    <w:rsid w:val="00880996"/>
    <w:rsid w:val="00880A9D"/>
    <w:rsid w:val="00881EAA"/>
    <w:rsid w:val="008839D2"/>
    <w:rsid w:val="00885D8E"/>
    <w:rsid w:val="008863A5"/>
    <w:rsid w:val="00886883"/>
    <w:rsid w:val="00886F1B"/>
    <w:rsid w:val="0088785B"/>
    <w:rsid w:val="00887EB7"/>
    <w:rsid w:val="008917B8"/>
    <w:rsid w:val="00892C0E"/>
    <w:rsid w:val="008930B2"/>
    <w:rsid w:val="0089319A"/>
    <w:rsid w:val="00893236"/>
    <w:rsid w:val="0089421C"/>
    <w:rsid w:val="00894279"/>
    <w:rsid w:val="00894CAA"/>
    <w:rsid w:val="00895AB2"/>
    <w:rsid w:val="00895F73"/>
    <w:rsid w:val="00895FAF"/>
    <w:rsid w:val="008975EC"/>
    <w:rsid w:val="008978A0"/>
    <w:rsid w:val="008A037E"/>
    <w:rsid w:val="008A0F5F"/>
    <w:rsid w:val="008A21A2"/>
    <w:rsid w:val="008A2775"/>
    <w:rsid w:val="008A2914"/>
    <w:rsid w:val="008A381A"/>
    <w:rsid w:val="008A3A7E"/>
    <w:rsid w:val="008A4A1A"/>
    <w:rsid w:val="008A710A"/>
    <w:rsid w:val="008A7702"/>
    <w:rsid w:val="008A7D0F"/>
    <w:rsid w:val="008A7E08"/>
    <w:rsid w:val="008B05B1"/>
    <w:rsid w:val="008B0B4C"/>
    <w:rsid w:val="008B0B4F"/>
    <w:rsid w:val="008B0D91"/>
    <w:rsid w:val="008B2A16"/>
    <w:rsid w:val="008B348F"/>
    <w:rsid w:val="008B394F"/>
    <w:rsid w:val="008B44F9"/>
    <w:rsid w:val="008B486C"/>
    <w:rsid w:val="008B4D1F"/>
    <w:rsid w:val="008B4D22"/>
    <w:rsid w:val="008B5498"/>
    <w:rsid w:val="008B66F4"/>
    <w:rsid w:val="008B6847"/>
    <w:rsid w:val="008B6AFD"/>
    <w:rsid w:val="008B70E0"/>
    <w:rsid w:val="008B77D4"/>
    <w:rsid w:val="008B7FC9"/>
    <w:rsid w:val="008C17F0"/>
    <w:rsid w:val="008C28F8"/>
    <w:rsid w:val="008C343A"/>
    <w:rsid w:val="008C3450"/>
    <w:rsid w:val="008C54DA"/>
    <w:rsid w:val="008C591C"/>
    <w:rsid w:val="008C658F"/>
    <w:rsid w:val="008C77C0"/>
    <w:rsid w:val="008C787C"/>
    <w:rsid w:val="008D0413"/>
    <w:rsid w:val="008D1254"/>
    <w:rsid w:val="008D1A95"/>
    <w:rsid w:val="008D20AF"/>
    <w:rsid w:val="008D2313"/>
    <w:rsid w:val="008D2749"/>
    <w:rsid w:val="008D2FD6"/>
    <w:rsid w:val="008D3A47"/>
    <w:rsid w:val="008D3B2F"/>
    <w:rsid w:val="008D3CEC"/>
    <w:rsid w:val="008D4713"/>
    <w:rsid w:val="008D4DC9"/>
    <w:rsid w:val="008D5880"/>
    <w:rsid w:val="008D609E"/>
    <w:rsid w:val="008D6B31"/>
    <w:rsid w:val="008D6DF9"/>
    <w:rsid w:val="008E0173"/>
    <w:rsid w:val="008E27DA"/>
    <w:rsid w:val="008E31FE"/>
    <w:rsid w:val="008E36C2"/>
    <w:rsid w:val="008E3936"/>
    <w:rsid w:val="008E4CEF"/>
    <w:rsid w:val="008E52F5"/>
    <w:rsid w:val="008E5EE7"/>
    <w:rsid w:val="008E634C"/>
    <w:rsid w:val="008F0FAF"/>
    <w:rsid w:val="008F0FFC"/>
    <w:rsid w:val="008F230F"/>
    <w:rsid w:val="008F2C2B"/>
    <w:rsid w:val="008F3ADC"/>
    <w:rsid w:val="008F3D6A"/>
    <w:rsid w:val="008F4598"/>
    <w:rsid w:val="008F4EDA"/>
    <w:rsid w:val="008F52E9"/>
    <w:rsid w:val="008F7C52"/>
    <w:rsid w:val="008F7DFA"/>
    <w:rsid w:val="00900172"/>
    <w:rsid w:val="00900CDF"/>
    <w:rsid w:val="009011D9"/>
    <w:rsid w:val="0090202D"/>
    <w:rsid w:val="009023F6"/>
    <w:rsid w:val="009025AD"/>
    <w:rsid w:val="00902946"/>
    <w:rsid w:val="00902C3F"/>
    <w:rsid w:val="009036AF"/>
    <w:rsid w:val="00904F8B"/>
    <w:rsid w:val="009052B2"/>
    <w:rsid w:val="00906B33"/>
    <w:rsid w:val="0090737E"/>
    <w:rsid w:val="00907811"/>
    <w:rsid w:val="009078F8"/>
    <w:rsid w:val="00910A6D"/>
    <w:rsid w:val="00912F4A"/>
    <w:rsid w:val="0091332A"/>
    <w:rsid w:val="0091335D"/>
    <w:rsid w:val="009133F6"/>
    <w:rsid w:val="0091547F"/>
    <w:rsid w:val="00915684"/>
    <w:rsid w:val="00917040"/>
    <w:rsid w:val="00917E91"/>
    <w:rsid w:val="009200E6"/>
    <w:rsid w:val="009205F6"/>
    <w:rsid w:val="00920AB0"/>
    <w:rsid w:val="009216F8"/>
    <w:rsid w:val="00922F8E"/>
    <w:rsid w:val="0092318E"/>
    <w:rsid w:val="00923AC2"/>
    <w:rsid w:val="009243EA"/>
    <w:rsid w:val="009251BE"/>
    <w:rsid w:val="00925D72"/>
    <w:rsid w:val="009262FF"/>
    <w:rsid w:val="0092644E"/>
    <w:rsid w:val="009270D3"/>
    <w:rsid w:val="00927347"/>
    <w:rsid w:val="00927557"/>
    <w:rsid w:val="00927F44"/>
    <w:rsid w:val="009300B8"/>
    <w:rsid w:val="009308E5"/>
    <w:rsid w:val="0093125D"/>
    <w:rsid w:val="009312C7"/>
    <w:rsid w:val="009314BC"/>
    <w:rsid w:val="0093151B"/>
    <w:rsid w:val="0093426F"/>
    <w:rsid w:val="00934497"/>
    <w:rsid w:val="00934EF7"/>
    <w:rsid w:val="009355E7"/>
    <w:rsid w:val="0093595A"/>
    <w:rsid w:val="00935CFE"/>
    <w:rsid w:val="0093717B"/>
    <w:rsid w:val="00937236"/>
    <w:rsid w:val="00937412"/>
    <w:rsid w:val="00937D65"/>
    <w:rsid w:val="00940433"/>
    <w:rsid w:val="009415AF"/>
    <w:rsid w:val="009415F8"/>
    <w:rsid w:val="00941887"/>
    <w:rsid w:val="00942CBC"/>
    <w:rsid w:val="00943B0B"/>
    <w:rsid w:val="00943DB5"/>
    <w:rsid w:val="00943F97"/>
    <w:rsid w:val="00944876"/>
    <w:rsid w:val="00944BA5"/>
    <w:rsid w:val="00944BAC"/>
    <w:rsid w:val="00944FFA"/>
    <w:rsid w:val="009456A5"/>
    <w:rsid w:val="00946108"/>
    <w:rsid w:val="00947006"/>
    <w:rsid w:val="00947060"/>
    <w:rsid w:val="00947119"/>
    <w:rsid w:val="00950398"/>
    <w:rsid w:val="0095202B"/>
    <w:rsid w:val="009524E4"/>
    <w:rsid w:val="009531FA"/>
    <w:rsid w:val="00953E67"/>
    <w:rsid w:val="00953F05"/>
    <w:rsid w:val="00954086"/>
    <w:rsid w:val="009543BB"/>
    <w:rsid w:val="00954747"/>
    <w:rsid w:val="00954E49"/>
    <w:rsid w:val="0095529C"/>
    <w:rsid w:val="00955570"/>
    <w:rsid w:val="00956385"/>
    <w:rsid w:val="00956961"/>
    <w:rsid w:val="0095788F"/>
    <w:rsid w:val="00960B98"/>
    <w:rsid w:val="00961D43"/>
    <w:rsid w:val="00961F03"/>
    <w:rsid w:val="00962578"/>
    <w:rsid w:val="0096583C"/>
    <w:rsid w:val="00965A42"/>
    <w:rsid w:val="009674C8"/>
    <w:rsid w:val="00967CEA"/>
    <w:rsid w:val="00967E91"/>
    <w:rsid w:val="0097021F"/>
    <w:rsid w:val="009732F0"/>
    <w:rsid w:val="00973B8E"/>
    <w:rsid w:val="009740B0"/>
    <w:rsid w:val="00974B34"/>
    <w:rsid w:val="00974D1F"/>
    <w:rsid w:val="00975C69"/>
    <w:rsid w:val="009761E5"/>
    <w:rsid w:val="009769A5"/>
    <w:rsid w:val="00977208"/>
    <w:rsid w:val="009774CB"/>
    <w:rsid w:val="00977969"/>
    <w:rsid w:val="0098058F"/>
    <w:rsid w:val="00980A5C"/>
    <w:rsid w:val="00980AA8"/>
    <w:rsid w:val="009815D9"/>
    <w:rsid w:val="0098195D"/>
    <w:rsid w:val="00981B45"/>
    <w:rsid w:val="009835B9"/>
    <w:rsid w:val="00983693"/>
    <w:rsid w:val="00983E18"/>
    <w:rsid w:val="009842B8"/>
    <w:rsid w:val="009844C4"/>
    <w:rsid w:val="00984DF8"/>
    <w:rsid w:val="009872E4"/>
    <w:rsid w:val="00987708"/>
    <w:rsid w:val="009877C0"/>
    <w:rsid w:val="009905F4"/>
    <w:rsid w:val="009907DA"/>
    <w:rsid w:val="0099243C"/>
    <w:rsid w:val="00993213"/>
    <w:rsid w:val="00993C03"/>
    <w:rsid w:val="0099512C"/>
    <w:rsid w:val="00995E6B"/>
    <w:rsid w:val="00996384"/>
    <w:rsid w:val="0099688D"/>
    <w:rsid w:val="00996BE8"/>
    <w:rsid w:val="00997720"/>
    <w:rsid w:val="009978E1"/>
    <w:rsid w:val="00997FB2"/>
    <w:rsid w:val="009A06F1"/>
    <w:rsid w:val="009A5127"/>
    <w:rsid w:val="009A558D"/>
    <w:rsid w:val="009A55E7"/>
    <w:rsid w:val="009A74C1"/>
    <w:rsid w:val="009A7B51"/>
    <w:rsid w:val="009B0100"/>
    <w:rsid w:val="009B0E3A"/>
    <w:rsid w:val="009B0F79"/>
    <w:rsid w:val="009B164F"/>
    <w:rsid w:val="009B26B5"/>
    <w:rsid w:val="009B2B3E"/>
    <w:rsid w:val="009B372D"/>
    <w:rsid w:val="009B3ABA"/>
    <w:rsid w:val="009B3E9B"/>
    <w:rsid w:val="009B423D"/>
    <w:rsid w:val="009B450E"/>
    <w:rsid w:val="009B4A5D"/>
    <w:rsid w:val="009B57EB"/>
    <w:rsid w:val="009B58AD"/>
    <w:rsid w:val="009B5AFD"/>
    <w:rsid w:val="009B5D24"/>
    <w:rsid w:val="009B7B04"/>
    <w:rsid w:val="009B7B07"/>
    <w:rsid w:val="009C17E1"/>
    <w:rsid w:val="009C1903"/>
    <w:rsid w:val="009C1B51"/>
    <w:rsid w:val="009C1D1A"/>
    <w:rsid w:val="009C1E98"/>
    <w:rsid w:val="009C2B01"/>
    <w:rsid w:val="009C320B"/>
    <w:rsid w:val="009C5409"/>
    <w:rsid w:val="009C5AE4"/>
    <w:rsid w:val="009C5BBA"/>
    <w:rsid w:val="009C6415"/>
    <w:rsid w:val="009C7369"/>
    <w:rsid w:val="009C7937"/>
    <w:rsid w:val="009D01EB"/>
    <w:rsid w:val="009D0347"/>
    <w:rsid w:val="009D0B2E"/>
    <w:rsid w:val="009D19F9"/>
    <w:rsid w:val="009D2685"/>
    <w:rsid w:val="009D3C41"/>
    <w:rsid w:val="009D449A"/>
    <w:rsid w:val="009D52B2"/>
    <w:rsid w:val="009D551C"/>
    <w:rsid w:val="009D5794"/>
    <w:rsid w:val="009D6302"/>
    <w:rsid w:val="009D69C9"/>
    <w:rsid w:val="009E1212"/>
    <w:rsid w:val="009E1F95"/>
    <w:rsid w:val="009E3165"/>
    <w:rsid w:val="009E386C"/>
    <w:rsid w:val="009E3BA4"/>
    <w:rsid w:val="009E4653"/>
    <w:rsid w:val="009E4DED"/>
    <w:rsid w:val="009E5124"/>
    <w:rsid w:val="009E5CE5"/>
    <w:rsid w:val="009E6A5F"/>
    <w:rsid w:val="009E6AD6"/>
    <w:rsid w:val="009E7B5A"/>
    <w:rsid w:val="009F0598"/>
    <w:rsid w:val="009F0F94"/>
    <w:rsid w:val="009F19CA"/>
    <w:rsid w:val="009F201C"/>
    <w:rsid w:val="009F2CC7"/>
    <w:rsid w:val="009F353E"/>
    <w:rsid w:val="009F43F6"/>
    <w:rsid w:val="009F47E0"/>
    <w:rsid w:val="009F5A27"/>
    <w:rsid w:val="009F65C6"/>
    <w:rsid w:val="009F6F0C"/>
    <w:rsid w:val="009F79D0"/>
    <w:rsid w:val="009F7A28"/>
    <w:rsid w:val="00A0079C"/>
    <w:rsid w:val="00A00A06"/>
    <w:rsid w:val="00A0262B"/>
    <w:rsid w:val="00A02D1C"/>
    <w:rsid w:val="00A03B5D"/>
    <w:rsid w:val="00A04AB8"/>
    <w:rsid w:val="00A063D5"/>
    <w:rsid w:val="00A06716"/>
    <w:rsid w:val="00A06C57"/>
    <w:rsid w:val="00A07865"/>
    <w:rsid w:val="00A07987"/>
    <w:rsid w:val="00A10655"/>
    <w:rsid w:val="00A10D63"/>
    <w:rsid w:val="00A10F53"/>
    <w:rsid w:val="00A112E4"/>
    <w:rsid w:val="00A1179C"/>
    <w:rsid w:val="00A12403"/>
    <w:rsid w:val="00A1296B"/>
    <w:rsid w:val="00A13A55"/>
    <w:rsid w:val="00A14049"/>
    <w:rsid w:val="00A1464F"/>
    <w:rsid w:val="00A14678"/>
    <w:rsid w:val="00A149BE"/>
    <w:rsid w:val="00A15161"/>
    <w:rsid w:val="00A15A57"/>
    <w:rsid w:val="00A173A2"/>
    <w:rsid w:val="00A206D7"/>
    <w:rsid w:val="00A20920"/>
    <w:rsid w:val="00A2141F"/>
    <w:rsid w:val="00A21A22"/>
    <w:rsid w:val="00A222BE"/>
    <w:rsid w:val="00A22680"/>
    <w:rsid w:val="00A22A17"/>
    <w:rsid w:val="00A22A2E"/>
    <w:rsid w:val="00A2321F"/>
    <w:rsid w:val="00A24C70"/>
    <w:rsid w:val="00A24E53"/>
    <w:rsid w:val="00A25371"/>
    <w:rsid w:val="00A26797"/>
    <w:rsid w:val="00A27339"/>
    <w:rsid w:val="00A27612"/>
    <w:rsid w:val="00A276A5"/>
    <w:rsid w:val="00A2780A"/>
    <w:rsid w:val="00A301E7"/>
    <w:rsid w:val="00A30CAC"/>
    <w:rsid w:val="00A30E8C"/>
    <w:rsid w:val="00A31A47"/>
    <w:rsid w:val="00A32203"/>
    <w:rsid w:val="00A32834"/>
    <w:rsid w:val="00A328C3"/>
    <w:rsid w:val="00A33C17"/>
    <w:rsid w:val="00A34071"/>
    <w:rsid w:val="00A343B6"/>
    <w:rsid w:val="00A344A6"/>
    <w:rsid w:val="00A36F92"/>
    <w:rsid w:val="00A370C8"/>
    <w:rsid w:val="00A40D1F"/>
    <w:rsid w:val="00A42320"/>
    <w:rsid w:val="00A42C80"/>
    <w:rsid w:val="00A43A37"/>
    <w:rsid w:val="00A43D33"/>
    <w:rsid w:val="00A43EDA"/>
    <w:rsid w:val="00A43FEF"/>
    <w:rsid w:val="00A44B2F"/>
    <w:rsid w:val="00A44C67"/>
    <w:rsid w:val="00A46276"/>
    <w:rsid w:val="00A46303"/>
    <w:rsid w:val="00A507B7"/>
    <w:rsid w:val="00A50837"/>
    <w:rsid w:val="00A50946"/>
    <w:rsid w:val="00A512E3"/>
    <w:rsid w:val="00A519C6"/>
    <w:rsid w:val="00A527B5"/>
    <w:rsid w:val="00A52A07"/>
    <w:rsid w:val="00A52B78"/>
    <w:rsid w:val="00A5432A"/>
    <w:rsid w:val="00A547A9"/>
    <w:rsid w:val="00A5495C"/>
    <w:rsid w:val="00A55914"/>
    <w:rsid w:val="00A55FC4"/>
    <w:rsid w:val="00A5607F"/>
    <w:rsid w:val="00A56400"/>
    <w:rsid w:val="00A5643C"/>
    <w:rsid w:val="00A5690D"/>
    <w:rsid w:val="00A56BC8"/>
    <w:rsid w:val="00A61FC2"/>
    <w:rsid w:val="00A62075"/>
    <w:rsid w:val="00A62148"/>
    <w:rsid w:val="00A6239E"/>
    <w:rsid w:val="00A624B3"/>
    <w:rsid w:val="00A6293A"/>
    <w:rsid w:val="00A62C6F"/>
    <w:rsid w:val="00A62F13"/>
    <w:rsid w:val="00A6307C"/>
    <w:rsid w:val="00A6472D"/>
    <w:rsid w:val="00A64834"/>
    <w:rsid w:val="00A65D6B"/>
    <w:rsid w:val="00A67A40"/>
    <w:rsid w:val="00A67A88"/>
    <w:rsid w:val="00A706FC"/>
    <w:rsid w:val="00A71532"/>
    <w:rsid w:val="00A71D96"/>
    <w:rsid w:val="00A72146"/>
    <w:rsid w:val="00A73124"/>
    <w:rsid w:val="00A7364B"/>
    <w:rsid w:val="00A73ABC"/>
    <w:rsid w:val="00A73D34"/>
    <w:rsid w:val="00A7471F"/>
    <w:rsid w:val="00A74CC4"/>
    <w:rsid w:val="00A770B9"/>
    <w:rsid w:val="00A77570"/>
    <w:rsid w:val="00A801BD"/>
    <w:rsid w:val="00A80587"/>
    <w:rsid w:val="00A80EEF"/>
    <w:rsid w:val="00A81481"/>
    <w:rsid w:val="00A81592"/>
    <w:rsid w:val="00A821F9"/>
    <w:rsid w:val="00A8226E"/>
    <w:rsid w:val="00A830B7"/>
    <w:rsid w:val="00A836EF"/>
    <w:rsid w:val="00A83BBD"/>
    <w:rsid w:val="00A84B45"/>
    <w:rsid w:val="00A84FED"/>
    <w:rsid w:val="00A8517F"/>
    <w:rsid w:val="00A8546D"/>
    <w:rsid w:val="00A854C7"/>
    <w:rsid w:val="00A85ACC"/>
    <w:rsid w:val="00A8661D"/>
    <w:rsid w:val="00A86BC6"/>
    <w:rsid w:val="00A86DAE"/>
    <w:rsid w:val="00A8766E"/>
    <w:rsid w:val="00A902A3"/>
    <w:rsid w:val="00A90D9D"/>
    <w:rsid w:val="00A9180D"/>
    <w:rsid w:val="00A932B0"/>
    <w:rsid w:val="00A932DC"/>
    <w:rsid w:val="00A94E86"/>
    <w:rsid w:val="00A96831"/>
    <w:rsid w:val="00AA0969"/>
    <w:rsid w:val="00AA1970"/>
    <w:rsid w:val="00AA1C19"/>
    <w:rsid w:val="00AA2D46"/>
    <w:rsid w:val="00AA41AC"/>
    <w:rsid w:val="00AA431D"/>
    <w:rsid w:val="00AA4A8A"/>
    <w:rsid w:val="00AA4DA3"/>
    <w:rsid w:val="00AA50F8"/>
    <w:rsid w:val="00AA5DDB"/>
    <w:rsid w:val="00AA5F8B"/>
    <w:rsid w:val="00AA6610"/>
    <w:rsid w:val="00AA67B1"/>
    <w:rsid w:val="00AA6C78"/>
    <w:rsid w:val="00AA6E88"/>
    <w:rsid w:val="00AA7288"/>
    <w:rsid w:val="00AA7E53"/>
    <w:rsid w:val="00AB0736"/>
    <w:rsid w:val="00AB0A4C"/>
    <w:rsid w:val="00AB1C07"/>
    <w:rsid w:val="00AB2978"/>
    <w:rsid w:val="00AB316E"/>
    <w:rsid w:val="00AB3BBA"/>
    <w:rsid w:val="00AB3EF3"/>
    <w:rsid w:val="00AB3F22"/>
    <w:rsid w:val="00AB52E2"/>
    <w:rsid w:val="00AB54EF"/>
    <w:rsid w:val="00AB71B4"/>
    <w:rsid w:val="00AB7DD8"/>
    <w:rsid w:val="00AC00E4"/>
    <w:rsid w:val="00AC0259"/>
    <w:rsid w:val="00AC05F1"/>
    <w:rsid w:val="00AC0612"/>
    <w:rsid w:val="00AC09C5"/>
    <w:rsid w:val="00AC15F0"/>
    <w:rsid w:val="00AC2CA2"/>
    <w:rsid w:val="00AC319F"/>
    <w:rsid w:val="00AC34FB"/>
    <w:rsid w:val="00AC4738"/>
    <w:rsid w:val="00AC5192"/>
    <w:rsid w:val="00AC64AF"/>
    <w:rsid w:val="00AC66A1"/>
    <w:rsid w:val="00AC703F"/>
    <w:rsid w:val="00AC79B5"/>
    <w:rsid w:val="00AD01F1"/>
    <w:rsid w:val="00AD04C9"/>
    <w:rsid w:val="00AD2014"/>
    <w:rsid w:val="00AD293F"/>
    <w:rsid w:val="00AD308B"/>
    <w:rsid w:val="00AD33F9"/>
    <w:rsid w:val="00AD39D8"/>
    <w:rsid w:val="00AD3C5A"/>
    <w:rsid w:val="00AD3F6C"/>
    <w:rsid w:val="00AD48A0"/>
    <w:rsid w:val="00AD521B"/>
    <w:rsid w:val="00AD6947"/>
    <w:rsid w:val="00AE010A"/>
    <w:rsid w:val="00AE03CD"/>
    <w:rsid w:val="00AE1523"/>
    <w:rsid w:val="00AE2192"/>
    <w:rsid w:val="00AE4104"/>
    <w:rsid w:val="00AE5687"/>
    <w:rsid w:val="00AE5F29"/>
    <w:rsid w:val="00AE62D7"/>
    <w:rsid w:val="00AE730D"/>
    <w:rsid w:val="00AF03E9"/>
    <w:rsid w:val="00AF31DB"/>
    <w:rsid w:val="00AF3286"/>
    <w:rsid w:val="00AF4043"/>
    <w:rsid w:val="00AF415F"/>
    <w:rsid w:val="00AF4A32"/>
    <w:rsid w:val="00AF4C17"/>
    <w:rsid w:val="00AF5213"/>
    <w:rsid w:val="00AF5F40"/>
    <w:rsid w:val="00AF6EB2"/>
    <w:rsid w:val="00AF7463"/>
    <w:rsid w:val="00B00F5E"/>
    <w:rsid w:val="00B01F61"/>
    <w:rsid w:val="00B02E2F"/>
    <w:rsid w:val="00B03264"/>
    <w:rsid w:val="00B03BF5"/>
    <w:rsid w:val="00B042FB"/>
    <w:rsid w:val="00B06B95"/>
    <w:rsid w:val="00B10AEB"/>
    <w:rsid w:val="00B10E37"/>
    <w:rsid w:val="00B13054"/>
    <w:rsid w:val="00B13A85"/>
    <w:rsid w:val="00B144EA"/>
    <w:rsid w:val="00B14830"/>
    <w:rsid w:val="00B149E8"/>
    <w:rsid w:val="00B15A88"/>
    <w:rsid w:val="00B15F32"/>
    <w:rsid w:val="00B16CBA"/>
    <w:rsid w:val="00B207F2"/>
    <w:rsid w:val="00B22435"/>
    <w:rsid w:val="00B235DD"/>
    <w:rsid w:val="00B237C4"/>
    <w:rsid w:val="00B23BA3"/>
    <w:rsid w:val="00B23DC4"/>
    <w:rsid w:val="00B24002"/>
    <w:rsid w:val="00B2440F"/>
    <w:rsid w:val="00B24571"/>
    <w:rsid w:val="00B24986"/>
    <w:rsid w:val="00B24C10"/>
    <w:rsid w:val="00B263E0"/>
    <w:rsid w:val="00B26C45"/>
    <w:rsid w:val="00B26EA7"/>
    <w:rsid w:val="00B27156"/>
    <w:rsid w:val="00B27850"/>
    <w:rsid w:val="00B3126F"/>
    <w:rsid w:val="00B31820"/>
    <w:rsid w:val="00B33157"/>
    <w:rsid w:val="00B33680"/>
    <w:rsid w:val="00B33AE6"/>
    <w:rsid w:val="00B3401F"/>
    <w:rsid w:val="00B34160"/>
    <w:rsid w:val="00B34162"/>
    <w:rsid w:val="00B34804"/>
    <w:rsid w:val="00B34E17"/>
    <w:rsid w:val="00B35B78"/>
    <w:rsid w:val="00B36B2D"/>
    <w:rsid w:val="00B36DE2"/>
    <w:rsid w:val="00B37939"/>
    <w:rsid w:val="00B401A1"/>
    <w:rsid w:val="00B40517"/>
    <w:rsid w:val="00B41565"/>
    <w:rsid w:val="00B4201D"/>
    <w:rsid w:val="00B425DB"/>
    <w:rsid w:val="00B426D4"/>
    <w:rsid w:val="00B42DF3"/>
    <w:rsid w:val="00B42FB5"/>
    <w:rsid w:val="00B43163"/>
    <w:rsid w:val="00B4338E"/>
    <w:rsid w:val="00B4343C"/>
    <w:rsid w:val="00B445FE"/>
    <w:rsid w:val="00B446B3"/>
    <w:rsid w:val="00B44AB2"/>
    <w:rsid w:val="00B462BC"/>
    <w:rsid w:val="00B47092"/>
    <w:rsid w:val="00B473B1"/>
    <w:rsid w:val="00B47610"/>
    <w:rsid w:val="00B47750"/>
    <w:rsid w:val="00B504D7"/>
    <w:rsid w:val="00B50BF6"/>
    <w:rsid w:val="00B51866"/>
    <w:rsid w:val="00B51BCD"/>
    <w:rsid w:val="00B52D68"/>
    <w:rsid w:val="00B53EC7"/>
    <w:rsid w:val="00B56D47"/>
    <w:rsid w:val="00B576EE"/>
    <w:rsid w:val="00B57745"/>
    <w:rsid w:val="00B57F6C"/>
    <w:rsid w:val="00B60649"/>
    <w:rsid w:val="00B60723"/>
    <w:rsid w:val="00B60933"/>
    <w:rsid w:val="00B60CAC"/>
    <w:rsid w:val="00B61231"/>
    <w:rsid w:val="00B61DD9"/>
    <w:rsid w:val="00B62669"/>
    <w:rsid w:val="00B62D2E"/>
    <w:rsid w:val="00B62F19"/>
    <w:rsid w:val="00B62FE4"/>
    <w:rsid w:val="00B6388B"/>
    <w:rsid w:val="00B63EF4"/>
    <w:rsid w:val="00B63F9B"/>
    <w:rsid w:val="00B650C1"/>
    <w:rsid w:val="00B65C8F"/>
    <w:rsid w:val="00B6626F"/>
    <w:rsid w:val="00B66532"/>
    <w:rsid w:val="00B6688B"/>
    <w:rsid w:val="00B67E86"/>
    <w:rsid w:val="00B7013A"/>
    <w:rsid w:val="00B70B19"/>
    <w:rsid w:val="00B71F7E"/>
    <w:rsid w:val="00B72E3E"/>
    <w:rsid w:val="00B74992"/>
    <w:rsid w:val="00B74E79"/>
    <w:rsid w:val="00B75002"/>
    <w:rsid w:val="00B76258"/>
    <w:rsid w:val="00B76809"/>
    <w:rsid w:val="00B76BF0"/>
    <w:rsid w:val="00B77379"/>
    <w:rsid w:val="00B77FE8"/>
    <w:rsid w:val="00B81E4B"/>
    <w:rsid w:val="00B827F6"/>
    <w:rsid w:val="00B82C9C"/>
    <w:rsid w:val="00B83E95"/>
    <w:rsid w:val="00B84138"/>
    <w:rsid w:val="00B844F4"/>
    <w:rsid w:val="00B84B03"/>
    <w:rsid w:val="00B84D11"/>
    <w:rsid w:val="00B86F31"/>
    <w:rsid w:val="00B87CCA"/>
    <w:rsid w:val="00B90244"/>
    <w:rsid w:val="00B90340"/>
    <w:rsid w:val="00B9064C"/>
    <w:rsid w:val="00B91F3D"/>
    <w:rsid w:val="00B92D28"/>
    <w:rsid w:val="00B932CE"/>
    <w:rsid w:val="00B941CE"/>
    <w:rsid w:val="00B9431C"/>
    <w:rsid w:val="00B94D77"/>
    <w:rsid w:val="00B94F2E"/>
    <w:rsid w:val="00B9525F"/>
    <w:rsid w:val="00B963C5"/>
    <w:rsid w:val="00B9669E"/>
    <w:rsid w:val="00B96FD3"/>
    <w:rsid w:val="00BA0221"/>
    <w:rsid w:val="00BA3BDC"/>
    <w:rsid w:val="00BA40C4"/>
    <w:rsid w:val="00BA4A20"/>
    <w:rsid w:val="00BA5359"/>
    <w:rsid w:val="00BA5745"/>
    <w:rsid w:val="00BA6094"/>
    <w:rsid w:val="00BA6D78"/>
    <w:rsid w:val="00BA6EC0"/>
    <w:rsid w:val="00BB091F"/>
    <w:rsid w:val="00BB1BDB"/>
    <w:rsid w:val="00BB23DA"/>
    <w:rsid w:val="00BB32F6"/>
    <w:rsid w:val="00BB3DC1"/>
    <w:rsid w:val="00BB430D"/>
    <w:rsid w:val="00BB4325"/>
    <w:rsid w:val="00BB5FD2"/>
    <w:rsid w:val="00BB65EA"/>
    <w:rsid w:val="00BB79D2"/>
    <w:rsid w:val="00BB7ED7"/>
    <w:rsid w:val="00BC095F"/>
    <w:rsid w:val="00BC1D1B"/>
    <w:rsid w:val="00BC1FB4"/>
    <w:rsid w:val="00BC21C0"/>
    <w:rsid w:val="00BC2F81"/>
    <w:rsid w:val="00BC323A"/>
    <w:rsid w:val="00BC3536"/>
    <w:rsid w:val="00BC546F"/>
    <w:rsid w:val="00BC5689"/>
    <w:rsid w:val="00BC6030"/>
    <w:rsid w:val="00BC7142"/>
    <w:rsid w:val="00BD0C77"/>
    <w:rsid w:val="00BD0FA7"/>
    <w:rsid w:val="00BD1627"/>
    <w:rsid w:val="00BD1F3E"/>
    <w:rsid w:val="00BD263F"/>
    <w:rsid w:val="00BD2D36"/>
    <w:rsid w:val="00BD2FDC"/>
    <w:rsid w:val="00BD3481"/>
    <w:rsid w:val="00BD389B"/>
    <w:rsid w:val="00BD3BC8"/>
    <w:rsid w:val="00BD3FB7"/>
    <w:rsid w:val="00BD428A"/>
    <w:rsid w:val="00BD4A5F"/>
    <w:rsid w:val="00BD4B6B"/>
    <w:rsid w:val="00BD4F5C"/>
    <w:rsid w:val="00BD5368"/>
    <w:rsid w:val="00BD553C"/>
    <w:rsid w:val="00BD5AEE"/>
    <w:rsid w:val="00BD652C"/>
    <w:rsid w:val="00BD672B"/>
    <w:rsid w:val="00BD6DDB"/>
    <w:rsid w:val="00BD715D"/>
    <w:rsid w:val="00BE0331"/>
    <w:rsid w:val="00BE1D60"/>
    <w:rsid w:val="00BE2376"/>
    <w:rsid w:val="00BE2560"/>
    <w:rsid w:val="00BE25A0"/>
    <w:rsid w:val="00BE2BEC"/>
    <w:rsid w:val="00BE3088"/>
    <w:rsid w:val="00BE31F6"/>
    <w:rsid w:val="00BE3FF8"/>
    <w:rsid w:val="00BE4B09"/>
    <w:rsid w:val="00BE511E"/>
    <w:rsid w:val="00BE689A"/>
    <w:rsid w:val="00BE76F2"/>
    <w:rsid w:val="00BF0EC6"/>
    <w:rsid w:val="00BF0EDB"/>
    <w:rsid w:val="00BF2605"/>
    <w:rsid w:val="00BF2A34"/>
    <w:rsid w:val="00BF3009"/>
    <w:rsid w:val="00BF3395"/>
    <w:rsid w:val="00BF342F"/>
    <w:rsid w:val="00BF37FE"/>
    <w:rsid w:val="00BF4079"/>
    <w:rsid w:val="00BF4EC3"/>
    <w:rsid w:val="00BF58D6"/>
    <w:rsid w:val="00BF5E15"/>
    <w:rsid w:val="00BF62FD"/>
    <w:rsid w:val="00BF6CA5"/>
    <w:rsid w:val="00BF7D83"/>
    <w:rsid w:val="00C00646"/>
    <w:rsid w:val="00C0294F"/>
    <w:rsid w:val="00C02E84"/>
    <w:rsid w:val="00C03C69"/>
    <w:rsid w:val="00C04056"/>
    <w:rsid w:val="00C04624"/>
    <w:rsid w:val="00C04CDF"/>
    <w:rsid w:val="00C055E0"/>
    <w:rsid w:val="00C05D9B"/>
    <w:rsid w:val="00C05F14"/>
    <w:rsid w:val="00C0681F"/>
    <w:rsid w:val="00C06AAA"/>
    <w:rsid w:val="00C06B35"/>
    <w:rsid w:val="00C06D7E"/>
    <w:rsid w:val="00C07072"/>
    <w:rsid w:val="00C07AB3"/>
    <w:rsid w:val="00C07AE6"/>
    <w:rsid w:val="00C07B6E"/>
    <w:rsid w:val="00C07DA9"/>
    <w:rsid w:val="00C1055B"/>
    <w:rsid w:val="00C11F99"/>
    <w:rsid w:val="00C120EE"/>
    <w:rsid w:val="00C12698"/>
    <w:rsid w:val="00C12F08"/>
    <w:rsid w:val="00C15E90"/>
    <w:rsid w:val="00C172EC"/>
    <w:rsid w:val="00C17434"/>
    <w:rsid w:val="00C21AFD"/>
    <w:rsid w:val="00C22278"/>
    <w:rsid w:val="00C22618"/>
    <w:rsid w:val="00C22BB6"/>
    <w:rsid w:val="00C22FAD"/>
    <w:rsid w:val="00C23537"/>
    <w:rsid w:val="00C23723"/>
    <w:rsid w:val="00C239A6"/>
    <w:rsid w:val="00C23ABD"/>
    <w:rsid w:val="00C2498C"/>
    <w:rsid w:val="00C24B64"/>
    <w:rsid w:val="00C2592A"/>
    <w:rsid w:val="00C25D67"/>
    <w:rsid w:val="00C2673A"/>
    <w:rsid w:val="00C26FFC"/>
    <w:rsid w:val="00C272DE"/>
    <w:rsid w:val="00C27D62"/>
    <w:rsid w:val="00C30659"/>
    <w:rsid w:val="00C306CB"/>
    <w:rsid w:val="00C31321"/>
    <w:rsid w:val="00C31475"/>
    <w:rsid w:val="00C31728"/>
    <w:rsid w:val="00C31931"/>
    <w:rsid w:val="00C31FED"/>
    <w:rsid w:val="00C32BCF"/>
    <w:rsid w:val="00C34486"/>
    <w:rsid w:val="00C34E9D"/>
    <w:rsid w:val="00C3526C"/>
    <w:rsid w:val="00C3627B"/>
    <w:rsid w:val="00C36818"/>
    <w:rsid w:val="00C3682D"/>
    <w:rsid w:val="00C372D3"/>
    <w:rsid w:val="00C37378"/>
    <w:rsid w:val="00C40565"/>
    <w:rsid w:val="00C40661"/>
    <w:rsid w:val="00C40836"/>
    <w:rsid w:val="00C40FE4"/>
    <w:rsid w:val="00C41139"/>
    <w:rsid w:val="00C41B7E"/>
    <w:rsid w:val="00C422A4"/>
    <w:rsid w:val="00C425F2"/>
    <w:rsid w:val="00C42BAC"/>
    <w:rsid w:val="00C430EA"/>
    <w:rsid w:val="00C43A8E"/>
    <w:rsid w:val="00C4581F"/>
    <w:rsid w:val="00C46BBB"/>
    <w:rsid w:val="00C47897"/>
    <w:rsid w:val="00C47CCE"/>
    <w:rsid w:val="00C50026"/>
    <w:rsid w:val="00C508FC"/>
    <w:rsid w:val="00C5105E"/>
    <w:rsid w:val="00C5169E"/>
    <w:rsid w:val="00C518F6"/>
    <w:rsid w:val="00C51972"/>
    <w:rsid w:val="00C522A1"/>
    <w:rsid w:val="00C52397"/>
    <w:rsid w:val="00C53042"/>
    <w:rsid w:val="00C55DEA"/>
    <w:rsid w:val="00C56015"/>
    <w:rsid w:val="00C560C3"/>
    <w:rsid w:val="00C563C1"/>
    <w:rsid w:val="00C5696F"/>
    <w:rsid w:val="00C57030"/>
    <w:rsid w:val="00C5729C"/>
    <w:rsid w:val="00C5757F"/>
    <w:rsid w:val="00C60AB2"/>
    <w:rsid w:val="00C60B7D"/>
    <w:rsid w:val="00C610C5"/>
    <w:rsid w:val="00C63537"/>
    <w:rsid w:val="00C64BAF"/>
    <w:rsid w:val="00C64EB0"/>
    <w:rsid w:val="00C650C4"/>
    <w:rsid w:val="00C657A2"/>
    <w:rsid w:val="00C66658"/>
    <w:rsid w:val="00C66AB4"/>
    <w:rsid w:val="00C66B99"/>
    <w:rsid w:val="00C66EAC"/>
    <w:rsid w:val="00C675CD"/>
    <w:rsid w:val="00C67754"/>
    <w:rsid w:val="00C6794A"/>
    <w:rsid w:val="00C67958"/>
    <w:rsid w:val="00C70169"/>
    <w:rsid w:val="00C701DE"/>
    <w:rsid w:val="00C70813"/>
    <w:rsid w:val="00C71019"/>
    <w:rsid w:val="00C712F1"/>
    <w:rsid w:val="00C733B2"/>
    <w:rsid w:val="00C7371F"/>
    <w:rsid w:val="00C7404A"/>
    <w:rsid w:val="00C75639"/>
    <w:rsid w:val="00C7617F"/>
    <w:rsid w:val="00C76760"/>
    <w:rsid w:val="00C772B5"/>
    <w:rsid w:val="00C802F9"/>
    <w:rsid w:val="00C804FD"/>
    <w:rsid w:val="00C80957"/>
    <w:rsid w:val="00C810DF"/>
    <w:rsid w:val="00C81B80"/>
    <w:rsid w:val="00C820F5"/>
    <w:rsid w:val="00C825E5"/>
    <w:rsid w:val="00C82C4C"/>
    <w:rsid w:val="00C8305B"/>
    <w:rsid w:val="00C83112"/>
    <w:rsid w:val="00C83676"/>
    <w:rsid w:val="00C85A6F"/>
    <w:rsid w:val="00C86080"/>
    <w:rsid w:val="00C86F05"/>
    <w:rsid w:val="00C8725D"/>
    <w:rsid w:val="00C876D4"/>
    <w:rsid w:val="00C87E2E"/>
    <w:rsid w:val="00C901B7"/>
    <w:rsid w:val="00C90B6E"/>
    <w:rsid w:val="00C910F7"/>
    <w:rsid w:val="00C91747"/>
    <w:rsid w:val="00C923A9"/>
    <w:rsid w:val="00C928B2"/>
    <w:rsid w:val="00C93C7B"/>
    <w:rsid w:val="00C9752C"/>
    <w:rsid w:val="00C975C8"/>
    <w:rsid w:val="00C9799D"/>
    <w:rsid w:val="00C97E35"/>
    <w:rsid w:val="00C97F82"/>
    <w:rsid w:val="00CA02FB"/>
    <w:rsid w:val="00CA0494"/>
    <w:rsid w:val="00CA09FB"/>
    <w:rsid w:val="00CA0A3E"/>
    <w:rsid w:val="00CA1790"/>
    <w:rsid w:val="00CA2D37"/>
    <w:rsid w:val="00CA32F7"/>
    <w:rsid w:val="00CA4561"/>
    <w:rsid w:val="00CA470A"/>
    <w:rsid w:val="00CA49DD"/>
    <w:rsid w:val="00CA5E4C"/>
    <w:rsid w:val="00CA61BE"/>
    <w:rsid w:val="00CA76D0"/>
    <w:rsid w:val="00CA77A0"/>
    <w:rsid w:val="00CB011C"/>
    <w:rsid w:val="00CB0137"/>
    <w:rsid w:val="00CB0BAB"/>
    <w:rsid w:val="00CB10E0"/>
    <w:rsid w:val="00CB26BB"/>
    <w:rsid w:val="00CB3422"/>
    <w:rsid w:val="00CB40EF"/>
    <w:rsid w:val="00CB4ACA"/>
    <w:rsid w:val="00CB4F91"/>
    <w:rsid w:val="00CB62A6"/>
    <w:rsid w:val="00CB65F1"/>
    <w:rsid w:val="00CB77D7"/>
    <w:rsid w:val="00CB7D12"/>
    <w:rsid w:val="00CC09EC"/>
    <w:rsid w:val="00CC0A35"/>
    <w:rsid w:val="00CC0DEA"/>
    <w:rsid w:val="00CC1D34"/>
    <w:rsid w:val="00CC2025"/>
    <w:rsid w:val="00CC2628"/>
    <w:rsid w:val="00CC2A72"/>
    <w:rsid w:val="00CC2DC0"/>
    <w:rsid w:val="00CC2E0F"/>
    <w:rsid w:val="00CC2F37"/>
    <w:rsid w:val="00CC35BC"/>
    <w:rsid w:val="00CC3C83"/>
    <w:rsid w:val="00CC444C"/>
    <w:rsid w:val="00CC4F45"/>
    <w:rsid w:val="00CC5CAA"/>
    <w:rsid w:val="00CC61B6"/>
    <w:rsid w:val="00CD0E04"/>
    <w:rsid w:val="00CD2187"/>
    <w:rsid w:val="00CD2A52"/>
    <w:rsid w:val="00CD2D01"/>
    <w:rsid w:val="00CD365A"/>
    <w:rsid w:val="00CD36FA"/>
    <w:rsid w:val="00CD37C0"/>
    <w:rsid w:val="00CD42AD"/>
    <w:rsid w:val="00CD46C5"/>
    <w:rsid w:val="00CD50F3"/>
    <w:rsid w:val="00CD5A1D"/>
    <w:rsid w:val="00CD6176"/>
    <w:rsid w:val="00CD6EE3"/>
    <w:rsid w:val="00CD719D"/>
    <w:rsid w:val="00CD7FEB"/>
    <w:rsid w:val="00CE0307"/>
    <w:rsid w:val="00CE145D"/>
    <w:rsid w:val="00CE19F0"/>
    <w:rsid w:val="00CE1C8F"/>
    <w:rsid w:val="00CE2DA1"/>
    <w:rsid w:val="00CE2E9E"/>
    <w:rsid w:val="00CE4472"/>
    <w:rsid w:val="00CE4CB0"/>
    <w:rsid w:val="00CE5804"/>
    <w:rsid w:val="00CE6060"/>
    <w:rsid w:val="00CE6CF7"/>
    <w:rsid w:val="00CE6E41"/>
    <w:rsid w:val="00CE73A8"/>
    <w:rsid w:val="00CF0047"/>
    <w:rsid w:val="00CF1140"/>
    <w:rsid w:val="00CF13F7"/>
    <w:rsid w:val="00CF1683"/>
    <w:rsid w:val="00CF179E"/>
    <w:rsid w:val="00CF1F6A"/>
    <w:rsid w:val="00CF2031"/>
    <w:rsid w:val="00CF2133"/>
    <w:rsid w:val="00CF225D"/>
    <w:rsid w:val="00CF2380"/>
    <w:rsid w:val="00CF31F1"/>
    <w:rsid w:val="00CF384F"/>
    <w:rsid w:val="00CF3F9D"/>
    <w:rsid w:val="00CF5154"/>
    <w:rsid w:val="00CF5396"/>
    <w:rsid w:val="00CF5FAB"/>
    <w:rsid w:val="00CF6079"/>
    <w:rsid w:val="00CF6113"/>
    <w:rsid w:val="00CF7258"/>
    <w:rsid w:val="00CF7ABE"/>
    <w:rsid w:val="00D00007"/>
    <w:rsid w:val="00D00A15"/>
    <w:rsid w:val="00D01124"/>
    <w:rsid w:val="00D0126B"/>
    <w:rsid w:val="00D0134A"/>
    <w:rsid w:val="00D01D22"/>
    <w:rsid w:val="00D022CB"/>
    <w:rsid w:val="00D0273A"/>
    <w:rsid w:val="00D0275D"/>
    <w:rsid w:val="00D038B8"/>
    <w:rsid w:val="00D039B6"/>
    <w:rsid w:val="00D048E6"/>
    <w:rsid w:val="00D06E03"/>
    <w:rsid w:val="00D11617"/>
    <w:rsid w:val="00D11B73"/>
    <w:rsid w:val="00D11FEE"/>
    <w:rsid w:val="00D13C5C"/>
    <w:rsid w:val="00D1425D"/>
    <w:rsid w:val="00D14350"/>
    <w:rsid w:val="00D1606A"/>
    <w:rsid w:val="00D17996"/>
    <w:rsid w:val="00D17A77"/>
    <w:rsid w:val="00D17E65"/>
    <w:rsid w:val="00D20A62"/>
    <w:rsid w:val="00D20CF6"/>
    <w:rsid w:val="00D20EE3"/>
    <w:rsid w:val="00D210C1"/>
    <w:rsid w:val="00D21B2F"/>
    <w:rsid w:val="00D22FCC"/>
    <w:rsid w:val="00D24D90"/>
    <w:rsid w:val="00D265E5"/>
    <w:rsid w:val="00D26E9F"/>
    <w:rsid w:val="00D274E0"/>
    <w:rsid w:val="00D27FAE"/>
    <w:rsid w:val="00D30058"/>
    <w:rsid w:val="00D303AD"/>
    <w:rsid w:val="00D30856"/>
    <w:rsid w:val="00D30EC9"/>
    <w:rsid w:val="00D30F63"/>
    <w:rsid w:val="00D30F78"/>
    <w:rsid w:val="00D31146"/>
    <w:rsid w:val="00D31C81"/>
    <w:rsid w:val="00D31E0A"/>
    <w:rsid w:val="00D32F69"/>
    <w:rsid w:val="00D35D3F"/>
    <w:rsid w:val="00D36042"/>
    <w:rsid w:val="00D361A4"/>
    <w:rsid w:val="00D363F9"/>
    <w:rsid w:val="00D36873"/>
    <w:rsid w:val="00D3793C"/>
    <w:rsid w:val="00D40239"/>
    <w:rsid w:val="00D40B47"/>
    <w:rsid w:val="00D4201C"/>
    <w:rsid w:val="00D420D5"/>
    <w:rsid w:val="00D428D4"/>
    <w:rsid w:val="00D42D7A"/>
    <w:rsid w:val="00D4355B"/>
    <w:rsid w:val="00D43A17"/>
    <w:rsid w:val="00D43C0D"/>
    <w:rsid w:val="00D44319"/>
    <w:rsid w:val="00D44EFF"/>
    <w:rsid w:val="00D4509B"/>
    <w:rsid w:val="00D46CC0"/>
    <w:rsid w:val="00D46D18"/>
    <w:rsid w:val="00D50BD0"/>
    <w:rsid w:val="00D51189"/>
    <w:rsid w:val="00D5336F"/>
    <w:rsid w:val="00D54C82"/>
    <w:rsid w:val="00D558D9"/>
    <w:rsid w:val="00D56040"/>
    <w:rsid w:val="00D57017"/>
    <w:rsid w:val="00D57C12"/>
    <w:rsid w:val="00D57CD6"/>
    <w:rsid w:val="00D61774"/>
    <w:rsid w:val="00D61CC2"/>
    <w:rsid w:val="00D62A36"/>
    <w:rsid w:val="00D62AB7"/>
    <w:rsid w:val="00D62AF2"/>
    <w:rsid w:val="00D630D3"/>
    <w:rsid w:val="00D634B0"/>
    <w:rsid w:val="00D63C89"/>
    <w:rsid w:val="00D6468A"/>
    <w:rsid w:val="00D65C93"/>
    <w:rsid w:val="00D668B2"/>
    <w:rsid w:val="00D66F8B"/>
    <w:rsid w:val="00D6752A"/>
    <w:rsid w:val="00D70D9B"/>
    <w:rsid w:val="00D71210"/>
    <w:rsid w:val="00D72E7D"/>
    <w:rsid w:val="00D73066"/>
    <w:rsid w:val="00D735E1"/>
    <w:rsid w:val="00D741E4"/>
    <w:rsid w:val="00D74F31"/>
    <w:rsid w:val="00D76D02"/>
    <w:rsid w:val="00D77C6B"/>
    <w:rsid w:val="00D81ED2"/>
    <w:rsid w:val="00D83A10"/>
    <w:rsid w:val="00D83BDB"/>
    <w:rsid w:val="00D8453D"/>
    <w:rsid w:val="00D84915"/>
    <w:rsid w:val="00D84F3D"/>
    <w:rsid w:val="00D84F88"/>
    <w:rsid w:val="00D853ED"/>
    <w:rsid w:val="00D862A1"/>
    <w:rsid w:val="00D872E2"/>
    <w:rsid w:val="00D8798E"/>
    <w:rsid w:val="00D90F65"/>
    <w:rsid w:val="00D9264D"/>
    <w:rsid w:val="00D92848"/>
    <w:rsid w:val="00D930B4"/>
    <w:rsid w:val="00D932C2"/>
    <w:rsid w:val="00D93EE0"/>
    <w:rsid w:val="00D94EDA"/>
    <w:rsid w:val="00D95BAD"/>
    <w:rsid w:val="00D974D8"/>
    <w:rsid w:val="00DA02F7"/>
    <w:rsid w:val="00DA0FB5"/>
    <w:rsid w:val="00DA1DFE"/>
    <w:rsid w:val="00DA2FE9"/>
    <w:rsid w:val="00DA3ED9"/>
    <w:rsid w:val="00DA43C3"/>
    <w:rsid w:val="00DA5774"/>
    <w:rsid w:val="00DA58D6"/>
    <w:rsid w:val="00DA68C6"/>
    <w:rsid w:val="00DB0F1B"/>
    <w:rsid w:val="00DB1AB6"/>
    <w:rsid w:val="00DB214D"/>
    <w:rsid w:val="00DB2FC5"/>
    <w:rsid w:val="00DB3AD4"/>
    <w:rsid w:val="00DB4599"/>
    <w:rsid w:val="00DB4AB7"/>
    <w:rsid w:val="00DB639C"/>
    <w:rsid w:val="00DB679E"/>
    <w:rsid w:val="00DB693B"/>
    <w:rsid w:val="00DB786D"/>
    <w:rsid w:val="00DB79F4"/>
    <w:rsid w:val="00DB7CC9"/>
    <w:rsid w:val="00DC0339"/>
    <w:rsid w:val="00DC03B7"/>
    <w:rsid w:val="00DC0425"/>
    <w:rsid w:val="00DC0906"/>
    <w:rsid w:val="00DC105B"/>
    <w:rsid w:val="00DC19D6"/>
    <w:rsid w:val="00DC1A99"/>
    <w:rsid w:val="00DC20D1"/>
    <w:rsid w:val="00DC287F"/>
    <w:rsid w:val="00DC3674"/>
    <w:rsid w:val="00DC3A98"/>
    <w:rsid w:val="00DC433F"/>
    <w:rsid w:val="00DC4869"/>
    <w:rsid w:val="00DC5045"/>
    <w:rsid w:val="00DC51CE"/>
    <w:rsid w:val="00DC5531"/>
    <w:rsid w:val="00DC61A6"/>
    <w:rsid w:val="00DC6B89"/>
    <w:rsid w:val="00DC724A"/>
    <w:rsid w:val="00DC7271"/>
    <w:rsid w:val="00DC7952"/>
    <w:rsid w:val="00DC7EEE"/>
    <w:rsid w:val="00DD039D"/>
    <w:rsid w:val="00DD0641"/>
    <w:rsid w:val="00DD0B45"/>
    <w:rsid w:val="00DD126C"/>
    <w:rsid w:val="00DD1849"/>
    <w:rsid w:val="00DD184A"/>
    <w:rsid w:val="00DD19BB"/>
    <w:rsid w:val="00DD280B"/>
    <w:rsid w:val="00DD3AB3"/>
    <w:rsid w:val="00DD40C2"/>
    <w:rsid w:val="00DD4B16"/>
    <w:rsid w:val="00DD57C9"/>
    <w:rsid w:val="00DD5801"/>
    <w:rsid w:val="00DD5818"/>
    <w:rsid w:val="00DD69A7"/>
    <w:rsid w:val="00DD6FEA"/>
    <w:rsid w:val="00DE00E6"/>
    <w:rsid w:val="00DE01C3"/>
    <w:rsid w:val="00DE01CF"/>
    <w:rsid w:val="00DE08D1"/>
    <w:rsid w:val="00DE13FE"/>
    <w:rsid w:val="00DE15F4"/>
    <w:rsid w:val="00DE24C9"/>
    <w:rsid w:val="00DE25EC"/>
    <w:rsid w:val="00DE29B8"/>
    <w:rsid w:val="00DE3017"/>
    <w:rsid w:val="00DE392F"/>
    <w:rsid w:val="00DE432A"/>
    <w:rsid w:val="00DE48E6"/>
    <w:rsid w:val="00DE4BD8"/>
    <w:rsid w:val="00DE4BE6"/>
    <w:rsid w:val="00DE52A0"/>
    <w:rsid w:val="00DE58E1"/>
    <w:rsid w:val="00DE6334"/>
    <w:rsid w:val="00DE692A"/>
    <w:rsid w:val="00DE712D"/>
    <w:rsid w:val="00DE7439"/>
    <w:rsid w:val="00DF02DD"/>
    <w:rsid w:val="00DF1223"/>
    <w:rsid w:val="00DF1351"/>
    <w:rsid w:val="00DF1DF5"/>
    <w:rsid w:val="00DF217C"/>
    <w:rsid w:val="00DF219F"/>
    <w:rsid w:val="00DF2BE7"/>
    <w:rsid w:val="00DF3022"/>
    <w:rsid w:val="00DF3F83"/>
    <w:rsid w:val="00DF4154"/>
    <w:rsid w:val="00DF61F9"/>
    <w:rsid w:val="00DF67B8"/>
    <w:rsid w:val="00DF6EFD"/>
    <w:rsid w:val="00DF74F2"/>
    <w:rsid w:val="00E00C29"/>
    <w:rsid w:val="00E021E1"/>
    <w:rsid w:val="00E0247C"/>
    <w:rsid w:val="00E030C4"/>
    <w:rsid w:val="00E030F5"/>
    <w:rsid w:val="00E03C72"/>
    <w:rsid w:val="00E04CD6"/>
    <w:rsid w:val="00E05655"/>
    <w:rsid w:val="00E0694D"/>
    <w:rsid w:val="00E06C8A"/>
    <w:rsid w:val="00E079A8"/>
    <w:rsid w:val="00E10A8D"/>
    <w:rsid w:val="00E10F4C"/>
    <w:rsid w:val="00E11433"/>
    <w:rsid w:val="00E116A8"/>
    <w:rsid w:val="00E11E00"/>
    <w:rsid w:val="00E1266B"/>
    <w:rsid w:val="00E12F9E"/>
    <w:rsid w:val="00E13806"/>
    <w:rsid w:val="00E13C2D"/>
    <w:rsid w:val="00E142C0"/>
    <w:rsid w:val="00E1489F"/>
    <w:rsid w:val="00E14E2C"/>
    <w:rsid w:val="00E15775"/>
    <w:rsid w:val="00E15A0C"/>
    <w:rsid w:val="00E16CA9"/>
    <w:rsid w:val="00E16DA1"/>
    <w:rsid w:val="00E16E91"/>
    <w:rsid w:val="00E17950"/>
    <w:rsid w:val="00E206F0"/>
    <w:rsid w:val="00E21232"/>
    <w:rsid w:val="00E21541"/>
    <w:rsid w:val="00E21A36"/>
    <w:rsid w:val="00E21D64"/>
    <w:rsid w:val="00E22242"/>
    <w:rsid w:val="00E22479"/>
    <w:rsid w:val="00E2361D"/>
    <w:rsid w:val="00E237B9"/>
    <w:rsid w:val="00E24642"/>
    <w:rsid w:val="00E25DEE"/>
    <w:rsid w:val="00E26E4E"/>
    <w:rsid w:val="00E274AB"/>
    <w:rsid w:val="00E2776A"/>
    <w:rsid w:val="00E30A81"/>
    <w:rsid w:val="00E32101"/>
    <w:rsid w:val="00E329E2"/>
    <w:rsid w:val="00E332AB"/>
    <w:rsid w:val="00E333BE"/>
    <w:rsid w:val="00E33BAF"/>
    <w:rsid w:val="00E35CA0"/>
    <w:rsid w:val="00E35FD2"/>
    <w:rsid w:val="00E367A4"/>
    <w:rsid w:val="00E369AA"/>
    <w:rsid w:val="00E37D45"/>
    <w:rsid w:val="00E37F2C"/>
    <w:rsid w:val="00E40B95"/>
    <w:rsid w:val="00E412BA"/>
    <w:rsid w:val="00E41431"/>
    <w:rsid w:val="00E42943"/>
    <w:rsid w:val="00E42D2E"/>
    <w:rsid w:val="00E43FC9"/>
    <w:rsid w:val="00E44B54"/>
    <w:rsid w:val="00E46283"/>
    <w:rsid w:val="00E46301"/>
    <w:rsid w:val="00E50FB4"/>
    <w:rsid w:val="00E511DA"/>
    <w:rsid w:val="00E5245B"/>
    <w:rsid w:val="00E52B05"/>
    <w:rsid w:val="00E537A2"/>
    <w:rsid w:val="00E54271"/>
    <w:rsid w:val="00E545DF"/>
    <w:rsid w:val="00E54676"/>
    <w:rsid w:val="00E54AFB"/>
    <w:rsid w:val="00E5515B"/>
    <w:rsid w:val="00E553BB"/>
    <w:rsid w:val="00E55ACF"/>
    <w:rsid w:val="00E568AC"/>
    <w:rsid w:val="00E56E37"/>
    <w:rsid w:val="00E57EA9"/>
    <w:rsid w:val="00E6091D"/>
    <w:rsid w:val="00E60CAA"/>
    <w:rsid w:val="00E6178E"/>
    <w:rsid w:val="00E61899"/>
    <w:rsid w:val="00E62434"/>
    <w:rsid w:val="00E62C71"/>
    <w:rsid w:val="00E639D4"/>
    <w:rsid w:val="00E658B7"/>
    <w:rsid w:val="00E65DA4"/>
    <w:rsid w:val="00E663D4"/>
    <w:rsid w:val="00E664FD"/>
    <w:rsid w:val="00E66CF1"/>
    <w:rsid w:val="00E670B2"/>
    <w:rsid w:val="00E67766"/>
    <w:rsid w:val="00E7060A"/>
    <w:rsid w:val="00E7158E"/>
    <w:rsid w:val="00E7169E"/>
    <w:rsid w:val="00E725DE"/>
    <w:rsid w:val="00E72B12"/>
    <w:rsid w:val="00E7378A"/>
    <w:rsid w:val="00E740F9"/>
    <w:rsid w:val="00E7419B"/>
    <w:rsid w:val="00E75685"/>
    <w:rsid w:val="00E75A1F"/>
    <w:rsid w:val="00E76436"/>
    <w:rsid w:val="00E76530"/>
    <w:rsid w:val="00E767CC"/>
    <w:rsid w:val="00E76ECC"/>
    <w:rsid w:val="00E77A51"/>
    <w:rsid w:val="00E77ED7"/>
    <w:rsid w:val="00E827AF"/>
    <w:rsid w:val="00E82A2B"/>
    <w:rsid w:val="00E82A57"/>
    <w:rsid w:val="00E8360A"/>
    <w:rsid w:val="00E8398C"/>
    <w:rsid w:val="00E84AAC"/>
    <w:rsid w:val="00E859A0"/>
    <w:rsid w:val="00E862CD"/>
    <w:rsid w:val="00E864C4"/>
    <w:rsid w:val="00E87A67"/>
    <w:rsid w:val="00E87F40"/>
    <w:rsid w:val="00E9020F"/>
    <w:rsid w:val="00E90F64"/>
    <w:rsid w:val="00E912E7"/>
    <w:rsid w:val="00E91440"/>
    <w:rsid w:val="00E9183A"/>
    <w:rsid w:val="00E9212E"/>
    <w:rsid w:val="00E92AF2"/>
    <w:rsid w:val="00E94CD0"/>
    <w:rsid w:val="00E96F82"/>
    <w:rsid w:val="00EA0FEC"/>
    <w:rsid w:val="00EA110F"/>
    <w:rsid w:val="00EA1D90"/>
    <w:rsid w:val="00EA22AB"/>
    <w:rsid w:val="00EA266A"/>
    <w:rsid w:val="00EA271E"/>
    <w:rsid w:val="00EA37FA"/>
    <w:rsid w:val="00EA3B94"/>
    <w:rsid w:val="00EA5745"/>
    <w:rsid w:val="00EA5B27"/>
    <w:rsid w:val="00EA704E"/>
    <w:rsid w:val="00EB0A23"/>
    <w:rsid w:val="00EB127E"/>
    <w:rsid w:val="00EB131B"/>
    <w:rsid w:val="00EB1F46"/>
    <w:rsid w:val="00EB261D"/>
    <w:rsid w:val="00EB2E3A"/>
    <w:rsid w:val="00EB3215"/>
    <w:rsid w:val="00EB3C1F"/>
    <w:rsid w:val="00EB3F8A"/>
    <w:rsid w:val="00EB4DCE"/>
    <w:rsid w:val="00EB5ABE"/>
    <w:rsid w:val="00EB61C0"/>
    <w:rsid w:val="00EB69B2"/>
    <w:rsid w:val="00EC0B3C"/>
    <w:rsid w:val="00EC0F34"/>
    <w:rsid w:val="00EC1449"/>
    <w:rsid w:val="00EC2075"/>
    <w:rsid w:val="00EC241D"/>
    <w:rsid w:val="00EC30A4"/>
    <w:rsid w:val="00EC3399"/>
    <w:rsid w:val="00EC350B"/>
    <w:rsid w:val="00EC3B74"/>
    <w:rsid w:val="00EC42DF"/>
    <w:rsid w:val="00EC4840"/>
    <w:rsid w:val="00EC7DB1"/>
    <w:rsid w:val="00ED0AFB"/>
    <w:rsid w:val="00ED11A6"/>
    <w:rsid w:val="00ED225F"/>
    <w:rsid w:val="00ED4C5F"/>
    <w:rsid w:val="00ED4F26"/>
    <w:rsid w:val="00ED52D3"/>
    <w:rsid w:val="00ED5B53"/>
    <w:rsid w:val="00ED632A"/>
    <w:rsid w:val="00ED7F68"/>
    <w:rsid w:val="00EE089A"/>
    <w:rsid w:val="00EE117C"/>
    <w:rsid w:val="00EE2152"/>
    <w:rsid w:val="00EE2844"/>
    <w:rsid w:val="00EE3B9F"/>
    <w:rsid w:val="00EE5FCE"/>
    <w:rsid w:val="00EE61DC"/>
    <w:rsid w:val="00EE6858"/>
    <w:rsid w:val="00EE6A15"/>
    <w:rsid w:val="00EE708B"/>
    <w:rsid w:val="00EE7CED"/>
    <w:rsid w:val="00EF08D3"/>
    <w:rsid w:val="00EF094C"/>
    <w:rsid w:val="00EF0F76"/>
    <w:rsid w:val="00EF14A5"/>
    <w:rsid w:val="00EF17C0"/>
    <w:rsid w:val="00EF23BB"/>
    <w:rsid w:val="00EF333D"/>
    <w:rsid w:val="00EF3456"/>
    <w:rsid w:val="00EF3F8C"/>
    <w:rsid w:val="00EF5B5F"/>
    <w:rsid w:val="00EF6080"/>
    <w:rsid w:val="00EF6346"/>
    <w:rsid w:val="00EF640F"/>
    <w:rsid w:val="00EF687A"/>
    <w:rsid w:val="00EF6C70"/>
    <w:rsid w:val="00EF6EAE"/>
    <w:rsid w:val="00EF71F2"/>
    <w:rsid w:val="00EF73B5"/>
    <w:rsid w:val="00EF770E"/>
    <w:rsid w:val="00EF7CC0"/>
    <w:rsid w:val="00F00B19"/>
    <w:rsid w:val="00F01642"/>
    <w:rsid w:val="00F018FB"/>
    <w:rsid w:val="00F02B3A"/>
    <w:rsid w:val="00F032E2"/>
    <w:rsid w:val="00F0376D"/>
    <w:rsid w:val="00F0386A"/>
    <w:rsid w:val="00F03FAD"/>
    <w:rsid w:val="00F04800"/>
    <w:rsid w:val="00F04A3B"/>
    <w:rsid w:val="00F055A0"/>
    <w:rsid w:val="00F06508"/>
    <w:rsid w:val="00F06DFC"/>
    <w:rsid w:val="00F078C2"/>
    <w:rsid w:val="00F07AEB"/>
    <w:rsid w:val="00F07AFB"/>
    <w:rsid w:val="00F10FA9"/>
    <w:rsid w:val="00F13F76"/>
    <w:rsid w:val="00F149E2"/>
    <w:rsid w:val="00F14F49"/>
    <w:rsid w:val="00F1566E"/>
    <w:rsid w:val="00F1631F"/>
    <w:rsid w:val="00F16922"/>
    <w:rsid w:val="00F16BA2"/>
    <w:rsid w:val="00F16D91"/>
    <w:rsid w:val="00F17225"/>
    <w:rsid w:val="00F176A9"/>
    <w:rsid w:val="00F17C46"/>
    <w:rsid w:val="00F203D2"/>
    <w:rsid w:val="00F21E9D"/>
    <w:rsid w:val="00F22AB6"/>
    <w:rsid w:val="00F22B71"/>
    <w:rsid w:val="00F22DD5"/>
    <w:rsid w:val="00F260E2"/>
    <w:rsid w:val="00F26166"/>
    <w:rsid w:val="00F26A6E"/>
    <w:rsid w:val="00F26B3F"/>
    <w:rsid w:val="00F26CD6"/>
    <w:rsid w:val="00F27614"/>
    <w:rsid w:val="00F276D7"/>
    <w:rsid w:val="00F27A34"/>
    <w:rsid w:val="00F27D53"/>
    <w:rsid w:val="00F3025C"/>
    <w:rsid w:val="00F30403"/>
    <w:rsid w:val="00F30589"/>
    <w:rsid w:val="00F309FA"/>
    <w:rsid w:val="00F3146A"/>
    <w:rsid w:val="00F31BB2"/>
    <w:rsid w:val="00F32F20"/>
    <w:rsid w:val="00F33487"/>
    <w:rsid w:val="00F3365C"/>
    <w:rsid w:val="00F3429E"/>
    <w:rsid w:val="00F3514F"/>
    <w:rsid w:val="00F364BE"/>
    <w:rsid w:val="00F378FC"/>
    <w:rsid w:val="00F37A1C"/>
    <w:rsid w:val="00F37E7F"/>
    <w:rsid w:val="00F4119D"/>
    <w:rsid w:val="00F4122D"/>
    <w:rsid w:val="00F41D25"/>
    <w:rsid w:val="00F42518"/>
    <w:rsid w:val="00F42611"/>
    <w:rsid w:val="00F44AF5"/>
    <w:rsid w:val="00F4561B"/>
    <w:rsid w:val="00F468C0"/>
    <w:rsid w:val="00F46B72"/>
    <w:rsid w:val="00F472D8"/>
    <w:rsid w:val="00F47F6E"/>
    <w:rsid w:val="00F509DF"/>
    <w:rsid w:val="00F5202E"/>
    <w:rsid w:val="00F5240D"/>
    <w:rsid w:val="00F5369D"/>
    <w:rsid w:val="00F5396A"/>
    <w:rsid w:val="00F53B09"/>
    <w:rsid w:val="00F55DE2"/>
    <w:rsid w:val="00F57285"/>
    <w:rsid w:val="00F578F0"/>
    <w:rsid w:val="00F6077B"/>
    <w:rsid w:val="00F61117"/>
    <w:rsid w:val="00F61D45"/>
    <w:rsid w:val="00F62635"/>
    <w:rsid w:val="00F62D33"/>
    <w:rsid w:val="00F63825"/>
    <w:rsid w:val="00F63BE9"/>
    <w:rsid w:val="00F63C6F"/>
    <w:rsid w:val="00F66011"/>
    <w:rsid w:val="00F6699F"/>
    <w:rsid w:val="00F66DC5"/>
    <w:rsid w:val="00F66F88"/>
    <w:rsid w:val="00F6791F"/>
    <w:rsid w:val="00F67C4A"/>
    <w:rsid w:val="00F67D67"/>
    <w:rsid w:val="00F67FE8"/>
    <w:rsid w:val="00F71D17"/>
    <w:rsid w:val="00F725A3"/>
    <w:rsid w:val="00F72B41"/>
    <w:rsid w:val="00F72C65"/>
    <w:rsid w:val="00F72DAF"/>
    <w:rsid w:val="00F731F2"/>
    <w:rsid w:val="00F73649"/>
    <w:rsid w:val="00F73A36"/>
    <w:rsid w:val="00F743F0"/>
    <w:rsid w:val="00F744CF"/>
    <w:rsid w:val="00F7680F"/>
    <w:rsid w:val="00F76B42"/>
    <w:rsid w:val="00F80106"/>
    <w:rsid w:val="00F81C72"/>
    <w:rsid w:val="00F821A3"/>
    <w:rsid w:val="00F823B7"/>
    <w:rsid w:val="00F83458"/>
    <w:rsid w:val="00F836F7"/>
    <w:rsid w:val="00F83892"/>
    <w:rsid w:val="00F83D25"/>
    <w:rsid w:val="00F83FF9"/>
    <w:rsid w:val="00F84253"/>
    <w:rsid w:val="00F86BC9"/>
    <w:rsid w:val="00F8780A"/>
    <w:rsid w:val="00F919D1"/>
    <w:rsid w:val="00F92162"/>
    <w:rsid w:val="00F92275"/>
    <w:rsid w:val="00F93EDA"/>
    <w:rsid w:val="00F9429A"/>
    <w:rsid w:val="00F94B22"/>
    <w:rsid w:val="00F9516D"/>
    <w:rsid w:val="00F9552E"/>
    <w:rsid w:val="00F96F43"/>
    <w:rsid w:val="00F97DE5"/>
    <w:rsid w:val="00FA1259"/>
    <w:rsid w:val="00FA295B"/>
    <w:rsid w:val="00FA2BC1"/>
    <w:rsid w:val="00FA2EE8"/>
    <w:rsid w:val="00FA30EC"/>
    <w:rsid w:val="00FA36CA"/>
    <w:rsid w:val="00FA37ED"/>
    <w:rsid w:val="00FA4E9F"/>
    <w:rsid w:val="00FA5982"/>
    <w:rsid w:val="00FA5DB3"/>
    <w:rsid w:val="00FA66F6"/>
    <w:rsid w:val="00FA6AFC"/>
    <w:rsid w:val="00FA6C6B"/>
    <w:rsid w:val="00FA6FB4"/>
    <w:rsid w:val="00FB0157"/>
    <w:rsid w:val="00FB021E"/>
    <w:rsid w:val="00FB06AB"/>
    <w:rsid w:val="00FB10B5"/>
    <w:rsid w:val="00FB19DF"/>
    <w:rsid w:val="00FB1EFA"/>
    <w:rsid w:val="00FB277C"/>
    <w:rsid w:val="00FB3042"/>
    <w:rsid w:val="00FB33E2"/>
    <w:rsid w:val="00FB3479"/>
    <w:rsid w:val="00FB4021"/>
    <w:rsid w:val="00FB454F"/>
    <w:rsid w:val="00FB467D"/>
    <w:rsid w:val="00FB5237"/>
    <w:rsid w:val="00FB5B36"/>
    <w:rsid w:val="00FB6740"/>
    <w:rsid w:val="00FB79E4"/>
    <w:rsid w:val="00FC0E63"/>
    <w:rsid w:val="00FC26DE"/>
    <w:rsid w:val="00FC3104"/>
    <w:rsid w:val="00FC4820"/>
    <w:rsid w:val="00FC4B98"/>
    <w:rsid w:val="00FC6A05"/>
    <w:rsid w:val="00FC7DD1"/>
    <w:rsid w:val="00FC7E0F"/>
    <w:rsid w:val="00FD167B"/>
    <w:rsid w:val="00FD1C62"/>
    <w:rsid w:val="00FD22A1"/>
    <w:rsid w:val="00FD289F"/>
    <w:rsid w:val="00FD2BC2"/>
    <w:rsid w:val="00FD2D31"/>
    <w:rsid w:val="00FD3233"/>
    <w:rsid w:val="00FD3D6A"/>
    <w:rsid w:val="00FD44D6"/>
    <w:rsid w:val="00FD479E"/>
    <w:rsid w:val="00FD7A61"/>
    <w:rsid w:val="00FD7B80"/>
    <w:rsid w:val="00FE0A8C"/>
    <w:rsid w:val="00FE2E1F"/>
    <w:rsid w:val="00FE4EB5"/>
    <w:rsid w:val="00FE52A0"/>
    <w:rsid w:val="00FE5ED9"/>
    <w:rsid w:val="00FE61E3"/>
    <w:rsid w:val="00FE6365"/>
    <w:rsid w:val="00FE6389"/>
    <w:rsid w:val="00FE6D68"/>
    <w:rsid w:val="00FE73A7"/>
    <w:rsid w:val="00FE7A72"/>
    <w:rsid w:val="00FF1B9E"/>
    <w:rsid w:val="00FF4352"/>
    <w:rsid w:val="00FF4E3F"/>
    <w:rsid w:val="00FF563E"/>
    <w:rsid w:val="00FF6094"/>
    <w:rsid w:val="00FF6A0C"/>
    <w:rsid w:val="00FF6B77"/>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F7B14"/>
  <w15:docId w15:val="{8A79B5AC-F26A-49E8-A49C-BFA0EDA78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lt-LT" w:eastAsia="lt-L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cs="Arial Unicode MS"/>
      <w:color w:val="000000"/>
      <w:sz w:val="24"/>
      <w:szCs w:val="24"/>
      <w:u w:color="000000"/>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Pr>
      <w:u w:val="single"/>
    </w:rPr>
  </w:style>
  <w:style w:type="paragraph" w:styleId="Antrats">
    <w:name w:val="header"/>
    <w:pPr>
      <w:tabs>
        <w:tab w:val="center" w:pos="4153"/>
        <w:tab w:val="right" w:pos="8306"/>
      </w:tabs>
    </w:pPr>
    <w:rPr>
      <w:rFonts w:cs="Arial Unicode MS"/>
      <w:color w:val="000000"/>
      <w:sz w:val="24"/>
      <w:szCs w:val="24"/>
      <w:u w:color="000000"/>
      <w:lang w:val="en-US"/>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Pagrindinistekstas">
    <w:name w:val="Body Text"/>
    <w:link w:val="PagrindinistekstasDiagrama"/>
    <w:pPr>
      <w:jc w:val="both"/>
    </w:pPr>
    <w:rPr>
      <w:rFonts w:cs="Arial Unicode MS"/>
      <w:color w:val="000000"/>
      <w:sz w:val="24"/>
      <w:szCs w:val="24"/>
      <w:u w:color="000000"/>
      <w:lang w:val="en-US"/>
    </w:rPr>
  </w:style>
  <w:style w:type="numbering" w:customStyle="1" w:styleId="ImportedStyle1">
    <w:name w:val="Imported Style 1"/>
    <w:pPr>
      <w:numPr>
        <w:numId w:val="1"/>
      </w:numPr>
    </w:pPr>
  </w:style>
  <w:style w:type="paragraph" w:styleId="Betarp">
    <w:name w:val="No Spacing"/>
    <w:uiPriority w:val="99"/>
    <w:qFormat/>
    <w:rPr>
      <w:rFonts w:ascii="Calibri" w:hAnsi="Calibri" w:cs="Arial Unicode MS"/>
      <w:color w:val="000000"/>
      <w:sz w:val="22"/>
      <w:szCs w:val="22"/>
      <w:u w:color="000000"/>
      <w:lang w:val="de-DE"/>
    </w:rPr>
  </w:style>
  <w:style w:type="paragraph" w:styleId="Sraopastraipa">
    <w:name w:val="List Paragraph"/>
    <w:link w:val="SraopastraipaDiagrama"/>
    <w:uiPriority w:val="34"/>
    <w:qFormat/>
    <w:pPr>
      <w:ind w:left="720"/>
    </w:pPr>
    <w:rPr>
      <w:rFonts w:cs="Arial Unicode MS"/>
      <w:color w:val="000000"/>
      <w:sz w:val="24"/>
      <w:szCs w:val="24"/>
      <w:u w:color="000000"/>
      <w:lang w:val="en-US"/>
    </w:rPr>
  </w:style>
  <w:style w:type="paragraph" w:customStyle="1" w:styleId="Bodytext2">
    <w:name w:val="Body text (2)"/>
    <w:link w:val="Bodytext20"/>
    <w:rsid w:val="000547B1"/>
    <w:pPr>
      <w:widowControl w:val="0"/>
      <w:shd w:val="clear" w:color="auto" w:fill="FFFFFF"/>
      <w:spacing w:before="60" w:after="360" w:line="20" w:lineRule="exact"/>
      <w:jc w:val="center"/>
    </w:pPr>
    <w:rPr>
      <w:rFonts w:ascii="Arial" w:hAnsi="Arial" w:cs="Arial Unicode MS"/>
      <w:color w:val="000000"/>
      <w:sz w:val="22"/>
      <w:szCs w:val="22"/>
      <w:u w:color="000000"/>
    </w:rPr>
  </w:style>
  <w:style w:type="numbering" w:customStyle="1" w:styleId="ImportedStyle2">
    <w:name w:val="Imported Style 2"/>
    <w:rsid w:val="000547B1"/>
    <w:pPr>
      <w:numPr>
        <w:numId w:val="5"/>
      </w:numPr>
    </w:pPr>
  </w:style>
  <w:style w:type="character" w:customStyle="1" w:styleId="Hyperlink0">
    <w:name w:val="Hyperlink.0"/>
    <w:basedOn w:val="Numatytasispastraiposriftas"/>
    <w:rsid w:val="00643F0C"/>
  </w:style>
  <w:style w:type="character" w:customStyle="1" w:styleId="None">
    <w:name w:val="None"/>
    <w:rsid w:val="008F0FAF"/>
  </w:style>
  <w:style w:type="paragraph" w:customStyle="1" w:styleId="Default">
    <w:name w:val="Default"/>
    <w:rsid w:val="003B165E"/>
    <w:pPr>
      <w:spacing w:before="160" w:line="288" w:lineRule="auto"/>
    </w:pPr>
    <w:rPr>
      <w:rFonts w:ascii="Helvetica Neue" w:hAnsi="Helvetica Neue" w:cs="Arial Unicode MS"/>
      <w:color w:val="000000"/>
      <w:sz w:val="24"/>
      <w:szCs w:val="24"/>
      <w:u w:color="000000"/>
      <w:lang w:val="en-US" w:eastAsia="en-US"/>
      <w14:textOutline w14:w="12700" w14:cap="flat" w14:cmpd="sng" w14:algn="ctr">
        <w14:noFill/>
        <w14:prstDash w14:val="solid"/>
        <w14:miter w14:lim="400000"/>
      </w14:textOutline>
    </w:rPr>
  </w:style>
  <w:style w:type="character" w:customStyle="1" w:styleId="PagrindinistekstasDiagrama">
    <w:name w:val="Pagrindinis tekstas Diagrama"/>
    <w:basedOn w:val="Numatytasispastraiposriftas"/>
    <w:link w:val="Pagrindinistekstas"/>
    <w:rsid w:val="00252309"/>
    <w:rPr>
      <w:rFonts w:cs="Arial Unicode MS"/>
      <w:color w:val="000000"/>
      <w:sz w:val="24"/>
      <w:szCs w:val="24"/>
      <w:u w:color="000000"/>
      <w:lang w:val="en-US"/>
    </w:rPr>
  </w:style>
  <w:style w:type="character" w:customStyle="1" w:styleId="bkg-highlight-red">
    <w:name w:val="bkg-highlight-red"/>
    <w:basedOn w:val="Numatytasispastraiposriftas"/>
    <w:rsid w:val="003E449B"/>
  </w:style>
  <w:style w:type="character" w:styleId="Emfaz">
    <w:name w:val="Emphasis"/>
    <w:basedOn w:val="Numatytasispastraiposriftas"/>
    <w:uiPriority w:val="20"/>
    <w:qFormat/>
    <w:rsid w:val="003E449B"/>
    <w:rPr>
      <w:i/>
      <w:iCs/>
    </w:rPr>
  </w:style>
  <w:style w:type="paragraph" w:customStyle="1" w:styleId="taltipfb">
    <w:name w:val="taltipfb"/>
    <w:basedOn w:val="prastasis"/>
    <w:rsid w:val="00E37F2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lang w:val="lt-LT"/>
    </w:rPr>
  </w:style>
  <w:style w:type="paragraph" w:customStyle="1" w:styleId="n">
    <w:name w:val="n"/>
    <w:basedOn w:val="prastasis"/>
    <w:rsid w:val="00E37F2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lang w:val="lt-LT"/>
    </w:rPr>
  </w:style>
  <w:style w:type="paragraph" w:customStyle="1" w:styleId="normal-p">
    <w:name w:val="normal-p"/>
    <w:basedOn w:val="prastasis"/>
    <w:rsid w:val="00B4156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lang w:val="lt-LT"/>
    </w:rPr>
  </w:style>
  <w:style w:type="character" w:customStyle="1" w:styleId="normal-h">
    <w:name w:val="normal-h"/>
    <w:basedOn w:val="Numatytasispastraiposriftas"/>
    <w:rsid w:val="00B41565"/>
  </w:style>
  <w:style w:type="character" w:customStyle="1" w:styleId="Bodytext8NotItalic">
    <w:name w:val="Body text (8) + Not Italic"/>
    <w:basedOn w:val="Numatytasispastraiposriftas"/>
    <w:rsid w:val="00E116A8"/>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character" w:customStyle="1" w:styleId="Bodytext20">
    <w:name w:val="Body text (2)_"/>
    <w:basedOn w:val="Numatytasispastraiposriftas"/>
    <w:link w:val="Bodytext2"/>
    <w:rsid w:val="00C563C1"/>
    <w:rPr>
      <w:rFonts w:ascii="Arial" w:hAnsi="Arial" w:cs="Arial Unicode MS"/>
      <w:color w:val="000000"/>
      <w:sz w:val="22"/>
      <w:szCs w:val="22"/>
      <w:u w:color="000000"/>
      <w:shd w:val="clear" w:color="auto" w:fill="FFFFFF"/>
    </w:rPr>
  </w:style>
  <w:style w:type="character" w:customStyle="1" w:styleId="Heading2NotBoldItalic">
    <w:name w:val="Heading #2 + Not Bold;Italic"/>
    <w:basedOn w:val="Numatytasispastraiposriftas"/>
    <w:rsid w:val="004D22CD"/>
    <w:rPr>
      <w:rFonts w:ascii="Times New Roman" w:eastAsia="Times New Roman" w:hAnsi="Times New Roman" w:cs="Times New Roman"/>
      <w:b/>
      <w:bCs/>
      <w:i/>
      <w:iCs/>
      <w:smallCaps w:val="0"/>
      <w:strike w:val="0"/>
      <w:color w:val="000000"/>
      <w:spacing w:val="0"/>
      <w:w w:val="100"/>
      <w:position w:val="0"/>
      <w:sz w:val="24"/>
      <w:szCs w:val="24"/>
      <w:u w:val="none"/>
      <w:lang w:val="lt-LT" w:eastAsia="lt-LT" w:bidi="lt-LT"/>
    </w:rPr>
  </w:style>
  <w:style w:type="character" w:customStyle="1" w:styleId="Heading2NotBold">
    <w:name w:val="Heading #2 + Not Bold"/>
    <w:basedOn w:val="Numatytasispastraiposriftas"/>
    <w:rsid w:val="004D22CD"/>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character" w:customStyle="1" w:styleId="Bodytext3NotItalic">
    <w:name w:val="Body text (3) + Not Italic"/>
    <w:basedOn w:val="Numatytasispastraiposriftas"/>
    <w:rsid w:val="004D22CD"/>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character" w:customStyle="1" w:styleId="Bodytext3BoldNotItalic">
    <w:name w:val="Body text (3) + Bold;Not Italic"/>
    <w:basedOn w:val="Numatytasispastraiposriftas"/>
    <w:rsid w:val="004D22CD"/>
    <w:rPr>
      <w:rFonts w:ascii="Times New Roman" w:eastAsia="Times New Roman" w:hAnsi="Times New Roman" w:cs="Times New Roman"/>
      <w:b/>
      <w:bCs/>
      <w:i/>
      <w:iCs/>
      <w:smallCaps w:val="0"/>
      <w:strike w:val="0"/>
      <w:color w:val="000000"/>
      <w:spacing w:val="0"/>
      <w:w w:val="100"/>
      <w:position w:val="0"/>
      <w:sz w:val="24"/>
      <w:szCs w:val="24"/>
      <w:u w:val="none"/>
      <w:lang w:val="lt-LT" w:eastAsia="lt-LT" w:bidi="lt-LT"/>
    </w:rPr>
  </w:style>
  <w:style w:type="character" w:customStyle="1" w:styleId="Bodytext9NotBold">
    <w:name w:val="Body text (9) + Not Bold"/>
    <w:basedOn w:val="Bodytext9"/>
    <w:rsid w:val="004D22CD"/>
    <w:rPr>
      <w:rFonts w:eastAsia="Times New Roman"/>
      <w:b/>
      <w:bCs/>
      <w:shd w:val="clear" w:color="auto" w:fill="FFFFFF"/>
    </w:rPr>
  </w:style>
  <w:style w:type="character" w:customStyle="1" w:styleId="Bodytext9">
    <w:name w:val="Body text (9)_"/>
    <w:basedOn w:val="Numatytasispastraiposriftas"/>
    <w:link w:val="Bodytext90"/>
    <w:rsid w:val="004D22CD"/>
    <w:rPr>
      <w:rFonts w:eastAsia="Times New Roman"/>
      <w:b/>
      <w:bCs/>
      <w:shd w:val="clear" w:color="auto" w:fill="FFFFFF"/>
    </w:rPr>
  </w:style>
  <w:style w:type="character" w:customStyle="1" w:styleId="Bodytext9NotBoldItalic">
    <w:name w:val="Body text (9) + Not Bold;Italic"/>
    <w:basedOn w:val="Bodytext9"/>
    <w:rsid w:val="004D22CD"/>
    <w:rPr>
      <w:rFonts w:eastAsia="Times New Roman"/>
      <w:b/>
      <w:bCs/>
      <w:i/>
      <w:iCs/>
      <w:color w:val="000000"/>
      <w:spacing w:val="0"/>
      <w:w w:val="100"/>
      <w:position w:val="0"/>
      <w:sz w:val="24"/>
      <w:szCs w:val="24"/>
      <w:shd w:val="clear" w:color="auto" w:fill="FFFFFF"/>
      <w:lang w:val="lt-LT" w:eastAsia="lt-LT" w:bidi="lt-LT"/>
    </w:rPr>
  </w:style>
  <w:style w:type="paragraph" w:customStyle="1" w:styleId="Bodytext90">
    <w:name w:val="Body text (9)"/>
    <w:basedOn w:val="prastasis"/>
    <w:link w:val="Bodytext9"/>
    <w:rsid w:val="004D22CD"/>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240" w:line="270" w:lineRule="exact"/>
      <w:ind w:hanging="600"/>
      <w:jc w:val="both"/>
    </w:pPr>
    <w:rPr>
      <w:rFonts w:eastAsia="Times New Roman" w:cs="Times New Roman"/>
      <w:b/>
      <w:bCs/>
      <w:color w:val="auto"/>
      <w:sz w:val="20"/>
      <w:szCs w:val="20"/>
      <w:lang w:val="lt-LT"/>
    </w:rPr>
  </w:style>
  <w:style w:type="character" w:customStyle="1" w:styleId="Bodytext2Italic">
    <w:name w:val="Body text (2) + Italic"/>
    <w:basedOn w:val="Bodytext20"/>
    <w:rsid w:val="00744A12"/>
    <w:rPr>
      <w:rFonts w:ascii="Times New Roman" w:eastAsia="Times New Roman" w:hAnsi="Times New Roman" w:cs="Times New Roman"/>
      <w:b w:val="0"/>
      <w:bCs w:val="0"/>
      <w:i/>
      <w:iCs/>
      <w:smallCaps w:val="0"/>
      <w:strike w:val="0"/>
      <w:color w:val="000000"/>
      <w:spacing w:val="0"/>
      <w:w w:val="100"/>
      <w:position w:val="0"/>
      <w:sz w:val="24"/>
      <w:szCs w:val="24"/>
      <w:u w:val="none" w:color="000000"/>
      <w:shd w:val="clear" w:color="auto" w:fill="FFFFFF"/>
      <w:lang w:val="lt-LT" w:eastAsia="lt-LT" w:bidi="lt-LT"/>
    </w:rPr>
  </w:style>
  <w:style w:type="character" w:customStyle="1" w:styleId="Bodytext2Bold">
    <w:name w:val="Body text (2) + Bold"/>
    <w:basedOn w:val="Bodytext20"/>
    <w:rsid w:val="00744A12"/>
    <w:rPr>
      <w:rFonts w:ascii="Times New Roman" w:eastAsia="Times New Roman" w:hAnsi="Times New Roman" w:cs="Times New Roman"/>
      <w:b/>
      <w:bCs/>
      <w:i w:val="0"/>
      <w:iCs w:val="0"/>
      <w:smallCaps w:val="0"/>
      <w:strike w:val="0"/>
      <w:color w:val="000000"/>
      <w:spacing w:val="0"/>
      <w:w w:val="100"/>
      <w:position w:val="0"/>
      <w:sz w:val="24"/>
      <w:szCs w:val="24"/>
      <w:u w:val="none" w:color="000000"/>
      <w:shd w:val="clear" w:color="auto" w:fill="FFFFFF"/>
      <w:lang w:val="lt-LT" w:eastAsia="lt-LT" w:bidi="lt-LT"/>
    </w:rPr>
  </w:style>
  <w:style w:type="character" w:customStyle="1" w:styleId="Bodytext6Garamond39ptBoldItalicSpacing0ptExact">
    <w:name w:val="Body text (6) + Garamond;39 pt;Bold;Italic;Spacing 0 pt Exact"/>
    <w:basedOn w:val="Numatytasispastraiposriftas"/>
    <w:rsid w:val="00330FFB"/>
    <w:rPr>
      <w:rFonts w:ascii="Garamond" w:eastAsia="Garamond" w:hAnsi="Garamond" w:cs="Garamond"/>
      <w:b/>
      <w:bCs/>
      <w:i/>
      <w:iCs/>
      <w:smallCaps w:val="0"/>
      <w:strike w:val="0"/>
      <w:color w:val="000000"/>
      <w:spacing w:val="0"/>
      <w:w w:val="100"/>
      <w:position w:val="0"/>
      <w:sz w:val="78"/>
      <w:szCs w:val="78"/>
      <w:u w:val="none"/>
      <w:lang w:val="lt-LT" w:eastAsia="lt-LT" w:bidi="lt-LT"/>
    </w:rPr>
  </w:style>
  <w:style w:type="character" w:customStyle="1" w:styleId="Bodytext8BoldNotItalic">
    <w:name w:val="Body text (8) + Bold;Not Italic"/>
    <w:basedOn w:val="Numatytasispastraiposriftas"/>
    <w:rsid w:val="00163194"/>
    <w:rPr>
      <w:rFonts w:ascii="Times New Roman" w:eastAsia="Times New Roman" w:hAnsi="Times New Roman" w:cs="Times New Roman"/>
      <w:b/>
      <w:bCs/>
      <w:i/>
      <w:iCs/>
      <w:smallCaps w:val="0"/>
      <w:strike w:val="0"/>
      <w:color w:val="000000"/>
      <w:spacing w:val="0"/>
      <w:w w:val="100"/>
      <w:position w:val="0"/>
      <w:sz w:val="24"/>
      <w:szCs w:val="24"/>
      <w:u w:val="none"/>
      <w:lang w:val="lt-LT" w:eastAsia="lt-LT" w:bidi="lt-LT"/>
    </w:rPr>
  </w:style>
  <w:style w:type="character" w:customStyle="1" w:styleId="Bodytext8Bold">
    <w:name w:val="Body text (8) + Bold"/>
    <w:basedOn w:val="Numatytasispastraiposriftas"/>
    <w:rsid w:val="00163194"/>
    <w:rPr>
      <w:rFonts w:ascii="Times New Roman" w:eastAsia="Times New Roman" w:hAnsi="Times New Roman" w:cs="Times New Roman"/>
      <w:b/>
      <w:bCs/>
      <w:i/>
      <w:iCs/>
      <w:smallCaps w:val="0"/>
      <w:strike w:val="0"/>
      <w:color w:val="000000"/>
      <w:spacing w:val="0"/>
      <w:w w:val="100"/>
      <w:position w:val="0"/>
      <w:sz w:val="24"/>
      <w:szCs w:val="24"/>
      <w:u w:val="none"/>
      <w:lang w:val="lt-LT" w:eastAsia="lt-LT" w:bidi="lt-LT"/>
    </w:rPr>
  </w:style>
  <w:style w:type="character" w:customStyle="1" w:styleId="Hyperlink1">
    <w:name w:val="Hyperlink.1"/>
    <w:rsid w:val="00B33157"/>
    <w:rPr>
      <w:rFonts w:ascii="Times New Roman" w:eastAsia="Times New Roman" w:hAnsi="Times New Roman" w:cs="Times New Roman"/>
      <w:sz w:val="24"/>
      <w:szCs w:val="24"/>
    </w:rPr>
  </w:style>
  <w:style w:type="character" w:customStyle="1" w:styleId="Hyperlink2">
    <w:name w:val="Hyperlink.2"/>
    <w:basedOn w:val="Numatytasispastraiposriftas"/>
    <w:rsid w:val="00B33157"/>
    <w:rPr>
      <w:rFonts w:ascii="Times New Roman" w:hAnsi="Times New Roman"/>
      <w:sz w:val="24"/>
    </w:rPr>
  </w:style>
  <w:style w:type="character" w:customStyle="1" w:styleId="NoneA">
    <w:name w:val="None A"/>
    <w:rsid w:val="000C64B2"/>
    <w:rPr>
      <w:lang w:val="en-US"/>
    </w:rPr>
  </w:style>
  <w:style w:type="character" w:customStyle="1" w:styleId="Bodytext4">
    <w:name w:val="Body text (4)_"/>
    <w:basedOn w:val="Numatytasispastraiposriftas"/>
    <w:link w:val="Bodytext40"/>
    <w:rsid w:val="008530CE"/>
    <w:rPr>
      <w:rFonts w:eastAsia="Times New Roman"/>
      <w:b/>
      <w:bCs/>
      <w:shd w:val="clear" w:color="auto" w:fill="FFFFFF"/>
    </w:rPr>
  </w:style>
  <w:style w:type="character" w:customStyle="1" w:styleId="Bodytext4Italic">
    <w:name w:val="Body text (4) + Italic"/>
    <w:basedOn w:val="Bodytext4"/>
    <w:rsid w:val="008530CE"/>
    <w:rPr>
      <w:rFonts w:eastAsia="Times New Roman"/>
      <w:b/>
      <w:bCs/>
      <w:i/>
      <w:iCs/>
      <w:color w:val="000000"/>
      <w:spacing w:val="0"/>
      <w:w w:val="100"/>
      <w:position w:val="0"/>
      <w:sz w:val="24"/>
      <w:szCs w:val="24"/>
      <w:shd w:val="clear" w:color="auto" w:fill="FFFFFF"/>
      <w:lang w:val="lt-LT" w:eastAsia="lt-LT" w:bidi="lt-LT"/>
    </w:rPr>
  </w:style>
  <w:style w:type="paragraph" w:customStyle="1" w:styleId="Bodytext40">
    <w:name w:val="Body text (4)"/>
    <w:basedOn w:val="prastasis"/>
    <w:link w:val="Bodytext4"/>
    <w:rsid w:val="008530CE"/>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4" w:lineRule="exact"/>
      <w:ind w:hanging="620"/>
    </w:pPr>
    <w:rPr>
      <w:rFonts w:eastAsia="Times New Roman" w:cs="Times New Roman"/>
      <w:b/>
      <w:bCs/>
      <w:color w:val="auto"/>
      <w:sz w:val="20"/>
      <w:szCs w:val="20"/>
      <w:lang w:val="lt-LT"/>
    </w:rPr>
  </w:style>
  <w:style w:type="character" w:customStyle="1" w:styleId="Bodytext411ptNotBold">
    <w:name w:val="Body text (4) + 11 pt;Not Bold"/>
    <w:basedOn w:val="Bodytext4"/>
    <w:rsid w:val="00F86BC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paragraph" w:customStyle="1" w:styleId="tartin">
    <w:name w:val="tartin"/>
    <w:basedOn w:val="prastasis"/>
    <w:rsid w:val="0028429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lang w:val="lt-LT"/>
    </w:rPr>
  </w:style>
  <w:style w:type="paragraph" w:customStyle="1" w:styleId="tajtip">
    <w:name w:val="tajtip"/>
    <w:basedOn w:val="prastasis"/>
    <w:rsid w:val="0028429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lang w:val="lt-LT"/>
    </w:rPr>
  </w:style>
  <w:style w:type="character" w:customStyle="1" w:styleId="bkg-highlight-blue">
    <w:name w:val="bkg-highlight-blue"/>
    <w:basedOn w:val="Numatytasispastraiposriftas"/>
    <w:rsid w:val="00A44C67"/>
  </w:style>
  <w:style w:type="character" w:customStyle="1" w:styleId="SraopastraipaDiagrama">
    <w:name w:val="Sąrašo pastraipa Diagrama"/>
    <w:basedOn w:val="Numatytasispastraiposriftas"/>
    <w:link w:val="Sraopastraipa"/>
    <w:uiPriority w:val="34"/>
    <w:rsid w:val="008622E6"/>
    <w:rPr>
      <w:rFonts w:cs="Arial Unicode MS"/>
      <w:color w:val="000000"/>
      <w:sz w:val="24"/>
      <w:szCs w:val="24"/>
      <w:u w:color="000000"/>
      <w:lang w:val="en-US"/>
    </w:rPr>
  </w:style>
  <w:style w:type="character" w:customStyle="1" w:styleId="Bodytext6Exact">
    <w:name w:val="Body text (6) Exact"/>
    <w:basedOn w:val="Numatytasispastraiposriftas"/>
    <w:link w:val="Bodytext6"/>
    <w:rsid w:val="0005069C"/>
    <w:rPr>
      <w:rFonts w:ascii="Arial" w:eastAsia="Arial" w:hAnsi="Arial" w:cs="Arial"/>
      <w:sz w:val="8"/>
      <w:szCs w:val="8"/>
      <w:shd w:val="clear" w:color="auto" w:fill="FFFFFF"/>
    </w:rPr>
  </w:style>
  <w:style w:type="paragraph" w:customStyle="1" w:styleId="Bodytext6">
    <w:name w:val="Body text (6)"/>
    <w:basedOn w:val="prastasis"/>
    <w:link w:val="Bodytext6Exact"/>
    <w:rsid w:val="0005069C"/>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0" w:lineRule="atLeast"/>
    </w:pPr>
    <w:rPr>
      <w:rFonts w:ascii="Arial" w:eastAsia="Arial" w:hAnsi="Arial" w:cs="Arial"/>
      <w:color w:val="auto"/>
      <w:sz w:val="8"/>
      <w:szCs w:val="8"/>
      <w:lang w:val="lt-LT"/>
    </w:rPr>
  </w:style>
  <w:style w:type="paragraph" w:customStyle="1" w:styleId="Standard">
    <w:name w:val="Standard"/>
    <w:rsid w:val="002A49F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pPr>
    <w:rPr>
      <w:rFonts w:eastAsia="Times New Roman"/>
      <w:kern w:val="3"/>
      <w:sz w:val="24"/>
      <w:bdr w:val="none" w:sz="0" w:space="0" w:color="auto"/>
      <w:lang w:eastAsia="zh-CN"/>
    </w:rPr>
  </w:style>
  <w:style w:type="paragraph" w:customStyle="1" w:styleId="Textbody">
    <w:name w:val="Text body"/>
    <w:basedOn w:val="Standard"/>
    <w:rsid w:val="002A49FF"/>
    <w:pPr>
      <w:spacing w:after="140" w:line="288" w:lineRule="auto"/>
    </w:pPr>
  </w:style>
  <w:style w:type="paragraph" w:styleId="Puslapioinaostekstas">
    <w:name w:val="footnote text"/>
    <w:basedOn w:val="prastasis"/>
    <w:link w:val="PuslapioinaostekstasDiagrama"/>
    <w:uiPriority w:val="99"/>
    <w:unhideWhenUsed/>
    <w:rsid w:val="00536030"/>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color w:val="auto"/>
      <w:sz w:val="20"/>
      <w:szCs w:val="20"/>
      <w:bdr w:val="none" w:sz="0" w:space="0" w:color="auto"/>
      <w:lang w:val="lt-LT" w:eastAsia="en-US"/>
    </w:rPr>
  </w:style>
  <w:style w:type="character" w:customStyle="1" w:styleId="PuslapioinaostekstasDiagrama">
    <w:name w:val="Puslapio išnašos tekstas Diagrama"/>
    <w:basedOn w:val="Numatytasispastraiposriftas"/>
    <w:link w:val="Puslapioinaostekstas"/>
    <w:uiPriority w:val="99"/>
    <w:rsid w:val="00536030"/>
    <w:rPr>
      <w:rFonts w:asciiTheme="minorHAnsi" w:eastAsiaTheme="minorHAnsi" w:hAnsiTheme="minorHAnsi" w:cstheme="minorBidi"/>
      <w:bdr w:val="none" w:sz="0" w:space="0" w:color="auto"/>
      <w:lang w:eastAsia="en-US"/>
    </w:rPr>
  </w:style>
  <w:style w:type="character" w:styleId="Puslapioinaosnuoroda">
    <w:name w:val="footnote reference"/>
    <w:basedOn w:val="Numatytasispastraiposriftas"/>
    <w:uiPriority w:val="99"/>
    <w:semiHidden/>
    <w:unhideWhenUsed/>
    <w:rsid w:val="00536030"/>
    <w:rPr>
      <w:vertAlign w:val="superscript"/>
    </w:rPr>
  </w:style>
  <w:style w:type="paragraph" w:styleId="prastasiniatinklio">
    <w:name w:val="Normal (Web)"/>
    <w:basedOn w:val="prastasis"/>
    <w:uiPriority w:val="99"/>
    <w:semiHidden/>
    <w:unhideWhenUsed/>
    <w:rsid w:val="007D05D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lang w:val="lt-LT"/>
    </w:rPr>
  </w:style>
  <w:style w:type="character" w:styleId="Neapdorotaspaminjimas">
    <w:name w:val="Unresolved Mention"/>
    <w:basedOn w:val="Numatytasispastraiposriftas"/>
    <w:uiPriority w:val="99"/>
    <w:semiHidden/>
    <w:unhideWhenUsed/>
    <w:rsid w:val="00934EF7"/>
    <w:rPr>
      <w:color w:val="605E5C"/>
      <w:shd w:val="clear" w:color="auto" w:fill="E1DFDD"/>
    </w:rPr>
  </w:style>
  <w:style w:type="character" w:styleId="Perirtashipersaitas">
    <w:name w:val="FollowedHyperlink"/>
    <w:basedOn w:val="Numatytasispastraiposriftas"/>
    <w:uiPriority w:val="99"/>
    <w:semiHidden/>
    <w:unhideWhenUsed/>
    <w:rsid w:val="00AA2D46"/>
    <w:rPr>
      <w:color w:val="FF00FF" w:themeColor="followedHyperlink"/>
      <w:u w:val="single"/>
    </w:rPr>
  </w:style>
  <w:style w:type="character" w:customStyle="1" w:styleId="Bodytext3">
    <w:name w:val="Body text (3)_"/>
    <w:basedOn w:val="Numatytasispastraiposriftas"/>
    <w:link w:val="Bodytext30"/>
    <w:rsid w:val="00956961"/>
    <w:rPr>
      <w:rFonts w:eastAsia="Times New Roman"/>
      <w:i/>
      <w:iCs/>
      <w:shd w:val="clear" w:color="auto" w:fill="FFFFFF"/>
    </w:rPr>
  </w:style>
  <w:style w:type="paragraph" w:customStyle="1" w:styleId="Bodytext30">
    <w:name w:val="Body text (3)"/>
    <w:basedOn w:val="prastasis"/>
    <w:link w:val="Bodytext3"/>
    <w:rsid w:val="00956961"/>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360" w:after="180" w:line="0" w:lineRule="atLeast"/>
      <w:ind w:hanging="360"/>
      <w:jc w:val="both"/>
    </w:pPr>
    <w:rPr>
      <w:rFonts w:eastAsia="Times New Roman" w:cs="Times New Roman"/>
      <w:i/>
      <w:iCs/>
      <w:color w:val="auto"/>
      <w:sz w:val="20"/>
      <w:szCs w:val="20"/>
      <w:lang w:val="lt-LT"/>
    </w:rPr>
  </w:style>
  <w:style w:type="paragraph" w:styleId="Porat">
    <w:name w:val="footer"/>
    <w:link w:val="PoratDiagrama"/>
    <w:uiPriority w:val="99"/>
    <w:unhideWhenUsed/>
    <w:rsid w:val="00842FF1"/>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pPr>
    <w:rPr>
      <w:rFonts w:ascii="Arial" w:eastAsiaTheme="minorHAnsi" w:hAnsi="Arial" w:cs="Times New Roman (Body CS)"/>
      <w:color w:val="535353" w:themeColor="background2"/>
      <w:sz w:val="16"/>
      <w:szCs w:val="16"/>
      <w:bdr w:val="none" w:sz="0" w:space="0" w:color="auto"/>
      <w:lang w:eastAsia="en-US"/>
    </w:rPr>
  </w:style>
  <w:style w:type="character" w:customStyle="1" w:styleId="PoratDiagrama">
    <w:name w:val="Poraštė Diagrama"/>
    <w:basedOn w:val="Numatytasispastraiposriftas"/>
    <w:link w:val="Porat"/>
    <w:uiPriority w:val="99"/>
    <w:rsid w:val="00842FF1"/>
    <w:rPr>
      <w:rFonts w:ascii="Arial" w:eastAsiaTheme="minorHAnsi" w:hAnsi="Arial" w:cs="Times New Roman (Body CS)"/>
      <w:color w:val="535353" w:themeColor="background2"/>
      <w:sz w:val="16"/>
      <w:szCs w:val="16"/>
      <w:bdr w:val="none" w:sz="0" w:space="0" w:color="auto"/>
      <w:lang w:eastAsia="en-US"/>
    </w:rPr>
  </w:style>
  <w:style w:type="paragraph" w:styleId="Sraassuenkleliais">
    <w:name w:val="List Bullet"/>
    <w:basedOn w:val="Sraopastraipa"/>
    <w:uiPriority w:val="99"/>
    <w:unhideWhenUsed/>
    <w:rsid w:val="00842FF1"/>
    <w:pPr>
      <w:widowControl w:val="0"/>
      <w:numPr>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80" w:line="240" w:lineRule="exact"/>
    </w:pPr>
    <w:rPr>
      <w:rFonts w:ascii="Arial" w:eastAsia="MS Mincho" w:hAnsi="Arial" w:cs="Arial"/>
      <w:color w:val="000000" w:themeColor="text1"/>
      <w:sz w:val="20"/>
      <w:szCs w:val="20"/>
      <w:bdr w:val="none" w:sz="0" w:space="0" w:color="auto"/>
      <w:lang w:val="en-GB" w:eastAsia="en-US"/>
    </w:rPr>
  </w:style>
  <w:style w:type="character" w:customStyle="1" w:styleId="Numatytasispastraiposriftas1">
    <w:name w:val="Numatytasis pastraipos šriftas1"/>
    <w:rsid w:val="002731C5"/>
  </w:style>
  <w:style w:type="character" w:styleId="Komentaronuoroda">
    <w:name w:val="annotation reference"/>
    <w:basedOn w:val="Numatytasispastraiposriftas"/>
    <w:uiPriority w:val="99"/>
    <w:semiHidden/>
    <w:unhideWhenUsed/>
    <w:rsid w:val="00D8798E"/>
    <w:rPr>
      <w:sz w:val="16"/>
      <w:szCs w:val="16"/>
    </w:rPr>
  </w:style>
  <w:style w:type="paragraph" w:styleId="Komentarotekstas">
    <w:name w:val="annotation text"/>
    <w:basedOn w:val="prastasis"/>
    <w:link w:val="KomentarotekstasDiagrama"/>
    <w:uiPriority w:val="99"/>
    <w:unhideWhenUsed/>
    <w:rsid w:val="00D8798E"/>
    <w:rPr>
      <w:sz w:val="20"/>
      <w:szCs w:val="20"/>
    </w:rPr>
  </w:style>
  <w:style w:type="character" w:customStyle="1" w:styleId="KomentarotekstasDiagrama">
    <w:name w:val="Komentaro tekstas Diagrama"/>
    <w:basedOn w:val="Numatytasispastraiposriftas"/>
    <w:link w:val="Komentarotekstas"/>
    <w:uiPriority w:val="99"/>
    <w:semiHidden/>
    <w:rsid w:val="00D8798E"/>
    <w:rPr>
      <w:rFonts w:cs="Arial Unicode MS"/>
      <w:color w:val="000000"/>
      <w:u w:color="000000"/>
      <w:lang w:val="en-US"/>
    </w:rPr>
  </w:style>
  <w:style w:type="paragraph" w:styleId="Komentarotema">
    <w:name w:val="annotation subject"/>
    <w:basedOn w:val="Komentarotekstas"/>
    <w:next w:val="Komentarotekstas"/>
    <w:link w:val="KomentarotemaDiagrama"/>
    <w:uiPriority w:val="99"/>
    <w:semiHidden/>
    <w:unhideWhenUsed/>
    <w:rsid w:val="00D8798E"/>
    <w:rPr>
      <w:b/>
      <w:bCs/>
    </w:rPr>
  </w:style>
  <w:style w:type="character" w:customStyle="1" w:styleId="KomentarotemaDiagrama">
    <w:name w:val="Komentaro tema Diagrama"/>
    <w:basedOn w:val="KomentarotekstasDiagrama"/>
    <w:link w:val="Komentarotema"/>
    <w:uiPriority w:val="99"/>
    <w:semiHidden/>
    <w:rsid w:val="00D8798E"/>
    <w:rPr>
      <w:rFonts w:cs="Arial Unicode MS"/>
      <w:b/>
      <w:bCs/>
      <w:color w:val="000000"/>
      <w:u w:color="000000"/>
      <w:lang w:val="en-US"/>
    </w:rPr>
  </w:style>
  <w:style w:type="paragraph" w:styleId="Pataisymai">
    <w:name w:val="Revision"/>
    <w:hidden/>
    <w:uiPriority w:val="99"/>
    <w:semiHidden/>
    <w:rsid w:val="008A7702"/>
    <w:pPr>
      <w:pBdr>
        <w:top w:val="none" w:sz="0" w:space="0" w:color="auto"/>
        <w:left w:val="none" w:sz="0" w:space="0" w:color="auto"/>
        <w:bottom w:val="none" w:sz="0" w:space="0" w:color="auto"/>
        <w:right w:val="none" w:sz="0" w:space="0" w:color="auto"/>
        <w:between w:val="none" w:sz="0" w:space="0" w:color="auto"/>
        <w:bar w:val="none" w:sz="0" w:color="auto"/>
      </w:pBdr>
    </w:pPr>
    <w:rPr>
      <w:rFonts w:cs="Arial Unicode MS"/>
      <w:color w:val="000000"/>
      <w:sz w:val="24"/>
      <w:szCs w:val="24"/>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446262">
      <w:bodyDiv w:val="1"/>
      <w:marLeft w:val="0"/>
      <w:marRight w:val="0"/>
      <w:marTop w:val="0"/>
      <w:marBottom w:val="0"/>
      <w:divBdr>
        <w:top w:val="none" w:sz="0" w:space="0" w:color="auto"/>
        <w:left w:val="none" w:sz="0" w:space="0" w:color="auto"/>
        <w:bottom w:val="none" w:sz="0" w:space="0" w:color="auto"/>
        <w:right w:val="none" w:sz="0" w:space="0" w:color="auto"/>
      </w:divBdr>
    </w:div>
    <w:div w:id="213738038">
      <w:bodyDiv w:val="1"/>
      <w:marLeft w:val="0"/>
      <w:marRight w:val="0"/>
      <w:marTop w:val="0"/>
      <w:marBottom w:val="0"/>
      <w:divBdr>
        <w:top w:val="none" w:sz="0" w:space="0" w:color="auto"/>
        <w:left w:val="none" w:sz="0" w:space="0" w:color="auto"/>
        <w:bottom w:val="none" w:sz="0" w:space="0" w:color="auto"/>
        <w:right w:val="none" w:sz="0" w:space="0" w:color="auto"/>
      </w:divBdr>
      <w:divsChild>
        <w:div w:id="187255703">
          <w:marLeft w:val="0"/>
          <w:marRight w:val="0"/>
          <w:marTop w:val="0"/>
          <w:marBottom w:val="0"/>
          <w:divBdr>
            <w:top w:val="none" w:sz="0" w:space="0" w:color="auto"/>
            <w:left w:val="none" w:sz="0" w:space="0" w:color="auto"/>
            <w:bottom w:val="none" w:sz="0" w:space="0" w:color="auto"/>
            <w:right w:val="none" w:sz="0" w:space="0" w:color="auto"/>
          </w:divBdr>
        </w:div>
      </w:divsChild>
    </w:div>
    <w:div w:id="225384540">
      <w:bodyDiv w:val="1"/>
      <w:marLeft w:val="0"/>
      <w:marRight w:val="0"/>
      <w:marTop w:val="0"/>
      <w:marBottom w:val="0"/>
      <w:divBdr>
        <w:top w:val="none" w:sz="0" w:space="0" w:color="auto"/>
        <w:left w:val="none" w:sz="0" w:space="0" w:color="auto"/>
        <w:bottom w:val="none" w:sz="0" w:space="0" w:color="auto"/>
        <w:right w:val="none" w:sz="0" w:space="0" w:color="auto"/>
      </w:divBdr>
    </w:div>
    <w:div w:id="242226599">
      <w:bodyDiv w:val="1"/>
      <w:marLeft w:val="0"/>
      <w:marRight w:val="0"/>
      <w:marTop w:val="0"/>
      <w:marBottom w:val="0"/>
      <w:divBdr>
        <w:top w:val="none" w:sz="0" w:space="0" w:color="auto"/>
        <w:left w:val="none" w:sz="0" w:space="0" w:color="auto"/>
        <w:bottom w:val="none" w:sz="0" w:space="0" w:color="auto"/>
        <w:right w:val="none" w:sz="0" w:space="0" w:color="auto"/>
      </w:divBdr>
    </w:div>
    <w:div w:id="297418050">
      <w:bodyDiv w:val="1"/>
      <w:marLeft w:val="0"/>
      <w:marRight w:val="0"/>
      <w:marTop w:val="0"/>
      <w:marBottom w:val="0"/>
      <w:divBdr>
        <w:top w:val="none" w:sz="0" w:space="0" w:color="auto"/>
        <w:left w:val="none" w:sz="0" w:space="0" w:color="auto"/>
        <w:bottom w:val="none" w:sz="0" w:space="0" w:color="auto"/>
        <w:right w:val="none" w:sz="0" w:space="0" w:color="auto"/>
      </w:divBdr>
    </w:div>
    <w:div w:id="305277771">
      <w:bodyDiv w:val="1"/>
      <w:marLeft w:val="0"/>
      <w:marRight w:val="0"/>
      <w:marTop w:val="0"/>
      <w:marBottom w:val="0"/>
      <w:divBdr>
        <w:top w:val="none" w:sz="0" w:space="0" w:color="auto"/>
        <w:left w:val="none" w:sz="0" w:space="0" w:color="auto"/>
        <w:bottom w:val="none" w:sz="0" w:space="0" w:color="auto"/>
        <w:right w:val="none" w:sz="0" w:space="0" w:color="auto"/>
      </w:divBdr>
    </w:div>
    <w:div w:id="454445841">
      <w:bodyDiv w:val="1"/>
      <w:marLeft w:val="0"/>
      <w:marRight w:val="0"/>
      <w:marTop w:val="0"/>
      <w:marBottom w:val="0"/>
      <w:divBdr>
        <w:top w:val="none" w:sz="0" w:space="0" w:color="auto"/>
        <w:left w:val="none" w:sz="0" w:space="0" w:color="auto"/>
        <w:bottom w:val="none" w:sz="0" w:space="0" w:color="auto"/>
        <w:right w:val="none" w:sz="0" w:space="0" w:color="auto"/>
      </w:divBdr>
    </w:div>
    <w:div w:id="638995186">
      <w:bodyDiv w:val="1"/>
      <w:marLeft w:val="0"/>
      <w:marRight w:val="0"/>
      <w:marTop w:val="0"/>
      <w:marBottom w:val="0"/>
      <w:divBdr>
        <w:top w:val="none" w:sz="0" w:space="0" w:color="auto"/>
        <w:left w:val="none" w:sz="0" w:space="0" w:color="auto"/>
        <w:bottom w:val="none" w:sz="0" w:space="0" w:color="auto"/>
        <w:right w:val="none" w:sz="0" w:space="0" w:color="auto"/>
      </w:divBdr>
    </w:div>
    <w:div w:id="678236502">
      <w:bodyDiv w:val="1"/>
      <w:marLeft w:val="0"/>
      <w:marRight w:val="0"/>
      <w:marTop w:val="0"/>
      <w:marBottom w:val="0"/>
      <w:divBdr>
        <w:top w:val="none" w:sz="0" w:space="0" w:color="auto"/>
        <w:left w:val="none" w:sz="0" w:space="0" w:color="auto"/>
        <w:bottom w:val="none" w:sz="0" w:space="0" w:color="auto"/>
        <w:right w:val="none" w:sz="0" w:space="0" w:color="auto"/>
      </w:divBdr>
    </w:div>
    <w:div w:id="723022683">
      <w:bodyDiv w:val="1"/>
      <w:marLeft w:val="0"/>
      <w:marRight w:val="0"/>
      <w:marTop w:val="0"/>
      <w:marBottom w:val="0"/>
      <w:divBdr>
        <w:top w:val="none" w:sz="0" w:space="0" w:color="auto"/>
        <w:left w:val="none" w:sz="0" w:space="0" w:color="auto"/>
        <w:bottom w:val="none" w:sz="0" w:space="0" w:color="auto"/>
        <w:right w:val="none" w:sz="0" w:space="0" w:color="auto"/>
      </w:divBdr>
    </w:div>
    <w:div w:id="794569471">
      <w:bodyDiv w:val="1"/>
      <w:marLeft w:val="0"/>
      <w:marRight w:val="0"/>
      <w:marTop w:val="0"/>
      <w:marBottom w:val="0"/>
      <w:divBdr>
        <w:top w:val="none" w:sz="0" w:space="0" w:color="auto"/>
        <w:left w:val="none" w:sz="0" w:space="0" w:color="auto"/>
        <w:bottom w:val="none" w:sz="0" w:space="0" w:color="auto"/>
        <w:right w:val="none" w:sz="0" w:space="0" w:color="auto"/>
      </w:divBdr>
    </w:div>
    <w:div w:id="838470523">
      <w:bodyDiv w:val="1"/>
      <w:marLeft w:val="0"/>
      <w:marRight w:val="0"/>
      <w:marTop w:val="0"/>
      <w:marBottom w:val="0"/>
      <w:divBdr>
        <w:top w:val="none" w:sz="0" w:space="0" w:color="auto"/>
        <w:left w:val="none" w:sz="0" w:space="0" w:color="auto"/>
        <w:bottom w:val="none" w:sz="0" w:space="0" w:color="auto"/>
        <w:right w:val="none" w:sz="0" w:space="0" w:color="auto"/>
      </w:divBdr>
    </w:div>
    <w:div w:id="916986146">
      <w:bodyDiv w:val="1"/>
      <w:marLeft w:val="0"/>
      <w:marRight w:val="0"/>
      <w:marTop w:val="0"/>
      <w:marBottom w:val="0"/>
      <w:divBdr>
        <w:top w:val="none" w:sz="0" w:space="0" w:color="auto"/>
        <w:left w:val="none" w:sz="0" w:space="0" w:color="auto"/>
        <w:bottom w:val="none" w:sz="0" w:space="0" w:color="auto"/>
        <w:right w:val="none" w:sz="0" w:space="0" w:color="auto"/>
      </w:divBdr>
    </w:div>
    <w:div w:id="919948664">
      <w:bodyDiv w:val="1"/>
      <w:marLeft w:val="0"/>
      <w:marRight w:val="0"/>
      <w:marTop w:val="0"/>
      <w:marBottom w:val="0"/>
      <w:divBdr>
        <w:top w:val="none" w:sz="0" w:space="0" w:color="auto"/>
        <w:left w:val="none" w:sz="0" w:space="0" w:color="auto"/>
        <w:bottom w:val="none" w:sz="0" w:space="0" w:color="auto"/>
        <w:right w:val="none" w:sz="0" w:space="0" w:color="auto"/>
      </w:divBdr>
    </w:div>
    <w:div w:id="1044058457">
      <w:bodyDiv w:val="1"/>
      <w:marLeft w:val="0"/>
      <w:marRight w:val="0"/>
      <w:marTop w:val="0"/>
      <w:marBottom w:val="0"/>
      <w:divBdr>
        <w:top w:val="none" w:sz="0" w:space="0" w:color="auto"/>
        <w:left w:val="none" w:sz="0" w:space="0" w:color="auto"/>
        <w:bottom w:val="none" w:sz="0" w:space="0" w:color="auto"/>
        <w:right w:val="none" w:sz="0" w:space="0" w:color="auto"/>
      </w:divBdr>
    </w:div>
    <w:div w:id="1060133033">
      <w:bodyDiv w:val="1"/>
      <w:marLeft w:val="0"/>
      <w:marRight w:val="0"/>
      <w:marTop w:val="0"/>
      <w:marBottom w:val="0"/>
      <w:divBdr>
        <w:top w:val="none" w:sz="0" w:space="0" w:color="auto"/>
        <w:left w:val="none" w:sz="0" w:space="0" w:color="auto"/>
        <w:bottom w:val="none" w:sz="0" w:space="0" w:color="auto"/>
        <w:right w:val="none" w:sz="0" w:space="0" w:color="auto"/>
      </w:divBdr>
    </w:div>
    <w:div w:id="1064177976">
      <w:bodyDiv w:val="1"/>
      <w:marLeft w:val="0"/>
      <w:marRight w:val="0"/>
      <w:marTop w:val="0"/>
      <w:marBottom w:val="0"/>
      <w:divBdr>
        <w:top w:val="none" w:sz="0" w:space="0" w:color="auto"/>
        <w:left w:val="none" w:sz="0" w:space="0" w:color="auto"/>
        <w:bottom w:val="none" w:sz="0" w:space="0" w:color="auto"/>
        <w:right w:val="none" w:sz="0" w:space="0" w:color="auto"/>
      </w:divBdr>
    </w:div>
    <w:div w:id="1104881240">
      <w:bodyDiv w:val="1"/>
      <w:marLeft w:val="0"/>
      <w:marRight w:val="0"/>
      <w:marTop w:val="0"/>
      <w:marBottom w:val="0"/>
      <w:divBdr>
        <w:top w:val="none" w:sz="0" w:space="0" w:color="auto"/>
        <w:left w:val="none" w:sz="0" w:space="0" w:color="auto"/>
        <w:bottom w:val="none" w:sz="0" w:space="0" w:color="auto"/>
        <w:right w:val="none" w:sz="0" w:space="0" w:color="auto"/>
      </w:divBdr>
    </w:div>
    <w:div w:id="1233856280">
      <w:bodyDiv w:val="1"/>
      <w:marLeft w:val="0"/>
      <w:marRight w:val="0"/>
      <w:marTop w:val="0"/>
      <w:marBottom w:val="0"/>
      <w:divBdr>
        <w:top w:val="none" w:sz="0" w:space="0" w:color="auto"/>
        <w:left w:val="none" w:sz="0" w:space="0" w:color="auto"/>
        <w:bottom w:val="none" w:sz="0" w:space="0" w:color="auto"/>
        <w:right w:val="none" w:sz="0" w:space="0" w:color="auto"/>
      </w:divBdr>
    </w:div>
    <w:div w:id="1308900962">
      <w:bodyDiv w:val="1"/>
      <w:marLeft w:val="0"/>
      <w:marRight w:val="0"/>
      <w:marTop w:val="0"/>
      <w:marBottom w:val="0"/>
      <w:divBdr>
        <w:top w:val="none" w:sz="0" w:space="0" w:color="auto"/>
        <w:left w:val="none" w:sz="0" w:space="0" w:color="auto"/>
        <w:bottom w:val="none" w:sz="0" w:space="0" w:color="auto"/>
        <w:right w:val="none" w:sz="0" w:space="0" w:color="auto"/>
      </w:divBdr>
    </w:div>
    <w:div w:id="1375807367">
      <w:bodyDiv w:val="1"/>
      <w:marLeft w:val="0"/>
      <w:marRight w:val="0"/>
      <w:marTop w:val="0"/>
      <w:marBottom w:val="0"/>
      <w:divBdr>
        <w:top w:val="none" w:sz="0" w:space="0" w:color="auto"/>
        <w:left w:val="none" w:sz="0" w:space="0" w:color="auto"/>
        <w:bottom w:val="none" w:sz="0" w:space="0" w:color="auto"/>
        <w:right w:val="none" w:sz="0" w:space="0" w:color="auto"/>
      </w:divBdr>
    </w:div>
    <w:div w:id="1552494998">
      <w:bodyDiv w:val="1"/>
      <w:marLeft w:val="0"/>
      <w:marRight w:val="0"/>
      <w:marTop w:val="0"/>
      <w:marBottom w:val="0"/>
      <w:divBdr>
        <w:top w:val="none" w:sz="0" w:space="0" w:color="auto"/>
        <w:left w:val="none" w:sz="0" w:space="0" w:color="auto"/>
        <w:bottom w:val="none" w:sz="0" w:space="0" w:color="auto"/>
        <w:right w:val="none" w:sz="0" w:space="0" w:color="auto"/>
      </w:divBdr>
      <w:divsChild>
        <w:div w:id="1430587832">
          <w:marLeft w:val="0"/>
          <w:marRight w:val="0"/>
          <w:marTop w:val="0"/>
          <w:marBottom w:val="0"/>
          <w:divBdr>
            <w:top w:val="none" w:sz="0" w:space="0" w:color="auto"/>
            <w:left w:val="none" w:sz="0" w:space="0" w:color="auto"/>
            <w:bottom w:val="none" w:sz="0" w:space="0" w:color="auto"/>
            <w:right w:val="none" w:sz="0" w:space="0" w:color="auto"/>
          </w:divBdr>
          <w:divsChild>
            <w:div w:id="75445535">
              <w:marLeft w:val="0"/>
              <w:marRight w:val="0"/>
              <w:marTop w:val="0"/>
              <w:marBottom w:val="0"/>
              <w:divBdr>
                <w:top w:val="none" w:sz="0" w:space="0" w:color="auto"/>
                <w:left w:val="none" w:sz="0" w:space="0" w:color="auto"/>
                <w:bottom w:val="none" w:sz="0" w:space="0" w:color="auto"/>
                <w:right w:val="none" w:sz="0" w:space="0" w:color="auto"/>
              </w:divBdr>
            </w:div>
            <w:div w:id="9059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636507">
      <w:bodyDiv w:val="1"/>
      <w:marLeft w:val="0"/>
      <w:marRight w:val="0"/>
      <w:marTop w:val="0"/>
      <w:marBottom w:val="0"/>
      <w:divBdr>
        <w:top w:val="none" w:sz="0" w:space="0" w:color="auto"/>
        <w:left w:val="none" w:sz="0" w:space="0" w:color="auto"/>
        <w:bottom w:val="none" w:sz="0" w:space="0" w:color="auto"/>
        <w:right w:val="none" w:sz="0" w:space="0" w:color="auto"/>
      </w:divBdr>
    </w:div>
    <w:div w:id="1764565247">
      <w:bodyDiv w:val="1"/>
      <w:marLeft w:val="0"/>
      <w:marRight w:val="0"/>
      <w:marTop w:val="0"/>
      <w:marBottom w:val="0"/>
      <w:divBdr>
        <w:top w:val="none" w:sz="0" w:space="0" w:color="auto"/>
        <w:left w:val="none" w:sz="0" w:space="0" w:color="auto"/>
        <w:bottom w:val="none" w:sz="0" w:space="0" w:color="auto"/>
        <w:right w:val="none" w:sz="0" w:space="0" w:color="auto"/>
      </w:divBdr>
    </w:div>
    <w:div w:id="1999532547">
      <w:bodyDiv w:val="1"/>
      <w:marLeft w:val="0"/>
      <w:marRight w:val="0"/>
      <w:marTop w:val="0"/>
      <w:marBottom w:val="0"/>
      <w:divBdr>
        <w:top w:val="none" w:sz="0" w:space="0" w:color="auto"/>
        <w:left w:val="none" w:sz="0" w:space="0" w:color="auto"/>
        <w:bottom w:val="none" w:sz="0" w:space="0" w:color="auto"/>
        <w:right w:val="none" w:sz="0" w:space="0" w:color="auto"/>
      </w:divBdr>
    </w:div>
    <w:div w:id="20811735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folex.lt/teise/Default.aspx?id=20&amp;item=doc&amp;AktoId=2208771&amp;cid=86206;" TargetMode="External"/><Relationship Id="rId18" Type="http://schemas.openxmlformats.org/officeDocument/2006/relationships/hyperlink" Target="https://www.infolex.lt/tp/1418132" TargetMode="External"/><Relationship Id="rId26" Type="http://schemas.openxmlformats.org/officeDocument/2006/relationships/hyperlink" Target="https://www.infolex.lt/ta/66150" TargetMode="External"/><Relationship Id="rId39" Type="http://schemas.openxmlformats.org/officeDocument/2006/relationships/hyperlink" Target="https://www.infolex.lt/tp/662513" TargetMode="External"/><Relationship Id="rId21" Type="http://schemas.openxmlformats.org/officeDocument/2006/relationships/hyperlink" Target="https://www.infolex.lt/tp/227679" TargetMode="External"/><Relationship Id="rId34" Type="http://schemas.openxmlformats.org/officeDocument/2006/relationships/hyperlink" Target="https://www.infolex.lt/tp/918724" TargetMode="External"/><Relationship Id="rId42" Type="http://schemas.openxmlformats.org/officeDocument/2006/relationships/hyperlink" Target="https://www.infolex.lt/tp/2069544" TargetMode="External"/><Relationship Id="rId47" Type="http://schemas.openxmlformats.org/officeDocument/2006/relationships/hyperlink" Target="https://www.infolex.lt/tp/1859022" TargetMode="External"/><Relationship Id="rId50" Type="http://schemas.openxmlformats.org/officeDocument/2006/relationships/hyperlink" Target="https://www.infolex.lt/ta/10708" TargetMode="External"/><Relationship Id="rId55" Type="http://schemas.openxmlformats.org/officeDocument/2006/relationships/hyperlink" Target="https://www.infolex.lt/ta/66150" TargetMode="External"/><Relationship Id="rId63" Type="http://schemas.openxmlformats.org/officeDocument/2006/relationships/hyperlink" Target="https://www.infolex.lt/tp/1555791" TargetMode="External"/><Relationship Id="rId68" Type="http://schemas.openxmlformats.org/officeDocument/2006/relationships/hyperlink" Target="https://www.infolex.lt/tp/822103" TargetMode="External"/><Relationship Id="rId76" Type="http://schemas.openxmlformats.org/officeDocument/2006/relationships/hyperlink" Target="https://www.infolex.lt/ta/10708" TargetMode="External"/><Relationship Id="rId84" Type="http://schemas.openxmlformats.org/officeDocument/2006/relationships/hyperlink" Target="https://hudoc.echr.coe.int/eng" TargetMode="External"/><Relationship Id="rId7" Type="http://schemas.openxmlformats.org/officeDocument/2006/relationships/endnotes" Target="endnotes.xml"/><Relationship Id="rId71" Type="http://schemas.openxmlformats.org/officeDocument/2006/relationships/hyperlink" Target="https://www.infolex.lt/ta/66150" TargetMode="External"/><Relationship Id="rId2" Type="http://schemas.openxmlformats.org/officeDocument/2006/relationships/numbering" Target="numbering.xml"/><Relationship Id="rId16" Type="http://schemas.openxmlformats.org/officeDocument/2006/relationships/hyperlink" Target="https://www.infolex.lt/tp/1049422" TargetMode="External"/><Relationship Id="rId29" Type="http://schemas.openxmlformats.org/officeDocument/2006/relationships/hyperlink" Target="https://www.infolex.lt/ta/Default.aspx?id=20&amp;item=doc&amp;AktoId=2084269&amp;cid=80913;" TargetMode="External"/><Relationship Id="rId11" Type="http://schemas.openxmlformats.org/officeDocument/2006/relationships/hyperlink" Target="https://www.infolex.lt/ta/66150" TargetMode="External"/><Relationship Id="rId24" Type="http://schemas.openxmlformats.org/officeDocument/2006/relationships/hyperlink" Target="https://www.infolex.lt/ta/66150" TargetMode="External"/><Relationship Id="rId32" Type="http://schemas.openxmlformats.org/officeDocument/2006/relationships/hyperlink" Target="https://www.infolex.lt/tp/215486" TargetMode="External"/><Relationship Id="rId37" Type="http://schemas.openxmlformats.org/officeDocument/2006/relationships/hyperlink" Target="https://www.infolex.lt/ta/10708" TargetMode="External"/><Relationship Id="rId40" Type="http://schemas.openxmlformats.org/officeDocument/2006/relationships/hyperlink" Target="https://www.infolex.lt/tp/804718" TargetMode="External"/><Relationship Id="rId45" Type="http://schemas.openxmlformats.org/officeDocument/2006/relationships/hyperlink" Target="https://www.infolex.lt/tp/812938" TargetMode="External"/><Relationship Id="rId53" Type="http://schemas.openxmlformats.org/officeDocument/2006/relationships/hyperlink" Target="https://www.infolex.lt/ta/66150" TargetMode="External"/><Relationship Id="rId58" Type="http://schemas.openxmlformats.org/officeDocument/2006/relationships/hyperlink" Target="https://www.infolex.lt/tp/1379070" TargetMode="External"/><Relationship Id="rId66" Type="http://schemas.openxmlformats.org/officeDocument/2006/relationships/hyperlink" Target="https://www.infolex.lt/tp/1534613" TargetMode="External"/><Relationship Id="rId74" Type="http://schemas.openxmlformats.org/officeDocument/2006/relationships/hyperlink" Target="https://www.infolex.lt/tp/1895405" TargetMode="External"/><Relationship Id="rId79" Type="http://schemas.openxmlformats.org/officeDocument/2006/relationships/hyperlink" Target="https://hudoc.echr.coe.int/eng" TargetMode="External"/><Relationship Id="rId87"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infolex.lt/tp/662513" TargetMode="External"/><Relationship Id="rId82" Type="http://schemas.openxmlformats.org/officeDocument/2006/relationships/hyperlink" Target="https://hudoc.echr.coe.int/eng" TargetMode="External"/><Relationship Id="rId19" Type="http://schemas.openxmlformats.org/officeDocument/2006/relationships/hyperlink" Target="https://www.infolex.lt/ta/66150" TargetMode="External"/><Relationship Id="rId4" Type="http://schemas.openxmlformats.org/officeDocument/2006/relationships/settings" Target="settings.xml"/><Relationship Id="rId9" Type="http://schemas.openxmlformats.org/officeDocument/2006/relationships/hyperlink" Target="https://www.infolex.lt/ta/66150" TargetMode="External"/><Relationship Id="rId14" Type="http://schemas.openxmlformats.org/officeDocument/2006/relationships/hyperlink" Target="https://www.infolex.lt/tp/193409" TargetMode="External"/><Relationship Id="rId22" Type="http://schemas.openxmlformats.org/officeDocument/2006/relationships/hyperlink" Target="https://www.infolex.lt/tp/1386362" TargetMode="External"/><Relationship Id="rId27" Type="http://schemas.openxmlformats.org/officeDocument/2006/relationships/hyperlink" Target="https://www.infolex.lt/tp/2173033" TargetMode="External"/><Relationship Id="rId30" Type="http://schemas.openxmlformats.org/officeDocument/2006/relationships/hyperlink" Target="https://www.infolex.lt/ta/66150" TargetMode="External"/><Relationship Id="rId35" Type="http://schemas.openxmlformats.org/officeDocument/2006/relationships/hyperlink" Target="https://www.infolex.lt/tp/1022491" TargetMode="External"/><Relationship Id="rId43" Type="http://schemas.openxmlformats.org/officeDocument/2006/relationships/hyperlink" Target="https://www.infolex.lt/tp/2149866" TargetMode="External"/><Relationship Id="rId48" Type="http://schemas.openxmlformats.org/officeDocument/2006/relationships/hyperlink" Target="https://www.infolex.lt/tp/2082499" TargetMode="External"/><Relationship Id="rId56" Type="http://schemas.openxmlformats.org/officeDocument/2006/relationships/hyperlink" Target="https://www.infolex.lt/tp/2092364" TargetMode="External"/><Relationship Id="rId64" Type="http://schemas.openxmlformats.org/officeDocument/2006/relationships/hyperlink" Target="https://www.infolex.lt/tp/1653846" TargetMode="External"/><Relationship Id="rId69" Type="http://schemas.openxmlformats.org/officeDocument/2006/relationships/hyperlink" Target="https://www.infolex.lt/ta/66150" TargetMode="External"/><Relationship Id="rId77" Type="http://schemas.openxmlformats.org/officeDocument/2006/relationships/hyperlink" Target="https://hudoc.echr.coe.int/eng" TargetMode="External"/><Relationship Id="rId8" Type="http://schemas.openxmlformats.org/officeDocument/2006/relationships/image" Target="media/image1.png"/><Relationship Id="rId51" Type="http://schemas.openxmlformats.org/officeDocument/2006/relationships/hyperlink" Target="https://www.infolex.lt/tp/2199432" TargetMode="External"/><Relationship Id="rId72" Type="http://schemas.openxmlformats.org/officeDocument/2006/relationships/hyperlink" Target="https://www.infolex.lt/tp/1895405" TargetMode="External"/><Relationship Id="rId80" Type="http://schemas.openxmlformats.org/officeDocument/2006/relationships/hyperlink" Target="https://hudoc.echr.coe.int/eng" TargetMode="External"/><Relationship Id="rId85" Type="http://schemas.openxmlformats.org/officeDocument/2006/relationships/hyperlink" Target="https://hudoc.echr.coe.int/eng" TargetMode="External"/><Relationship Id="rId3" Type="http://schemas.openxmlformats.org/officeDocument/2006/relationships/styles" Target="styles.xml"/><Relationship Id="rId12" Type="http://schemas.openxmlformats.org/officeDocument/2006/relationships/hyperlink" Target="https://www.infolex.lt/ta/66150" TargetMode="External"/><Relationship Id="rId17" Type="http://schemas.openxmlformats.org/officeDocument/2006/relationships/hyperlink" Target="https://www.infolex.lt/tp/1218891" TargetMode="External"/><Relationship Id="rId25" Type="http://schemas.openxmlformats.org/officeDocument/2006/relationships/hyperlink" Target="https://www.infolex.lt/ta/Default.aspx?id=20&amp;item=doc&amp;AktoId=1738171&amp;cid=69087;" TargetMode="External"/><Relationship Id="rId33" Type="http://schemas.openxmlformats.org/officeDocument/2006/relationships/hyperlink" Target="https://www.infolex.lt/tp/216633" TargetMode="External"/><Relationship Id="rId38" Type="http://schemas.openxmlformats.org/officeDocument/2006/relationships/hyperlink" Target="https://www.infolex.lt/tp/90469" TargetMode="External"/><Relationship Id="rId46" Type="http://schemas.openxmlformats.org/officeDocument/2006/relationships/hyperlink" Target="https://www.infolex.lt/tp/1703220" TargetMode="External"/><Relationship Id="rId59" Type="http://schemas.openxmlformats.org/officeDocument/2006/relationships/hyperlink" Target="https://www.infolex.lt/tp/1555791" TargetMode="External"/><Relationship Id="rId67" Type="http://schemas.openxmlformats.org/officeDocument/2006/relationships/hyperlink" Target="https://www.infolex.lt/tp/1534616" TargetMode="External"/><Relationship Id="rId20" Type="http://schemas.openxmlformats.org/officeDocument/2006/relationships/hyperlink" Target="https://www.infolex.lt/ta/Default.aspx?id=20&amp;item=doc&amp;AktoId=1738171&amp;cid=69087;" TargetMode="External"/><Relationship Id="rId41" Type="http://schemas.openxmlformats.org/officeDocument/2006/relationships/hyperlink" Target="https://www.infolex.lt/tp/1892111" TargetMode="External"/><Relationship Id="rId54" Type="http://schemas.openxmlformats.org/officeDocument/2006/relationships/hyperlink" Target="https://www.infolex.lt/tp/2092364" TargetMode="External"/><Relationship Id="rId62" Type="http://schemas.openxmlformats.org/officeDocument/2006/relationships/hyperlink" Target="https://www.infolex.lt/tp/1379070" TargetMode="External"/><Relationship Id="rId70" Type="http://schemas.openxmlformats.org/officeDocument/2006/relationships/hyperlink" Target="https://www.infolex.lt/tp/1895405" TargetMode="External"/><Relationship Id="rId75" Type="http://schemas.openxmlformats.org/officeDocument/2006/relationships/hyperlink" Target="https://www.infolex.lt/ta/66150" TargetMode="External"/><Relationship Id="rId83" Type="http://schemas.openxmlformats.org/officeDocument/2006/relationships/hyperlink" Target="https://hudoc.echr.coe.int/eng"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infolex.lt/tp/1056404" TargetMode="External"/><Relationship Id="rId23" Type="http://schemas.openxmlformats.org/officeDocument/2006/relationships/hyperlink" Target="https://www.infolex.lt/ta/Default.aspx?id=20&amp;item=doc&amp;AktoId=1784271&amp;cid=70595;" TargetMode="External"/><Relationship Id="rId28" Type="http://schemas.openxmlformats.org/officeDocument/2006/relationships/hyperlink" Target="https://www.infolex.lt/ta/66150" TargetMode="External"/><Relationship Id="rId36" Type="http://schemas.openxmlformats.org/officeDocument/2006/relationships/hyperlink" Target="https://www.infolex.lt/tp/1585742" TargetMode="External"/><Relationship Id="rId49" Type="http://schemas.openxmlformats.org/officeDocument/2006/relationships/hyperlink" Target="https://www.infolex.lt/ta/10708" TargetMode="External"/><Relationship Id="rId57" Type="http://schemas.openxmlformats.org/officeDocument/2006/relationships/hyperlink" Target="https://www.infolex.lt/tp/662513" TargetMode="External"/><Relationship Id="rId10" Type="http://schemas.openxmlformats.org/officeDocument/2006/relationships/hyperlink" Target="https://www.infolex.lt/teise/Default.aspx?id=20&amp;item=doc&amp;AktoId=2208771&amp;cid=86206;" TargetMode="External"/><Relationship Id="rId31" Type="http://schemas.openxmlformats.org/officeDocument/2006/relationships/hyperlink" Target="https://www.infolex.lt/ta/Default.aspx?id=20&amp;item=doc&amp;AktoId=2084269&amp;cid=80913;" TargetMode="External"/><Relationship Id="rId44" Type="http://schemas.openxmlformats.org/officeDocument/2006/relationships/hyperlink" Target="https://www.infolex.lt/tp/376720" TargetMode="External"/><Relationship Id="rId52" Type="http://schemas.openxmlformats.org/officeDocument/2006/relationships/hyperlink" Target="https://www.infolex.lt/tp/2092364" TargetMode="External"/><Relationship Id="rId60" Type="http://schemas.openxmlformats.org/officeDocument/2006/relationships/hyperlink" Target="https://www.infolex.lt/tp/1653846" TargetMode="External"/><Relationship Id="rId65" Type="http://schemas.openxmlformats.org/officeDocument/2006/relationships/hyperlink" Target="https://www.infolex.lt/ta/66150" TargetMode="External"/><Relationship Id="rId73" Type="http://schemas.openxmlformats.org/officeDocument/2006/relationships/hyperlink" Target="https://www.infolex.lt/ta/66150" TargetMode="External"/><Relationship Id="rId78" Type="http://schemas.openxmlformats.org/officeDocument/2006/relationships/hyperlink" Target="https://hudoc.echr.coe.int/eng" TargetMode="External"/><Relationship Id="rId81" Type="http://schemas.openxmlformats.org/officeDocument/2006/relationships/hyperlink" Target="https://hudoc.echr.coe.int/eng" TargetMode="External"/><Relationship Id="rId86" Type="http://schemas.openxmlformats.org/officeDocument/2006/relationships/header" Target="header1.xml"/></Relationships>
</file>

<file path=word/theme/theme1.xml><?xml version="1.0" encoding="utf-8"?>
<a:theme xmlns:a="http://schemas.openxmlformats.org/drawingml/2006/main" name="Office tema">
  <a:themeElements>
    <a:clrScheme name="Office tema">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ema">
      <a:majorFont>
        <a:latin typeface="Helvetica Neue"/>
        <a:ea typeface="Helvetica Neue"/>
        <a:cs typeface="Helvetica Neue"/>
      </a:majorFont>
      <a:minorFont>
        <a:latin typeface="Helvetica Neue"/>
        <a:ea typeface="Helvetica Neue"/>
        <a:cs typeface="Helvetica Neue"/>
      </a:minorFont>
    </a:fontScheme>
    <a:fmtScheme name="Office te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A768B-49F3-4479-8D96-8887408E3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22</Pages>
  <Words>62953</Words>
  <Characters>35884</Characters>
  <Application>Microsoft Office Word</Application>
  <DocSecurity>0</DocSecurity>
  <Lines>299</Lines>
  <Paragraphs>197</Paragraphs>
  <ScaleCrop>false</ScaleCrop>
  <HeadingPairs>
    <vt:vector size="6" baseType="variant">
      <vt:variant>
        <vt:lpstr>Title</vt:lpstr>
      </vt:variant>
      <vt:variant>
        <vt:i4>1</vt:i4>
      </vt:variant>
      <vt:variant>
        <vt:lpstr>Pavadinimas</vt:lpstr>
      </vt:variant>
      <vt:variant>
        <vt:i4>1</vt:i4>
      </vt:variant>
      <vt:variant>
        <vt:lpstr>Antraštės</vt:lpstr>
      </vt:variant>
      <vt:variant>
        <vt:i4>5</vt:i4>
      </vt:variant>
    </vt:vector>
  </HeadingPairs>
  <TitlesOfParts>
    <vt:vector size="7" baseType="lpstr">
      <vt:lpstr/>
      <vt:lpstr/>
      <vt:lpstr>LIETUVOS AUKŠČIAUSIASIS TEISMAS</vt:lpstr>
      <vt:lpstr/>
      <vt:lpstr>N U T A R T I S</vt:lpstr>
      <vt:lpstr>    LIETUVOS RESPUBLIKOS VARDU</vt:lpstr>
      <vt:lpstr>2025 m. kovo 6 d.</vt:lpstr>
    </vt:vector>
  </TitlesOfParts>
  <Company/>
  <LinksUpToDate>false</LinksUpToDate>
  <CharactersWithSpaces>98640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Šivickaitė</dc:creator>
  <cp:lastModifiedBy>Laura Šivickaitė-Moldarienė</cp:lastModifiedBy>
  <cp:revision>55</cp:revision>
  <cp:lastPrinted>2025-03-06T06:27:00Z</cp:lastPrinted>
  <dcterms:created xsi:type="dcterms:W3CDTF">2025-03-04T16:33:00Z</dcterms:created>
  <dcterms:modified xsi:type="dcterms:W3CDTF">2025-03-10T08:59:00Z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51d852f0b0c34f8ea56d1af0ffefe1b0202503061042310">
    <vt:lpwstr>wjCyDfAluNitjDBeH2oVO38Sk60=</vt:lpwstr>
  </property>
</Properties>
</file>