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7BF10" w14:textId="77777777" w:rsidR="005F07BF" w:rsidRPr="00686ABD" w:rsidRDefault="009B46A6" w:rsidP="005F07BF">
      <w:pPr>
        <w:tabs>
          <w:tab w:val="left" w:pos="5103"/>
        </w:tabs>
      </w:pPr>
      <w:r>
        <w:tab/>
      </w:r>
      <w:r w:rsidR="005F07BF" w:rsidRPr="00686ABD">
        <w:t xml:space="preserve">Civilinė byla Nr. </w:t>
      </w:r>
      <w:r w:rsidR="005F07BF" w:rsidRPr="009F4624">
        <w:t>e3K-3-91-403</w:t>
      </w:r>
      <w:r w:rsidR="005F07BF">
        <w:t>/</w:t>
      </w:r>
      <w:r w:rsidR="005F07BF" w:rsidRPr="009F4624">
        <w:t>2024</w:t>
      </w:r>
    </w:p>
    <w:p w14:paraId="3A999CBC" w14:textId="77777777" w:rsidR="005F07BF" w:rsidRPr="00686ABD" w:rsidRDefault="005F07BF" w:rsidP="005F07BF">
      <w:pPr>
        <w:ind w:left="5103"/>
      </w:pPr>
      <w:r w:rsidRPr="00686ABD">
        <w:t xml:space="preserve">Teisminio proceso Nr. </w:t>
      </w:r>
      <w:r w:rsidRPr="009F4624">
        <w:t>2-35-3-00061-2023-7</w:t>
      </w:r>
    </w:p>
    <w:p w14:paraId="321E9C8F" w14:textId="7708142F" w:rsidR="005F07BF" w:rsidRPr="00686ABD" w:rsidRDefault="005F07BF" w:rsidP="005F07BF">
      <w:pPr>
        <w:ind w:left="5103"/>
      </w:pPr>
      <w:r w:rsidRPr="00686ABD">
        <w:t>Procesinio sprendimo kategorijos:</w:t>
      </w:r>
      <w:r w:rsidR="006C4C48" w:rsidRPr="006C4C48">
        <w:t xml:space="preserve"> 2.6.8.8</w:t>
      </w:r>
      <w:r w:rsidR="006C4C48">
        <w:t xml:space="preserve">; </w:t>
      </w:r>
      <w:r w:rsidR="006C4C48" w:rsidRPr="006C4C48">
        <w:t>2.6.39.2.6.1</w:t>
      </w:r>
      <w:r w:rsidR="006C4C48">
        <w:t xml:space="preserve"> </w:t>
      </w:r>
    </w:p>
    <w:p w14:paraId="5B68DFA2" w14:textId="436305EE" w:rsidR="005F07BF" w:rsidRDefault="00BF4763" w:rsidP="005F07BF">
      <w:pPr>
        <w:ind w:left="5103"/>
      </w:pPr>
      <w:r>
        <w:t>(S)</w:t>
      </w:r>
    </w:p>
    <w:p w14:paraId="6F330BF5" w14:textId="77777777" w:rsidR="00BF4763" w:rsidRDefault="00BF4763" w:rsidP="005F07BF">
      <w:pPr>
        <w:ind w:left="5103"/>
      </w:pPr>
    </w:p>
    <w:p w14:paraId="615820D7" w14:textId="77777777" w:rsidR="005F07BF" w:rsidRPr="00686ABD" w:rsidRDefault="005F07BF" w:rsidP="005F07BF">
      <w:pPr>
        <w:jc w:val="center"/>
      </w:pPr>
      <w:r w:rsidRPr="00686ABD">
        <w:rPr>
          <w:noProof/>
        </w:rPr>
        <w:drawing>
          <wp:inline distT="0" distB="0" distL="0" distR="0" wp14:anchorId="3763DDF1" wp14:editId="0D462711">
            <wp:extent cx="673100" cy="687705"/>
            <wp:effectExtent l="0" t="0" r="0" b="0"/>
            <wp:docPr id="124193232" name="Paveikslėlis 12419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CF0D3E4" w14:textId="77777777" w:rsidR="005F07BF" w:rsidRPr="00686ABD" w:rsidRDefault="005F07BF" w:rsidP="005F07BF">
      <w:pPr>
        <w:jc w:val="center"/>
      </w:pPr>
    </w:p>
    <w:p w14:paraId="0DFD8801" w14:textId="77777777" w:rsidR="005F07BF" w:rsidRPr="00686ABD" w:rsidRDefault="005F07BF" w:rsidP="005F07BF">
      <w:pPr>
        <w:keepNext/>
        <w:jc w:val="center"/>
        <w:outlineLvl w:val="0"/>
        <w:rPr>
          <w:b/>
          <w:bCs/>
          <w:sz w:val="32"/>
        </w:rPr>
      </w:pPr>
      <w:r w:rsidRPr="00686ABD">
        <w:rPr>
          <w:b/>
          <w:bCs/>
          <w:sz w:val="32"/>
        </w:rPr>
        <w:t>LIETUVOS AUKŠČIAUSIASIS TEISMAS</w:t>
      </w:r>
    </w:p>
    <w:p w14:paraId="52574E5A" w14:textId="77777777" w:rsidR="005F07BF" w:rsidRPr="00686ABD" w:rsidRDefault="005F07BF" w:rsidP="005F07BF">
      <w:pPr>
        <w:keepNext/>
        <w:outlineLvl w:val="0"/>
        <w:rPr>
          <w:b/>
          <w:bCs/>
          <w:sz w:val="32"/>
        </w:rPr>
      </w:pPr>
    </w:p>
    <w:p w14:paraId="7A65B12D" w14:textId="77777777" w:rsidR="005F07BF" w:rsidRPr="00686ABD" w:rsidRDefault="005F07BF" w:rsidP="005F07BF">
      <w:pPr>
        <w:keepNext/>
        <w:jc w:val="center"/>
        <w:outlineLvl w:val="0"/>
        <w:rPr>
          <w:b/>
          <w:bCs/>
          <w:sz w:val="32"/>
        </w:rPr>
      </w:pPr>
      <w:r w:rsidRPr="00686ABD">
        <w:rPr>
          <w:b/>
          <w:bCs/>
          <w:sz w:val="32"/>
        </w:rPr>
        <w:t>N U T A R T I S</w:t>
      </w:r>
    </w:p>
    <w:p w14:paraId="2A4B0D6D" w14:textId="77777777" w:rsidR="005F07BF" w:rsidRPr="00686ABD" w:rsidRDefault="005F07BF" w:rsidP="005F07BF">
      <w:pPr>
        <w:keepNext/>
        <w:jc w:val="center"/>
        <w:outlineLvl w:val="1"/>
        <w:rPr>
          <w:sz w:val="28"/>
        </w:rPr>
      </w:pPr>
      <w:r w:rsidRPr="00686ABD">
        <w:t>LIETUVOS RESPUBLIKOS VARDU</w:t>
      </w:r>
    </w:p>
    <w:p w14:paraId="1C4ECEAA" w14:textId="77777777" w:rsidR="005F07BF" w:rsidRPr="00686ABD" w:rsidRDefault="005F07BF" w:rsidP="005F07BF"/>
    <w:p w14:paraId="165B0EDA" w14:textId="5F8C45C1" w:rsidR="005F07BF" w:rsidRPr="00686ABD" w:rsidRDefault="005F07BF" w:rsidP="005F07BF">
      <w:pPr>
        <w:keepNext/>
        <w:jc w:val="center"/>
        <w:outlineLvl w:val="0"/>
        <w:rPr>
          <w:bCs/>
        </w:rPr>
      </w:pPr>
      <w:r w:rsidRPr="00686ABD">
        <w:rPr>
          <w:bCs/>
        </w:rPr>
        <w:t>202</w:t>
      </w:r>
      <w:r>
        <w:rPr>
          <w:bCs/>
        </w:rPr>
        <w:t>4</w:t>
      </w:r>
      <w:r w:rsidRPr="00686ABD">
        <w:rPr>
          <w:bCs/>
        </w:rPr>
        <w:t xml:space="preserve"> m. </w:t>
      </w:r>
      <w:r>
        <w:rPr>
          <w:bCs/>
        </w:rPr>
        <w:t>balandžio 10</w:t>
      </w:r>
      <w:r w:rsidRPr="00686ABD">
        <w:rPr>
          <w:bCs/>
        </w:rPr>
        <w:t xml:space="preserve"> d.</w:t>
      </w:r>
    </w:p>
    <w:p w14:paraId="3E55726C" w14:textId="77777777" w:rsidR="005F07BF" w:rsidRPr="00686ABD" w:rsidRDefault="005F07BF" w:rsidP="005F07BF">
      <w:pPr>
        <w:jc w:val="center"/>
      </w:pPr>
      <w:r w:rsidRPr="00686ABD">
        <w:t>Vilnius</w:t>
      </w:r>
    </w:p>
    <w:p w14:paraId="6F138009" w14:textId="77777777" w:rsidR="005F07BF" w:rsidRPr="00686ABD" w:rsidRDefault="005F07BF" w:rsidP="005F07BF"/>
    <w:p w14:paraId="5A23BB33" w14:textId="77777777" w:rsidR="005F07BF" w:rsidRDefault="005F07BF" w:rsidP="005F07BF">
      <w:pPr>
        <w:ind w:firstLine="720"/>
        <w:jc w:val="both"/>
      </w:pPr>
      <w:r w:rsidRPr="00686ABD">
        <w:t xml:space="preserve">Lietuvos Aukščiausiojo Teismo Civilinių bylų skyriaus teisėjų kolegija, susidedanti iš teisėjų </w:t>
      </w:r>
      <w:r>
        <w:t xml:space="preserve">Algirdo </w:t>
      </w:r>
      <w:proofErr w:type="spellStart"/>
      <w:r>
        <w:t>Taminsko</w:t>
      </w:r>
      <w:proofErr w:type="spellEnd"/>
      <w:r>
        <w:t xml:space="preserve"> </w:t>
      </w:r>
      <w:r w:rsidRPr="009F4624">
        <w:t>(pranešėjas),</w:t>
      </w:r>
      <w:r>
        <w:t xml:space="preserve"> Agnės </w:t>
      </w:r>
      <w:proofErr w:type="spellStart"/>
      <w:r>
        <w:t>Tikniūtės</w:t>
      </w:r>
      <w:proofErr w:type="spellEnd"/>
      <w:r>
        <w:t xml:space="preserve">, Dalios Vasarienės </w:t>
      </w:r>
      <w:r w:rsidRPr="00686ABD">
        <w:t>(kolegijos pirminink</w:t>
      </w:r>
      <w:r>
        <w:t>ė</w:t>
      </w:r>
      <w:r w:rsidRPr="00686ABD">
        <w:t>),</w:t>
      </w:r>
    </w:p>
    <w:p w14:paraId="27D17CF4" w14:textId="77777777" w:rsidR="005F07BF" w:rsidRPr="000C424D" w:rsidRDefault="005F07BF" w:rsidP="005F07BF">
      <w:pPr>
        <w:ind w:firstLine="720"/>
        <w:jc w:val="both"/>
        <w:rPr>
          <w:rFonts w:eastAsia="Calibri"/>
          <w:bCs/>
          <w:lang w:eastAsia="en-US"/>
        </w:rPr>
      </w:pPr>
      <w:r w:rsidRPr="00686ABD">
        <w:t xml:space="preserve">teismo posėdyje kasacine rašytinio proceso tvarka išnagrinėjo civilinę bylą pagal </w:t>
      </w:r>
      <w:r w:rsidRPr="009B46A6">
        <w:rPr>
          <w:b/>
          <w:bCs/>
        </w:rPr>
        <w:t>atsakov</w:t>
      </w:r>
      <w:r>
        <w:rPr>
          <w:b/>
          <w:bCs/>
        </w:rPr>
        <w:t xml:space="preserve">ės </w:t>
      </w:r>
      <w:r w:rsidRPr="009F4624">
        <w:rPr>
          <w:b/>
          <w:bCs/>
        </w:rPr>
        <w:t>uždar</w:t>
      </w:r>
      <w:r>
        <w:rPr>
          <w:b/>
          <w:bCs/>
        </w:rPr>
        <w:t>osios</w:t>
      </w:r>
      <w:r w:rsidRPr="009F4624">
        <w:rPr>
          <w:b/>
          <w:bCs/>
        </w:rPr>
        <w:t xml:space="preserve"> akcin</w:t>
      </w:r>
      <w:r>
        <w:rPr>
          <w:b/>
          <w:bCs/>
        </w:rPr>
        <w:t>ės</w:t>
      </w:r>
      <w:r w:rsidRPr="009F4624">
        <w:rPr>
          <w:b/>
          <w:bCs/>
        </w:rPr>
        <w:t xml:space="preserve"> bendrov</w:t>
      </w:r>
      <w:r>
        <w:rPr>
          <w:b/>
          <w:bCs/>
        </w:rPr>
        <w:t>ės</w:t>
      </w:r>
      <w:r w:rsidRPr="009F4624">
        <w:rPr>
          <w:b/>
          <w:bCs/>
        </w:rPr>
        <w:t xml:space="preserve"> „Sausumos transportas“ </w:t>
      </w:r>
      <w:r w:rsidRPr="00686ABD">
        <w:t>kasa</w:t>
      </w:r>
      <w:r w:rsidRPr="00686ABD">
        <w:rPr>
          <w:bCs/>
        </w:rPr>
        <w:t>cinį skundą dėl</w:t>
      </w:r>
      <w:r w:rsidRPr="00686ABD">
        <w:t xml:space="preserve"> </w:t>
      </w:r>
      <w:r w:rsidRPr="009F4624">
        <w:t>Šiaulių apygardos teismo Civilinių bylų skyriaus teisėjų kolegij</w:t>
      </w:r>
      <w:r>
        <w:t xml:space="preserve">os </w:t>
      </w:r>
      <w:r w:rsidRPr="00686ABD">
        <w:t>202</w:t>
      </w:r>
      <w:r>
        <w:t>3</w:t>
      </w:r>
      <w:r w:rsidRPr="00686ABD">
        <w:t xml:space="preserve"> m. </w:t>
      </w:r>
      <w:r>
        <w:t>rugsėjo 13</w:t>
      </w:r>
      <w:r w:rsidRPr="00686ABD">
        <w:t xml:space="preserve"> d. </w:t>
      </w:r>
      <w:r>
        <w:t xml:space="preserve">sprendimo </w:t>
      </w:r>
      <w:r w:rsidRPr="00686ABD">
        <w:t xml:space="preserve">peržiūrėjimo civilinėje byloje </w:t>
      </w:r>
      <w:r w:rsidRPr="009F4624">
        <w:t xml:space="preserve">pagal ieškovo </w:t>
      </w:r>
      <w:r>
        <w:t>„</w:t>
      </w:r>
      <w:r w:rsidRPr="009F4624">
        <w:t xml:space="preserve">AAS BTA Baltic </w:t>
      </w:r>
      <w:proofErr w:type="spellStart"/>
      <w:r w:rsidRPr="009F4624">
        <w:t>Insurance</w:t>
      </w:r>
      <w:proofErr w:type="spellEnd"/>
      <w:r w:rsidRPr="009F4624">
        <w:t xml:space="preserve"> Company“ ieškinį atsakovei uždarajai akcinei bendrovei „Sausumos transportas“ dėl draudim</w:t>
      </w:r>
      <w:r>
        <w:t>o</w:t>
      </w:r>
      <w:r w:rsidRPr="009F4624">
        <w:t xml:space="preserve"> išmokos grąžinimo</w:t>
      </w:r>
      <w:r w:rsidRPr="00686ABD">
        <w:rPr>
          <w:rFonts w:eastAsia="Calibri"/>
          <w:bCs/>
          <w:lang w:eastAsia="en-US"/>
        </w:rPr>
        <w:t>.</w:t>
      </w:r>
    </w:p>
    <w:p w14:paraId="2AB365EC" w14:textId="77777777" w:rsidR="005F07BF" w:rsidRPr="00686ABD" w:rsidRDefault="005F07BF" w:rsidP="005F07BF">
      <w:pPr>
        <w:ind w:firstLine="720"/>
        <w:jc w:val="both"/>
      </w:pPr>
    </w:p>
    <w:p w14:paraId="3F59DAF0" w14:textId="77777777" w:rsidR="005F07BF" w:rsidRPr="00686ABD" w:rsidRDefault="005F07BF" w:rsidP="005F07BF">
      <w:pPr>
        <w:ind w:firstLine="720"/>
        <w:jc w:val="both"/>
        <w:rPr>
          <w:b/>
          <w:bCs/>
        </w:rPr>
      </w:pPr>
      <w:r w:rsidRPr="00686ABD">
        <w:t xml:space="preserve">Teisėjų kolegija </w:t>
      </w:r>
    </w:p>
    <w:p w14:paraId="7530F89C" w14:textId="77777777" w:rsidR="005F07BF" w:rsidRPr="00686ABD" w:rsidRDefault="005F07BF" w:rsidP="005F07BF">
      <w:pPr>
        <w:ind w:firstLine="720"/>
        <w:jc w:val="both"/>
        <w:rPr>
          <w:b/>
          <w:bCs/>
        </w:rPr>
      </w:pPr>
    </w:p>
    <w:p w14:paraId="72BE6730" w14:textId="77777777" w:rsidR="005F07BF" w:rsidRPr="00686ABD" w:rsidRDefault="005F07BF" w:rsidP="005F07BF">
      <w:pPr>
        <w:jc w:val="both"/>
      </w:pPr>
      <w:r w:rsidRPr="00686ABD">
        <w:t>n u s t a t ė :</w:t>
      </w:r>
    </w:p>
    <w:p w14:paraId="0D8999A5" w14:textId="77777777" w:rsidR="005F07BF" w:rsidRPr="00686ABD" w:rsidRDefault="005F07BF" w:rsidP="005F07BF">
      <w:pPr>
        <w:ind w:left="726" w:hanging="6"/>
        <w:jc w:val="both"/>
      </w:pPr>
    </w:p>
    <w:p w14:paraId="72D8167F" w14:textId="77777777" w:rsidR="005F07BF" w:rsidRPr="00686ABD" w:rsidRDefault="005F07BF" w:rsidP="005F07BF">
      <w:pPr>
        <w:spacing w:after="120"/>
        <w:jc w:val="center"/>
      </w:pPr>
      <w:r w:rsidRPr="00686ABD">
        <w:t>I. Ginčo esmė</w:t>
      </w:r>
    </w:p>
    <w:p w14:paraId="66E3F1E2" w14:textId="77777777" w:rsidR="005F07BF" w:rsidRPr="00686ABD" w:rsidRDefault="005F07BF" w:rsidP="005F07BF">
      <w:pPr>
        <w:pStyle w:val="Sraopastraipa"/>
        <w:spacing w:after="120" w:line="240" w:lineRule="auto"/>
        <w:ind w:left="357"/>
        <w:contextualSpacing w:val="0"/>
        <w:jc w:val="both"/>
        <w:rPr>
          <w:rFonts w:ascii="Times New Roman" w:hAnsi="Times New Roman"/>
          <w:sz w:val="24"/>
          <w:szCs w:val="24"/>
        </w:rPr>
      </w:pPr>
    </w:p>
    <w:p w14:paraId="51C34CBB" w14:textId="1EEB74C9" w:rsidR="005F07BF" w:rsidRPr="00F57996" w:rsidRDefault="005F07BF" w:rsidP="005F07B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F57996">
        <w:rPr>
          <w:rFonts w:ascii="Times New Roman" w:hAnsi="Times New Roman"/>
          <w:sz w:val="24"/>
          <w:szCs w:val="24"/>
        </w:rPr>
        <w:t>Kasacinėje byloje sprendžiamas klausimas dėl teisės normų, reglamentuojančių draudiko teisę reikalauti iš draudėjo grąžinti dalį draudiko išmokėtos sumos, kai draudėjas draudimo sutartyje nustatytu laiku nesumokėjo draudimo įmokos, draudimo sutarties aiškinimą, aiškinimo ir taikymo.</w:t>
      </w:r>
    </w:p>
    <w:p w14:paraId="4C6395C6" w14:textId="057CC7A1" w:rsidR="005F07BF" w:rsidRPr="000842E8" w:rsidRDefault="005F07BF" w:rsidP="005F07BF">
      <w:pPr>
        <w:numPr>
          <w:ilvl w:val="0"/>
          <w:numId w:val="1"/>
        </w:numPr>
        <w:spacing w:before="120" w:after="120"/>
        <w:jc w:val="both"/>
      </w:pPr>
      <w:r w:rsidRPr="000842E8">
        <w:t xml:space="preserve">Ieškovas </w:t>
      </w:r>
      <w:r>
        <w:t xml:space="preserve">prašė teismo </w:t>
      </w:r>
      <w:r w:rsidRPr="000842E8">
        <w:t xml:space="preserve">priteisti iš atsakovės </w:t>
      </w:r>
      <w:r>
        <w:t>3</w:t>
      </w:r>
      <w:r w:rsidRPr="00497A54">
        <w:t>652,69 Eur draudimo išmoką, 6 proc</w:t>
      </w:r>
      <w:r>
        <w:t>.</w:t>
      </w:r>
      <w:r w:rsidRPr="00497A54">
        <w:t xml:space="preserve"> metines palūkanas nuo priteistos sumos nuo bylos iškėlimo teisme dienos iki teismo sprendimo visiško įvykdymo. </w:t>
      </w:r>
      <w:r w:rsidRPr="000842E8">
        <w:t xml:space="preserve"> </w:t>
      </w:r>
    </w:p>
    <w:p w14:paraId="23759FBA" w14:textId="7DB968DB" w:rsidR="005F07BF" w:rsidRPr="009F219F" w:rsidRDefault="005F07BF" w:rsidP="005F07BF">
      <w:pPr>
        <w:numPr>
          <w:ilvl w:val="0"/>
          <w:numId w:val="1"/>
        </w:numPr>
        <w:spacing w:before="120" w:after="120"/>
        <w:jc w:val="both"/>
      </w:pPr>
      <w:r w:rsidRPr="000842E8">
        <w:t>Ieškovas nurodė, kad Transporto priemonių valdytojų civilinės atsakomybės privalomojo draudimo taisyklių pagrindu sudarė draudimo sutartį Nr.</w:t>
      </w:r>
      <w:r>
        <w:t xml:space="preserve"> </w:t>
      </w:r>
      <w:r w:rsidRPr="00075E3B">
        <w:t>LT21-TCA-00285218-2</w:t>
      </w:r>
      <w:r>
        <w:t xml:space="preserve"> (toliau – Draudimo sutartis)</w:t>
      </w:r>
      <w:r w:rsidRPr="00075E3B">
        <w:t>, pagal kurią buvo apdrausta transporto priemonė</w:t>
      </w:r>
      <w:r>
        <w:t>s</w:t>
      </w:r>
      <w:r w:rsidRPr="00075E3B">
        <w:t xml:space="preserve"> </w:t>
      </w:r>
      <w:r w:rsidRPr="007B631F">
        <w:t>DAF XF440 FT</w:t>
      </w:r>
      <w:r w:rsidR="00BF4763">
        <w:t xml:space="preserve"> (</w:t>
      </w:r>
      <w:r w:rsidR="00BF4763" w:rsidRPr="00BF4763">
        <w:rPr>
          <w:i/>
          <w:iCs/>
        </w:rPr>
        <w:t>duomenys neskelbtini</w:t>
      </w:r>
      <w:r w:rsidR="00BF4763">
        <w:t>)</w:t>
      </w:r>
      <w:r>
        <w:t xml:space="preserve"> (toliau – Transporto priemonė) valdytojo civilinė atsakomybė </w:t>
      </w:r>
      <w:r w:rsidRPr="005127BB">
        <w:t xml:space="preserve">už </w:t>
      </w:r>
      <w:r>
        <w:t>eismo įvykio</w:t>
      </w:r>
      <w:r w:rsidRPr="005127BB">
        <w:t xml:space="preserve"> metu padarytą žalą</w:t>
      </w:r>
      <w:r w:rsidRPr="00075E3B">
        <w:t xml:space="preserve">. 2021 m. birželio 18 d. Vokietijoje įvyko </w:t>
      </w:r>
      <w:r>
        <w:t xml:space="preserve">eismo </w:t>
      </w:r>
      <w:r w:rsidRPr="00075E3B">
        <w:t xml:space="preserve">įvykis, </w:t>
      </w:r>
      <w:r>
        <w:t>j</w:t>
      </w:r>
      <w:r w:rsidRPr="00075E3B">
        <w:t xml:space="preserve">o metu buvo apgadinta transporto priemonė. </w:t>
      </w:r>
      <w:r w:rsidRPr="00F57D4E">
        <w:t xml:space="preserve">Įvykio kaltininku nurodytas </w:t>
      </w:r>
      <w:r>
        <w:t xml:space="preserve">atsakovei </w:t>
      </w:r>
      <w:r w:rsidRPr="00075E3B">
        <w:t xml:space="preserve">priklausančios </w:t>
      </w:r>
      <w:r>
        <w:t>T</w:t>
      </w:r>
      <w:r w:rsidRPr="00075E3B">
        <w:t>ransporto priemonės valdytojas. Ieškovas</w:t>
      </w:r>
      <w:r>
        <w:t xml:space="preserve"> </w:t>
      </w:r>
      <w:r w:rsidRPr="00075E3B">
        <w:t>2022 m. rugpjūčio 17 d. išmokėjo 3652,69 Eur</w:t>
      </w:r>
      <w:r>
        <w:t xml:space="preserve"> dėl eismo įvykio. </w:t>
      </w:r>
      <w:r w:rsidRPr="008D0F65">
        <w:t>2022 m. rugsėjo 22 d. pretenzij</w:t>
      </w:r>
      <w:r>
        <w:t>a</w:t>
      </w:r>
      <w:r w:rsidRPr="008D0F65">
        <w:t xml:space="preserve"> </w:t>
      </w:r>
      <w:r>
        <w:t xml:space="preserve">ieškovas </w:t>
      </w:r>
      <w:r w:rsidRPr="008D0F65">
        <w:t>kreipėsi į atsakovę, reikalau</w:t>
      </w:r>
      <w:r>
        <w:t>damas</w:t>
      </w:r>
      <w:r w:rsidRPr="008D0F65">
        <w:t xml:space="preserve"> grąžinti sumokėt</w:t>
      </w:r>
      <w:r>
        <w:t>os</w:t>
      </w:r>
      <w:r w:rsidRPr="008D0F65">
        <w:t xml:space="preserve"> draudimo išmok</w:t>
      </w:r>
      <w:r>
        <w:t>os dalį</w:t>
      </w:r>
      <w:r w:rsidRPr="008D0F65">
        <w:t>, tačiau atsakovė negrąžino reikalaujamos draudimo išmokos dalies.</w:t>
      </w:r>
      <w:r>
        <w:t xml:space="preserve"> </w:t>
      </w:r>
      <w:r w:rsidRPr="008D0F65">
        <w:t xml:space="preserve">Pagal Draudimo </w:t>
      </w:r>
      <w:r w:rsidRPr="008D0F65">
        <w:lastRenderedPageBreak/>
        <w:t>sutarties sąlygas, draudimo įmoka turėjo būti sumokėta iki 2021</w:t>
      </w:r>
      <w:r>
        <w:t> </w:t>
      </w:r>
      <w:r w:rsidRPr="008D0F65">
        <w:t>m. birželio 18 d., įvykis įvyko 2021 m. birželio 18 d., draudėja įmoką sumokėjo 2021 m. liepos 2 d.</w:t>
      </w:r>
    </w:p>
    <w:p w14:paraId="727D7164" w14:textId="77777777" w:rsidR="005F07BF" w:rsidRPr="009D579B" w:rsidRDefault="005F07BF" w:rsidP="005F07BF">
      <w:pPr>
        <w:pStyle w:val="Sraopastraipa"/>
        <w:tabs>
          <w:tab w:val="left" w:pos="540"/>
          <w:tab w:val="left" w:pos="720"/>
        </w:tabs>
        <w:spacing w:after="120" w:line="240" w:lineRule="auto"/>
        <w:ind w:left="357"/>
        <w:contextualSpacing w:val="0"/>
        <w:jc w:val="both"/>
        <w:rPr>
          <w:rFonts w:ascii="Times New Roman" w:hAnsi="Times New Roman"/>
          <w:sz w:val="24"/>
          <w:szCs w:val="24"/>
        </w:rPr>
      </w:pPr>
    </w:p>
    <w:p w14:paraId="51740CD4" w14:textId="77777777" w:rsidR="005F07BF" w:rsidRPr="00686ABD" w:rsidRDefault="005F07BF" w:rsidP="005F07BF">
      <w:pPr>
        <w:spacing w:after="120"/>
        <w:ind w:firstLine="357"/>
        <w:jc w:val="center"/>
      </w:pPr>
      <w:r w:rsidRPr="00686ABD">
        <w:t>II. Pirmosios ir apeliacinės instancijos teismų procesinių sprendimų esmė</w:t>
      </w:r>
    </w:p>
    <w:p w14:paraId="6C1CF276" w14:textId="77777777" w:rsidR="005F07BF" w:rsidRPr="00686ABD" w:rsidRDefault="005F07BF" w:rsidP="005F07BF">
      <w:pPr>
        <w:pStyle w:val="Sraopastraipa"/>
        <w:spacing w:after="120" w:line="240" w:lineRule="auto"/>
        <w:ind w:left="0" w:firstLine="720"/>
        <w:contextualSpacing w:val="0"/>
        <w:jc w:val="both"/>
        <w:rPr>
          <w:rFonts w:ascii="Times New Roman" w:hAnsi="Times New Roman"/>
          <w:sz w:val="24"/>
          <w:szCs w:val="24"/>
        </w:rPr>
      </w:pPr>
    </w:p>
    <w:p w14:paraId="2D8E83B7" w14:textId="77777777" w:rsidR="005F07BF" w:rsidRDefault="005F07BF" w:rsidP="005F07BF">
      <w:pPr>
        <w:numPr>
          <w:ilvl w:val="0"/>
          <w:numId w:val="1"/>
        </w:numPr>
        <w:spacing w:before="120" w:after="120"/>
        <w:jc w:val="both"/>
        <w:rPr>
          <w:iCs/>
        </w:rPr>
      </w:pPr>
      <w:r w:rsidRPr="005678E7">
        <w:rPr>
          <w:szCs w:val="20"/>
        </w:rPr>
        <w:t>Šiaulių apylinkės teism</w:t>
      </w:r>
      <w:r>
        <w:rPr>
          <w:szCs w:val="20"/>
        </w:rPr>
        <w:t xml:space="preserve">as </w:t>
      </w:r>
      <w:r w:rsidRPr="005678E7">
        <w:rPr>
          <w:szCs w:val="20"/>
        </w:rPr>
        <w:t xml:space="preserve">2023 m. kovo 9 d. </w:t>
      </w:r>
      <w:r w:rsidRPr="000842E8">
        <w:t>sprendimu</w:t>
      </w:r>
      <w:r>
        <w:rPr>
          <w:iCs/>
        </w:rPr>
        <w:t xml:space="preserve"> </w:t>
      </w:r>
      <w:r w:rsidRPr="007762E9">
        <w:rPr>
          <w:iCs/>
        </w:rPr>
        <w:t>ieškov</w:t>
      </w:r>
      <w:r>
        <w:rPr>
          <w:iCs/>
        </w:rPr>
        <w:t>o</w:t>
      </w:r>
      <w:r w:rsidRPr="007762E9">
        <w:rPr>
          <w:iCs/>
        </w:rPr>
        <w:t xml:space="preserve"> ieškinį atme</w:t>
      </w:r>
      <w:r>
        <w:rPr>
          <w:iCs/>
        </w:rPr>
        <w:t>tė</w:t>
      </w:r>
      <w:r w:rsidRPr="007762E9">
        <w:rPr>
          <w:iCs/>
        </w:rPr>
        <w:t>.</w:t>
      </w:r>
      <w:r>
        <w:rPr>
          <w:iCs/>
        </w:rPr>
        <w:t xml:space="preserve"> </w:t>
      </w:r>
    </w:p>
    <w:p w14:paraId="4F5FDE38" w14:textId="77777777" w:rsidR="005F07BF" w:rsidRPr="001C6E67" w:rsidRDefault="005F07BF" w:rsidP="005F07BF">
      <w:pPr>
        <w:numPr>
          <w:ilvl w:val="0"/>
          <w:numId w:val="1"/>
        </w:numPr>
        <w:spacing w:before="120" w:after="120"/>
        <w:jc w:val="both"/>
        <w:rPr>
          <w:iCs/>
        </w:rPr>
      </w:pPr>
      <w:r w:rsidRPr="001C6E67">
        <w:rPr>
          <w:iCs/>
        </w:rPr>
        <w:t xml:space="preserve">Teismas </w:t>
      </w:r>
      <w:r>
        <w:rPr>
          <w:iCs/>
        </w:rPr>
        <w:t xml:space="preserve">nurodė, kad </w:t>
      </w:r>
      <w:r w:rsidRPr="001C6E67">
        <w:rPr>
          <w:iCs/>
        </w:rPr>
        <w:t>tiek ieškovas, tiek atsakovė nevisiškai tinkamai laikėsi šalių bendradarbiavimo pareigos, sutarties vykdymo esminių principų. Teismas nustatė, kad atsakovė Draudimo sutartį vykdė nevisiškai tinkamai, nes nustatytu laiku nesumokėjo draudimo įmokos</w:t>
      </w:r>
      <w:r>
        <w:rPr>
          <w:iCs/>
        </w:rPr>
        <w:t xml:space="preserve"> –</w:t>
      </w:r>
      <w:r w:rsidRPr="001C6E67">
        <w:rPr>
          <w:iCs/>
        </w:rPr>
        <w:t xml:space="preserve"> draudimo įmoką sumokėjo ne iki 2021 m. birželio 18 d., bet 2021 m. liepos 2 d., t. y. įmoka už sudarytą Draudimo sutartį buvo sumokėta praėjus 13 dienų nuo sutarties apmokėjimo termino pabaigos.</w:t>
      </w:r>
    </w:p>
    <w:p w14:paraId="2BDCE2E9" w14:textId="77777777" w:rsidR="005F07BF" w:rsidRDefault="005F07BF" w:rsidP="005F07BF">
      <w:pPr>
        <w:numPr>
          <w:ilvl w:val="0"/>
          <w:numId w:val="1"/>
        </w:numPr>
        <w:spacing w:before="120" w:after="120"/>
        <w:jc w:val="both"/>
        <w:rPr>
          <w:iCs/>
        </w:rPr>
      </w:pPr>
      <w:r w:rsidRPr="001C6E67">
        <w:rPr>
          <w:iCs/>
        </w:rPr>
        <w:t>Teismas nustatė, kad Draudimo sutartyje nėra atskirai aptarta draudėjo</w:t>
      </w:r>
      <w:r>
        <w:rPr>
          <w:iCs/>
        </w:rPr>
        <w:t>s</w:t>
      </w:r>
      <w:r w:rsidRPr="001C6E67">
        <w:rPr>
          <w:iCs/>
        </w:rPr>
        <w:t xml:space="preserve"> atsakomybė ir pasekmės ja</w:t>
      </w:r>
      <w:r>
        <w:rPr>
          <w:iCs/>
        </w:rPr>
        <w:t>i</w:t>
      </w:r>
      <w:r w:rsidRPr="001C6E67">
        <w:rPr>
          <w:iCs/>
        </w:rPr>
        <w:t xml:space="preserve"> laiku nesumokant pagal sudarytą draudimo sutartį. Byloje nebuvo pateikta įrodymų, kad ieškovas dėl nesumokėtos draudimo įmokos vėlavimo būtų kreipęsis į atsakovę </w:t>
      </w:r>
      <w:r>
        <w:rPr>
          <w:iCs/>
        </w:rPr>
        <w:t>ir</w:t>
      </w:r>
      <w:r w:rsidRPr="001C6E67">
        <w:rPr>
          <w:iCs/>
        </w:rPr>
        <w:t xml:space="preserve"> išaiškinęs </w:t>
      </w:r>
      <w:r>
        <w:rPr>
          <w:iCs/>
        </w:rPr>
        <w:t>jai</w:t>
      </w:r>
      <w:r w:rsidRPr="001C6E67">
        <w:rPr>
          <w:iCs/>
        </w:rPr>
        <w:t xml:space="preserve"> dėl šios įmokos nesumokėjimo nustatytais terminais teisin</w:t>
      </w:r>
      <w:r>
        <w:rPr>
          <w:iCs/>
        </w:rPr>
        <w:t>es</w:t>
      </w:r>
      <w:r w:rsidRPr="001C6E67">
        <w:rPr>
          <w:iCs/>
        </w:rPr>
        <w:t xml:space="preserve"> pasekm</w:t>
      </w:r>
      <w:r>
        <w:rPr>
          <w:iCs/>
        </w:rPr>
        <w:t>es</w:t>
      </w:r>
      <w:r w:rsidRPr="001C6E67">
        <w:rPr>
          <w:iCs/>
        </w:rPr>
        <w:t>. Teismas, atsižvelg</w:t>
      </w:r>
      <w:r>
        <w:rPr>
          <w:iCs/>
        </w:rPr>
        <w:t>damas į tai</w:t>
      </w:r>
      <w:r w:rsidRPr="001C6E67">
        <w:rPr>
          <w:iCs/>
        </w:rPr>
        <w:t>, kad 2021 m. liepos 2 d. atsakovė sumokėjo 16</w:t>
      </w:r>
      <w:r>
        <w:rPr>
          <w:iCs/>
        </w:rPr>
        <w:t> </w:t>
      </w:r>
      <w:r w:rsidRPr="001C6E67">
        <w:rPr>
          <w:iCs/>
        </w:rPr>
        <w:t>024,70</w:t>
      </w:r>
      <w:r>
        <w:rPr>
          <w:iCs/>
        </w:rPr>
        <w:t> </w:t>
      </w:r>
      <w:r w:rsidRPr="001C6E67">
        <w:rPr>
          <w:iCs/>
        </w:rPr>
        <w:t xml:space="preserve">Eur, </w:t>
      </w:r>
      <w:r>
        <w:rPr>
          <w:iCs/>
        </w:rPr>
        <w:t>nors</w:t>
      </w:r>
      <w:r w:rsidRPr="001C6E67">
        <w:rPr>
          <w:iCs/>
        </w:rPr>
        <w:t xml:space="preserve"> už 2021 m. birželio 14 d. sudarytą draudimo polisą turėjo mokėti 191,66 Eur, sutiko su atsakovės paaiškinimu, </w:t>
      </w:r>
      <w:r>
        <w:rPr>
          <w:iCs/>
        </w:rPr>
        <w:t>jog</w:t>
      </w:r>
      <w:r w:rsidRPr="001C6E67">
        <w:rPr>
          <w:iCs/>
        </w:rPr>
        <w:t xml:space="preserve"> tarp šalių buvo susiklosčiusi praktika, kad atsakovė nemokėdavo už kiekvieną sudarytą draudimo sutartį atskirai, bet mokėdavo mėnesio laikotarp</w:t>
      </w:r>
      <w:r>
        <w:rPr>
          <w:iCs/>
        </w:rPr>
        <w:t>iu</w:t>
      </w:r>
      <w:r w:rsidRPr="001C6E67">
        <w:rPr>
          <w:iCs/>
        </w:rPr>
        <w:t xml:space="preserve"> už visas sudarytas draudimo sutartis. </w:t>
      </w:r>
    </w:p>
    <w:p w14:paraId="53F9D2F2" w14:textId="77777777" w:rsidR="005F07BF" w:rsidRPr="001C6E67" w:rsidRDefault="005F07BF" w:rsidP="005F07BF">
      <w:pPr>
        <w:numPr>
          <w:ilvl w:val="0"/>
          <w:numId w:val="1"/>
        </w:numPr>
        <w:spacing w:before="120" w:after="120"/>
        <w:jc w:val="both"/>
        <w:rPr>
          <w:iCs/>
        </w:rPr>
      </w:pPr>
      <w:r w:rsidRPr="001C6E67">
        <w:rPr>
          <w:iCs/>
        </w:rPr>
        <w:t>Teismas</w:t>
      </w:r>
      <w:r>
        <w:rPr>
          <w:iCs/>
        </w:rPr>
        <w:t xml:space="preserve"> nu</w:t>
      </w:r>
      <w:r w:rsidRPr="001C6E67">
        <w:rPr>
          <w:iCs/>
        </w:rPr>
        <w:t>sprendė, kad ieškovas elgėsi neatidžiai ir nerūpestingai</w:t>
      </w:r>
      <w:r>
        <w:rPr>
          <w:iCs/>
        </w:rPr>
        <w:t>,</w:t>
      </w:r>
      <w:r w:rsidRPr="001C6E67">
        <w:rPr>
          <w:iCs/>
        </w:rPr>
        <w:t xml:space="preserve"> nesikreipdamas į atsakovę dėl laiku nesumokėtos draudimo įmokos, neinformuodamas atsakovės </w:t>
      </w:r>
      <w:r>
        <w:rPr>
          <w:iCs/>
        </w:rPr>
        <w:t>apie</w:t>
      </w:r>
      <w:r w:rsidRPr="001C6E67">
        <w:rPr>
          <w:iCs/>
        </w:rPr>
        <w:t xml:space="preserve"> jai galimai kilsianči</w:t>
      </w:r>
      <w:r>
        <w:rPr>
          <w:iCs/>
        </w:rPr>
        <w:t>as</w:t>
      </w:r>
      <w:r w:rsidRPr="001C6E67">
        <w:rPr>
          <w:iCs/>
        </w:rPr>
        <w:t xml:space="preserve"> teisin</w:t>
      </w:r>
      <w:r>
        <w:rPr>
          <w:iCs/>
        </w:rPr>
        <w:t>es</w:t>
      </w:r>
      <w:r w:rsidRPr="001C6E67">
        <w:rPr>
          <w:iCs/>
        </w:rPr>
        <w:t xml:space="preserve"> pasekm</w:t>
      </w:r>
      <w:r>
        <w:rPr>
          <w:iCs/>
        </w:rPr>
        <w:t>es</w:t>
      </w:r>
      <w:r w:rsidRPr="001C6E67">
        <w:rPr>
          <w:iCs/>
        </w:rPr>
        <w:t xml:space="preserve"> tinkamai nevykdant sutarties. Teismas </w:t>
      </w:r>
      <w:r>
        <w:rPr>
          <w:iCs/>
        </w:rPr>
        <w:t>nurodė,</w:t>
      </w:r>
      <w:r w:rsidRPr="001C6E67">
        <w:rPr>
          <w:iCs/>
        </w:rPr>
        <w:t xml:space="preserve"> kad</w:t>
      </w:r>
      <w:r>
        <w:rPr>
          <w:iCs/>
        </w:rPr>
        <w:t>,</w:t>
      </w:r>
      <w:r w:rsidRPr="001C6E67">
        <w:rPr>
          <w:iCs/>
        </w:rPr>
        <w:t xml:space="preserve"> tenkinus ieškovo ieškinį, </w:t>
      </w:r>
      <w:r>
        <w:rPr>
          <w:iCs/>
        </w:rPr>
        <w:t xml:space="preserve">ieškovas, </w:t>
      </w:r>
      <w:r w:rsidRPr="001C6E67">
        <w:rPr>
          <w:iCs/>
        </w:rPr>
        <w:t>draudik</w:t>
      </w:r>
      <w:r>
        <w:rPr>
          <w:iCs/>
        </w:rPr>
        <w:t>as,</w:t>
      </w:r>
      <w:r w:rsidRPr="001C6E67">
        <w:rPr>
          <w:iCs/>
        </w:rPr>
        <w:t xml:space="preserve"> gau</w:t>
      </w:r>
      <w:r>
        <w:rPr>
          <w:iCs/>
        </w:rPr>
        <w:t>tų</w:t>
      </w:r>
      <w:r w:rsidRPr="001C6E67">
        <w:rPr>
          <w:iCs/>
        </w:rPr>
        <w:t xml:space="preserve"> ir draudimo įmoką, ir susigrąžin</w:t>
      </w:r>
      <w:r>
        <w:rPr>
          <w:iCs/>
        </w:rPr>
        <w:t>tų</w:t>
      </w:r>
      <w:r w:rsidRPr="001C6E67">
        <w:rPr>
          <w:iCs/>
        </w:rPr>
        <w:t xml:space="preserve"> visą </w:t>
      </w:r>
      <w:r>
        <w:rPr>
          <w:iCs/>
        </w:rPr>
        <w:t xml:space="preserve">dėl padarytos žalos išmokėtą </w:t>
      </w:r>
      <w:r w:rsidRPr="001C6E67">
        <w:rPr>
          <w:iCs/>
        </w:rPr>
        <w:t>draudim</w:t>
      </w:r>
      <w:r>
        <w:rPr>
          <w:iCs/>
        </w:rPr>
        <w:t>o išmoką</w:t>
      </w:r>
      <w:r w:rsidRPr="001C6E67">
        <w:rPr>
          <w:iCs/>
        </w:rPr>
        <w:t>, tai būtų neproporcinga draudėjo</w:t>
      </w:r>
      <w:r>
        <w:rPr>
          <w:iCs/>
        </w:rPr>
        <w:t>s</w:t>
      </w:r>
      <w:r w:rsidRPr="001C6E67">
        <w:rPr>
          <w:iCs/>
        </w:rPr>
        <w:t xml:space="preserve"> padarytam pažeidimui, nes tokiu atveju draudėja netektų draudimu ja</w:t>
      </w:r>
      <w:r>
        <w:rPr>
          <w:iCs/>
        </w:rPr>
        <w:t>i</w:t>
      </w:r>
      <w:r w:rsidRPr="001C6E67">
        <w:rPr>
          <w:iCs/>
        </w:rPr>
        <w:t xml:space="preserve"> teikiamos apsaugos. </w:t>
      </w:r>
    </w:p>
    <w:p w14:paraId="321E60A3" w14:textId="45EC6B95" w:rsidR="005F07BF" w:rsidRPr="009F4624" w:rsidRDefault="005F07BF" w:rsidP="005F07BF">
      <w:pPr>
        <w:pStyle w:val="Sraopastraipa"/>
        <w:numPr>
          <w:ilvl w:val="0"/>
          <w:numId w:val="1"/>
        </w:numPr>
        <w:spacing w:after="120" w:line="240" w:lineRule="auto"/>
        <w:ind w:left="357" w:hanging="357"/>
        <w:contextualSpacing w:val="0"/>
        <w:jc w:val="both"/>
        <w:rPr>
          <w:rFonts w:ascii="Times New Roman" w:hAnsi="Times New Roman"/>
          <w:color w:val="000000"/>
          <w:sz w:val="24"/>
          <w:szCs w:val="24"/>
        </w:rPr>
      </w:pPr>
      <w:r w:rsidRPr="009F4624">
        <w:rPr>
          <w:rFonts w:ascii="Times New Roman" w:hAnsi="Times New Roman"/>
          <w:color w:val="000000"/>
          <w:sz w:val="24"/>
          <w:szCs w:val="24"/>
        </w:rPr>
        <w:t xml:space="preserve">Šiaulių apygardos teismo Civilinių bylų skyriaus teisėjų kolegija, išnagrinėjusi ieškovo apeliacinį skundą, 2023 m. rugsėjo 13 d. sprendimu Šiaulių apylinkės teismo 2023 m. kovo 9 d. sprendimą panaikino ir priėmė naują sprendimą – ieškinį tenkino iš dalies: priteisė ieškovui iš atsakovės  2191,61 Eur draudimo išmoką, 6 proc. metines palūkanas už priteistą sumą nuo bylos iškėlimo teisme (2023 m. sausio 11 d.) iki teismo sprendimo visiško įvykdymo; </w:t>
      </w:r>
      <w:r>
        <w:rPr>
          <w:rFonts w:ascii="Times New Roman" w:hAnsi="Times New Roman"/>
          <w:color w:val="000000"/>
          <w:sz w:val="24"/>
          <w:szCs w:val="24"/>
        </w:rPr>
        <w:t>k</w:t>
      </w:r>
      <w:r w:rsidRPr="009F4624">
        <w:rPr>
          <w:rFonts w:ascii="Times New Roman" w:hAnsi="Times New Roman"/>
          <w:color w:val="000000"/>
          <w:sz w:val="24"/>
          <w:szCs w:val="24"/>
        </w:rPr>
        <w:t>itą ieškinio dalį atm</w:t>
      </w:r>
      <w:r>
        <w:rPr>
          <w:rFonts w:ascii="Times New Roman" w:hAnsi="Times New Roman"/>
          <w:color w:val="000000"/>
          <w:sz w:val="24"/>
          <w:szCs w:val="24"/>
        </w:rPr>
        <w:t>etė</w:t>
      </w:r>
      <w:r w:rsidRPr="009F4624">
        <w:rPr>
          <w:rFonts w:ascii="Times New Roman" w:hAnsi="Times New Roman"/>
          <w:color w:val="000000"/>
          <w:sz w:val="24"/>
          <w:szCs w:val="24"/>
        </w:rPr>
        <w:t>.</w:t>
      </w:r>
    </w:p>
    <w:p w14:paraId="526E1512" w14:textId="54240E48" w:rsidR="005F07BF" w:rsidRPr="009F4624" w:rsidRDefault="005F07BF" w:rsidP="005F07BF">
      <w:pPr>
        <w:pStyle w:val="Sraopastraipa"/>
        <w:numPr>
          <w:ilvl w:val="0"/>
          <w:numId w:val="1"/>
        </w:numPr>
        <w:tabs>
          <w:tab w:val="left" w:pos="567"/>
        </w:tabs>
        <w:spacing w:before="120" w:after="120" w:line="240" w:lineRule="auto"/>
        <w:contextualSpacing w:val="0"/>
        <w:jc w:val="both"/>
        <w:rPr>
          <w:rFonts w:ascii="Times New Roman" w:hAnsi="Times New Roman"/>
          <w:color w:val="000000"/>
          <w:sz w:val="24"/>
          <w:szCs w:val="24"/>
        </w:rPr>
      </w:pPr>
      <w:r w:rsidRPr="009F4624">
        <w:rPr>
          <w:rFonts w:ascii="Times New Roman" w:hAnsi="Times New Roman"/>
          <w:color w:val="000000"/>
          <w:sz w:val="24"/>
          <w:szCs w:val="24"/>
        </w:rPr>
        <w:t xml:space="preserve">Kolegija nurodė, kad </w:t>
      </w:r>
      <w:r>
        <w:rPr>
          <w:rFonts w:ascii="Times New Roman" w:hAnsi="Times New Roman"/>
          <w:color w:val="000000"/>
          <w:sz w:val="24"/>
          <w:szCs w:val="24"/>
        </w:rPr>
        <w:t>2</w:t>
      </w:r>
      <w:r w:rsidRPr="009F4624">
        <w:rPr>
          <w:rFonts w:ascii="Times New Roman" w:hAnsi="Times New Roman"/>
          <w:color w:val="000000"/>
          <w:sz w:val="24"/>
          <w:szCs w:val="24"/>
        </w:rPr>
        <w:t xml:space="preserve">021 m. birželio 18 d. Vokietijoje įvyko eismo įvykis, </w:t>
      </w:r>
      <w:r>
        <w:rPr>
          <w:rFonts w:ascii="Times New Roman" w:hAnsi="Times New Roman"/>
          <w:color w:val="000000"/>
          <w:sz w:val="24"/>
          <w:szCs w:val="24"/>
        </w:rPr>
        <w:t>j</w:t>
      </w:r>
      <w:r w:rsidRPr="009F4624">
        <w:rPr>
          <w:rFonts w:ascii="Times New Roman" w:hAnsi="Times New Roman"/>
          <w:color w:val="000000"/>
          <w:sz w:val="24"/>
          <w:szCs w:val="24"/>
        </w:rPr>
        <w:t xml:space="preserve">o metu buvo apgadinta </w:t>
      </w:r>
      <w:r>
        <w:rPr>
          <w:rFonts w:ascii="Times New Roman" w:hAnsi="Times New Roman"/>
          <w:color w:val="000000"/>
          <w:sz w:val="24"/>
          <w:szCs w:val="24"/>
        </w:rPr>
        <w:t>t</w:t>
      </w:r>
      <w:r w:rsidRPr="009F4624">
        <w:rPr>
          <w:rFonts w:ascii="Times New Roman" w:hAnsi="Times New Roman"/>
          <w:color w:val="000000"/>
          <w:sz w:val="24"/>
          <w:szCs w:val="24"/>
        </w:rPr>
        <w:t>ransporto priemonė</w:t>
      </w:r>
      <w:r>
        <w:rPr>
          <w:rFonts w:ascii="Times New Roman" w:hAnsi="Times New Roman"/>
          <w:color w:val="000000"/>
          <w:sz w:val="24"/>
          <w:szCs w:val="24"/>
        </w:rPr>
        <w:t>.</w:t>
      </w:r>
      <w:r w:rsidRPr="009F4624">
        <w:rPr>
          <w:rFonts w:ascii="Times New Roman" w:hAnsi="Times New Roman"/>
          <w:color w:val="000000"/>
          <w:sz w:val="24"/>
          <w:szCs w:val="24"/>
        </w:rPr>
        <w:t xml:space="preserve"> Įvykio kaltininku nurodytas </w:t>
      </w:r>
      <w:r>
        <w:rPr>
          <w:rFonts w:ascii="Times New Roman" w:hAnsi="Times New Roman"/>
          <w:color w:val="000000"/>
          <w:sz w:val="24"/>
          <w:szCs w:val="24"/>
        </w:rPr>
        <w:t xml:space="preserve">atsakovei </w:t>
      </w:r>
      <w:r w:rsidRPr="009F4624">
        <w:rPr>
          <w:rFonts w:ascii="Times New Roman" w:hAnsi="Times New Roman"/>
          <w:color w:val="000000"/>
          <w:sz w:val="24"/>
          <w:szCs w:val="24"/>
        </w:rPr>
        <w:t xml:space="preserve">priklausančios </w:t>
      </w:r>
      <w:r>
        <w:rPr>
          <w:rFonts w:ascii="Times New Roman" w:hAnsi="Times New Roman"/>
          <w:color w:val="000000"/>
          <w:sz w:val="24"/>
          <w:szCs w:val="24"/>
        </w:rPr>
        <w:t>T</w:t>
      </w:r>
      <w:r w:rsidRPr="009F4624">
        <w:rPr>
          <w:rFonts w:ascii="Times New Roman" w:hAnsi="Times New Roman"/>
          <w:color w:val="000000"/>
          <w:sz w:val="24"/>
          <w:szCs w:val="24"/>
        </w:rPr>
        <w:t xml:space="preserve">ransporto priemonės valdytojas. </w:t>
      </w:r>
      <w:r>
        <w:rPr>
          <w:rFonts w:ascii="Times New Roman" w:hAnsi="Times New Roman"/>
          <w:color w:val="000000"/>
          <w:sz w:val="24"/>
          <w:szCs w:val="24"/>
        </w:rPr>
        <w:t>A</w:t>
      </w:r>
      <w:r w:rsidRPr="009F4624">
        <w:rPr>
          <w:rFonts w:ascii="Times New Roman" w:hAnsi="Times New Roman"/>
          <w:color w:val="000000"/>
          <w:sz w:val="24"/>
          <w:szCs w:val="24"/>
        </w:rPr>
        <w:t xml:space="preserve">tsakovei </w:t>
      </w:r>
      <w:r w:rsidRPr="009F4624">
        <w:rPr>
          <w:rFonts w:ascii="Times New Roman" w:hAnsi="Times New Roman"/>
          <w:iCs/>
          <w:color w:val="000000"/>
          <w:sz w:val="24"/>
          <w:szCs w:val="24"/>
        </w:rPr>
        <w:t>priklausan</w:t>
      </w:r>
      <w:r>
        <w:rPr>
          <w:rFonts w:ascii="Times New Roman" w:hAnsi="Times New Roman"/>
          <w:iCs/>
          <w:color w:val="000000"/>
          <w:sz w:val="24"/>
          <w:szCs w:val="24"/>
        </w:rPr>
        <w:t>čios T</w:t>
      </w:r>
      <w:r w:rsidRPr="009F4624">
        <w:rPr>
          <w:rFonts w:ascii="Times New Roman" w:hAnsi="Times New Roman"/>
          <w:color w:val="000000"/>
          <w:sz w:val="24"/>
          <w:szCs w:val="20"/>
        </w:rPr>
        <w:t xml:space="preserve">ransporto priemonės </w:t>
      </w:r>
      <w:r>
        <w:rPr>
          <w:rFonts w:ascii="Times New Roman" w:hAnsi="Times New Roman"/>
          <w:color w:val="000000"/>
          <w:sz w:val="24"/>
          <w:szCs w:val="20"/>
        </w:rPr>
        <w:t>v</w:t>
      </w:r>
      <w:r w:rsidRPr="009F4624">
        <w:rPr>
          <w:rFonts w:ascii="Times New Roman" w:hAnsi="Times New Roman"/>
          <w:color w:val="000000"/>
          <w:sz w:val="24"/>
          <w:szCs w:val="20"/>
        </w:rPr>
        <w:t>aldytojų civilin</w:t>
      </w:r>
      <w:r>
        <w:rPr>
          <w:rFonts w:ascii="Times New Roman" w:hAnsi="Times New Roman"/>
          <w:color w:val="000000"/>
          <w:sz w:val="24"/>
          <w:szCs w:val="20"/>
        </w:rPr>
        <w:t>ę</w:t>
      </w:r>
      <w:r w:rsidRPr="009F4624">
        <w:rPr>
          <w:rFonts w:ascii="Times New Roman" w:hAnsi="Times New Roman"/>
          <w:color w:val="000000"/>
          <w:sz w:val="24"/>
          <w:szCs w:val="20"/>
        </w:rPr>
        <w:t xml:space="preserve"> atsakomyb</w:t>
      </w:r>
      <w:r>
        <w:rPr>
          <w:rFonts w:ascii="Times New Roman" w:hAnsi="Times New Roman"/>
          <w:color w:val="000000"/>
          <w:sz w:val="24"/>
          <w:szCs w:val="20"/>
        </w:rPr>
        <w:t>ę apdraudė ieškovas</w:t>
      </w:r>
      <w:r w:rsidRPr="009F4624">
        <w:rPr>
          <w:rFonts w:ascii="Times New Roman" w:hAnsi="Times New Roman"/>
          <w:color w:val="000000"/>
          <w:sz w:val="24"/>
          <w:szCs w:val="20"/>
        </w:rPr>
        <w:t xml:space="preserve">, draudimo laikotarpis </w:t>
      </w:r>
      <w:r>
        <w:rPr>
          <w:rFonts w:ascii="Times New Roman" w:hAnsi="Times New Roman"/>
          <w:color w:val="000000"/>
          <w:sz w:val="24"/>
          <w:szCs w:val="20"/>
        </w:rPr>
        <w:t xml:space="preserve">buvo </w:t>
      </w:r>
      <w:r w:rsidRPr="009F4624">
        <w:rPr>
          <w:rFonts w:ascii="Times New Roman" w:hAnsi="Times New Roman"/>
          <w:color w:val="000000"/>
          <w:sz w:val="24"/>
          <w:szCs w:val="20"/>
        </w:rPr>
        <w:t>nuo 2021 m. birželio 18 d. iki 2022</w:t>
      </w:r>
      <w:r w:rsidR="00DE31C5">
        <w:rPr>
          <w:rFonts w:ascii="Times New Roman" w:hAnsi="Times New Roman"/>
          <w:color w:val="000000"/>
          <w:sz w:val="24"/>
          <w:szCs w:val="20"/>
        </w:rPr>
        <w:t> </w:t>
      </w:r>
      <w:r w:rsidRPr="009F4624">
        <w:rPr>
          <w:rFonts w:ascii="Times New Roman" w:hAnsi="Times New Roman"/>
          <w:color w:val="000000"/>
          <w:sz w:val="24"/>
          <w:szCs w:val="20"/>
        </w:rPr>
        <w:t xml:space="preserve">m. birželio 17 d., draudimo įmoka </w:t>
      </w:r>
      <w:r>
        <w:rPr>
          <w:rFonts w:ascii="Times New Roman" w:hAnsi="Times New Roman"/>
          <w:color w:val="000000"/>
          <w:sz w:val="24"/>
          <w:szCs w:val="20"/>
        </w:rPr>
        <w:t xml:space="preserve">– </w:t>
      </w:r>
      <w:r w:rsidRPr="009F4624">
        <w:rPr>
          <w:rFonts w:ascii="Times New Roman" w:hAnsi="Times New Roman"/>
          <w:color w:val="000000"/>
          <w:sz w:val="24"/>
          <w:szCs w:val="20"/>
        </w:rPr>
        <w:t xml:space="preserve">191,66 Eur, draudimo įmokos sumokėjimas </w:t>
      </w:r>
      <w:r>
        <w:rPr>
          <w:rFonts w:ascii="Times New Roman" w:hAnsi="Times New Roman"/>
          <w:color w:val="000000"/>
          <w:sz w:val="24"/>
          <w:szCs w:val="20"/>
        </w:rPr>
        <w:t xml:space="preserve">– </w:t>
      </w:r>
      <w:r w:rsidRPr="009F4624">
        <w:rPr>
          <w:rFonts w:ascii="Times New Roman" w:hAnsi="Times New Roman"/>
          <w:color w:val="000000"/>
          <w:sz w:val="24"/>
          <w:szCs w:val="20"/>
        </w:rPr>
        <w:t>iki 2021</w:t>
      </w:r>
      <w:r w:rsidR="00DE31C5">
        <w:rPr>
          <w:rFonts w:ascii="Times New Roman" w:hAnsi="Times New Roman"/>
          <w:color w:val="000000"/>
          <w:sz w:val="24"/>
          <w:szCs w:val="20"/>
        </w:rPr>
        <w:t> </w:t>
      </w:r>
      <w:r w:rsidRPr="009F4624">
        <w:rPr>
          <w:rFonts w:ascii="Times New Roman" w:hAnsi="Times New Roman"/>
          <w:color w:val="000000"/>
          <w:sz w:val="24"/>
          <w:szCs w:val="20"/>
        </w:rPr>
        <w:t>m. birželio 18 d.</w:t>
      </w:r>
      <w:r>
        <w:rPr>
          <w:rFonts w:ascii="Times New Roman" w:hAnsi="Times New Roman"/>
          <w:color w:val="000000"/>
          <w:sz w:val="24"/>
          <w:szCs w:val="20"/>
        </w:rPr>
        <w:t xml:space="preserve"> Atsakovės </w:t>
      </w:r>
      <w:r w:rsidRPr="009F4624">
        <w:rPr>
          <w:rFonts w:ascii="Times New Roman" w:hAnsi="Times New Roman"/>
          <w:color w:val="000000"/>
          <w:sz w:val="24"/>
          <w:szCs w:val="20"/>
        </w:rPr>
        <w:t xml:space="preserve">prašymu Draudimo sutartis nutraukta 2021 m. liepos 17 d. </w:t>
      </w:r>
      <w:r>
        <w:rPr>
          <w:rFonts w:ascii="Times New Roman" w:hAnsi="Times New Roman"/>
          <w:color w:val="000000"/>
          <w:sz w:val="24"/>
          <w:szCs w:val="20"/>
        </w:rPr>
        <w:t>A</w:t>
      </w:r>
      <w:r w:rsidRPr="009F4624">
        <w:rPr>
          <w:rFonts w:ascii="Times New Roman" w:hAnsi="Times New Roman"/>
          <w:color w:val="000000"/>
          <w:sz w:val="24"/>
          <w:szCs w:val="24"/>
        </w:rPr>
        <w:t>tsakovė už draudimo polisą Nr. LT21-TCA-00285218 ir kitus draudimo polisus 2021 m. liepos 2 d. sumokėjo 16</w:t>
      </w:r>
      <w:r>
        <w:rPr>
          <w:rFonts w:ascii="Times New Roman" w:hAnsi="Times New Roman"/>
          <w:color w:val="000000"/>
          <w:sz w:val="24"/>
          <w:szCs w:val="24"/>
        </w:rPr>
        <w:t> </w:t>
      </w:r>
      <w:r w:rsidRPr="009F4624">
        <w:rPr>
          <w:rFonts w:ascii="Times New Roman" w:hAnsi="Times New Roman"/>
          <w:color w:val="000000"/>
          <w:sz w:val="24"/>
          <w:szCs w:val="24"/>
        </w:rPr>
        <w:t>027,70 Eur. Ieškovas, vadovaudamasis draud</w:t>
      </w:r>
      <w:r>
        <w:rPr>
          <w:rFonts w:ascii="Times New Roman" w:hAnsi="Times New Roman"/>
          <w:color w:val="000000"/>
          <w:sz w:val="24"/>
          <w:szCs w:val="24"/>
        </w:rPr>
        <w:t>žiamąjį</w:t>
      </w:r>
      <w:r w:rsidRPr="009F4624">
        <w:rPr>
          <w:rFonts w:ascii="Times New Roman" w:hAnsi="Times New Roman"/>
          <w:color w:val="000000"/>
          <w:sz w:val="24"/>
          <w:szCs w:val="24"/>
        </w:rPr>
        <w:t xml:space="preserve"> įvykį ir žalos dydį patvirtinančiais dokumentais, išmokėjo 3652,69 Eur </w:t>
      </w:r>
      <w:r>
        <w:rPr>
          <w:rFonts w:ascii="Times New Roman" w:hAnsi="Times New Roman"/>
          <w:color w:val="000000"/>
          <w:sz w:val="24"/>
          <w:szCs w:val="24"/>
        </w:rPr>
        <w:t>draudimo išmoką</w:t>
      </w:r>
      <w:r w:rsidRPr="009F4624">
        <w:rPr>
          <w:rFonts w:ascii="Times New Roman" w:hAnsi="Times New Roman"/>
          <w:color w:val="000000"/>
          <w:sz w:val="24"/>
          <w:szCs w:val="24"/>
        </w:rPr>
        <w:t xml:space="preserve">. </w:t>
      </w:r>
    </w:p>
    <w:p w14:paraId="642B34CB" w14:textId="28AF8E9A" w:rsidR="005F07BF" w:rsidRPr="00491386" w:rsidRDefault="005F07BF" w:rsidP="005F07BF">
      <w:pPr>
        <w:numPr>
          <w:ilvl w:val="0"/>
          <w:numId w:val="1"/>
        </w:numPr>
        <w:tabs>
          <w:tab w:val="left" w:pos="567"/>
        </w:tabs>
        <w:spacing w:before="120" w:after="120"/>
        <w:jc w:val="both"/>
        <w:rPr>
          <w:color w:val="000000"/>
          <w:szCs w:val="20"/>
        </w:rPr>
      </w:pPr>
      <w:r w:rsidRPr="0046317C">
        <w:rPr>
          <w:color w:val="000000"/>
          <w:szCs w:val="20"/>
        </w:rPr>
        <w:t xml:space="preserve">Ieškovas 2022 m. rugsėjo 22 d. pretenzija kreipėsi į </w:t>
      </w:r>
      <w:r>
        <w:rPr>
          <w:color w:val="000000"/>
          <w:szCs w:val="20"/>
        </w:rPr>
        <w:t xml:space="preserve">atsakovę </w:t>
      </w:r>
      <w:r w:rsidRPr="0046317C">
        <w:rPr>
          <w:iCs/>
          <w:color w:val="000000"/>
          <w:szCs w:val="20"/>
        </w:rPr>
        <w:t>dėl 60 proc</w:t>
      </w:r>
      <w:r>
        <w:rPr>
          <w:iCs/>
          <w:color w:val="000000"/>
          <w:szCs w:val="20"/>
        </w:rPr>
        <w:t>.</w:t>
      </w:r>
      <w:r w:rsidRPr="0046317C">
        <w:rPr>
          <w:iCs/>
          <w:color w:val="000000"/>
          <w:szCs w:val="20"/>
        </w:rPr>
        <w:t xml:space="preserve"> draudim</w:t>
      </w:r>
      <w:r>
        <w:rPr>
          <w:iCs/>
          <w:color w:val="000000"/>
          <w:szCs w:val="20"/>
        </w:rPr>
        <w:t>o</w:t>
      </w:r>
      <w:r w:rsidRPr="0046317C">
        <w:rPr>
          <w:iCs/>
          <w:color w:val="000000"/>
          <w:szCs w:val="20"/>
        </w:rPr>
        <w:t xml:space="preserve"> išmokos atlyginimo</w:t>
      </w:r>
      <w:r>
        <w:rPr>
          <w:iCs/>
          <w:color w:val="000000"/>
          <w:szCs w:val="20"/>
        </w:rPr>
        <w:t xml:space="preserve">, nurodydamas, kad atsakovė praleido </w:t>
      </w:r>
      <w:r>
        <w:rPr>
          <w:color w:val="000000"/>
          <w:szCs w:val="20"/>
        </w:rPr>
        <w:t>D</w:t>
      </w:r>
      <w:r w:rsidRPr="00491386">
        <w:rPr>
          <w:color w:val="000000"/>
          <w:szCs w:val="20"/>
        </w:rPr>
        <w:t>raudimo sutartyje nu</w:t>
      </w:r>
      <w:r>
        <w:rPr>
          <w:color w:val="000000"/>
          <w:szCs w:val="20"/>
        </w:rPr>
        <w:t>st</w:t>
      </w:r>
      <w:r w:rsidRPr="00491386">
        <w:rPr>
          <w:color w:val="000000"/>
          <w:szCs w:val="20"/>
        </w:rPr>
        <w:t>atytus draudimo įmokos sumokėjimo terminus ir laiku</w:t>
      </w:r>
      <w:r>
        <w:rPr>
          <w:color w:val="000000"/>
          <w:szCs w:val="20"/>
        </w:rPr>
        <w:t xml:space="preserve"> </w:t>
      </w:r>
      <w:r w:rsidRPr="00491386">
        <w:rPr>
          <w:color w:val="000000"/>
          <w:szCs w:val="20"/>
        </w:rPr>
        <w:t>nesumokėjo už teikiamą pagal draudimo sutartį draudimo apsaugą</w:t>
      </w:r>
      <w:r>
        <w:rPr>
          <w:color w:val="000000"/>
          <w:szCs w:val="20"/>
        </w:rPr>
        <w:t xml:space="preserve">. </w:t>
      </w:r>
      <w:r w:rsidRPr="00491386">
        <w:rPr>
          <w:color w:val="000000"/>
          <w:szCs w:val="20"/>
        </w:rPr>
        <w:t>Atsakovei nesumokėjus pretenzijoje nurodytos sumos, ieškovas kreipėsi ieškiniu į teismą, prašydamas priteisti iš atsakovės 100 proc</w:t>
      </w:r>
      <w:r>
        <w:rPr>
          <w:color w:val="000000"/>
          <w:szCs w:val="20"/>
        </w:rPr>
        <w:t>.</w:t>
      </w:r>
      <w:r w:rsidRPr="00491386">
        <w:rPr>
          <w:color w:val="000000"/>
          <w:szCs w:val="20"/>
        </w:rPr>
        <w:t xml:space="preserve"> </w:t>
      </w:r>
      <w:r>
        <w:rPr>
          <w:color w:val="000000"/>
          <w:szCs w:val="20"/>
        </w:rPr>
        <w:t xml:space="preserve">draudimo </w:t>
      </w:r>
      <w:r w:rsidRPr="00491386">
        <w:rPr>
          <w:color w:val="000000"/>
          <w:szCs w:val="20"/>
        </w:rPr>
        <w:t>išmok</w:t>
      </w:r>
      <w:r>
        <w:rPr>
          <w:color w:val="000000"/>
          <w:szCs w:val="20"/>
        </w:rPr>
        <w:t>os.</w:t>
      </w:r>
      <w:r w:rsidRPr="00491386">
        <w:rPr>
          <w:color w:val="000000"/>
          <w:szCs w:val="20"/>
        </w:rPr>
        <w:t xml:space="preserve"> </w:t>
      </w:r>
    </w:p>
    <w:p w14:paraId="6895471B" w14:textId="77777777" w:rsidR="005F07BF" w:rsidRDefault="005F07BF" w:rsidP="005F07BF">
      <w:pPr>
        <w:numPr>
          <w:ilvl w:val="0"/>
          <w:numId w:val="1"/>
        </w:numPr>
        <w:tabs>
          <w:tab w:val="left" w:pos="567"/>
        </w:tabs>
        <w:spacing w:before="120" w:after="120"/>
        <w:jc w:val="both"/>
        <w:rPr>
          <w:color w:val="000000"/>
        </w:rPr>
      </w:pPr>
      <w:r w:rsidRPr="00390F40">
        <w:rPr>
          <w:color w:val="000000"/>
        </w:rPr>
        <w:t xml:space="preserve">Kolegija nurodė, kad jeigu draudėjas draudimo sutartyje nustatytu laiku nesumokėjo draudimo įmokos už teikiamą pagal draudimo sutartį draudimo apsaugą ir per tą laikotarpį pagal šią draudimo sutartį apdrausta transporto priemone buvo padaryta žala, draudikas, išmokėjęs išmoką, </w:t>
      </w:r>
      <w:r w:rsidRPr="00390F40">
        <w:rPr>
          <w:color w:val="000000"/>
        </w:rPr>
        <w:lastRenderedPageBreak/>
        <w:t>turi teisę reikalauti iš draudėjo grąžinti dėl padarytos žalos draudiko išmokėtas sumas (</w:t>
      </w:r>
      <w:r>
        <w:rPr>
          <w:color w:val="000000"/>
        </w:rPr>
        <w:t xml:space="preserve">Lietuvos Respublikos transporto priemonių valdytojų civilinės atsakomybės privalomojo draudimo įstatymo (toliau – ir </w:t>
      </w:r>
      <w:r w:rsidRPr="00390F40">
        <w:rPr>
          <w:color w:val="000000"/>
        </w:rPr>
        <w:t>TPVCAPDĮ</w:t>
      </w:r>
      <w:r>
        <w:rPr>
          <w:color w:val="000000"/>
        </w:rPr>
        <w:t>)</w:t>
      </w:r>
      <w:r w:rsidRPr="00390F40">
        <w:rPr>
          <w:color w:val="000000"/>
        </w:rPr>
        <w:t xml:space="preserve"> 11 straipsnio 7 dalis). </w:t>
      </w:r>
    </w:p>
    <w:p w14:paraId="41D5BE36" w14:textId="263C7A31" w:rsidR="005F07BF" w:rsidRPr="00390F40" w:rsidRDefault="005F07BF" w:rsidP="005F07BF">
      <w:pPr>
        <w:numPr>
          <w:ilvl w:val="0"/>
          <w:numId w:val="1"/>
        </w:numPr>
        <w:tabs>
          <w:tab w:val="left" w:pos="567"/>
        </w:tabs>
        <w:spacing w:before="120" w:after="120"/>
        <w:jc w:val="both"/>
        <w:rPr>
          <w:color w:val="000000"/>
        </w:rPr>
      </w:pPr>
      <w:r w:rsidRPr="00390F40">
        <w:rPr>
          <w:color w:val="000000"/>
        </w:rPr>
        <w:t>Byloje nustatyta, kad 2021 m. birželio 14 d. šalys sudarė Draudimo sutartį. Ji įsigaliojo 2021</w:t>
      </w:r>
      <w:r w:rsidR="00103776">
        <w:rPr>
          <w:color w:val="000000"/>
        </w:rPr>
        <w:t> </w:t>
      </w:r>
      <w:r w:rsidRPr="00390F40">
        <w:rPr>
          <w:color w:val="000000"/>
        </w:rPr>
        <w:t xml:space="preserve">m. birželio 18 d. 00.00 val. Draudimo laikotarpis </w:t>
      </w:r>
      <w:r>
        <w:rPr>
          <w:color w:val="000000"/>
        </w:rPr>
        <w:t xml:space="preserve">buvo </w:t>
      </w:r>
      <w:r w:rsidRPr="00390F40">
        <w:rPr>
          <w:color w:val="000000"/>
        </w:rPr>
        <w:t>nuo 2021 m. birželio 18 d. iki 2022 m. birželio 17 d. Pagal Draudimo sutarties sąlygas, 191,66 Eur draudimo įmoka turėjo būti sumokėta iki sutartyje nurodytos datos – 2021 m. birželio 18 d., tačiau nurodytu terminu draudimo įmokos atsakovė nesumokėjo. Eismo įvykis įvyko 2021 m. birželio 18 d. Atsakovė draudimo įmoką sumokėjo 2021 m. liepos 2 d., t. y. po 2021 m. birželio 18 d. įvykusio eismo įvykio.</w:t>
      </w:r>
    </w:p>
    <w:p w14:paraId="3FEEEA92" w14:textId="08B5FF1C" w:rsidR="005F07BF" w:rsidRDefault="005F07BF" w:rsidP="005F07BF">
      <w:pPr>
        <w:numPr>
          <w:ilvl w:val="0"/>
          <w:numId w:val="1"/>
        </w:numPr>
        <w:tabs>
          <w:tab w:val="left" w:pos="567"/>
        </w:tabs>
        <w:spacing w:before="120" w:after="120"/>
        <w:jc w:val="both"/>
        <w:rPr>
          <w:color w:val="000000"/>
        </w:rPr>
      </w:pPr>
      <w:r w:rsidRPr="003C38FF">
        <w:rPr>
          <w:color w:val="000000"/>
        </w:rPr>
        <w:t xml:space="preserve">Kolegija, atsižvelgdama į TPVCAPDĮ 22 straipsnio 2 dalies kriterijus, </w:t>
      </w:r>
      <w:r>
        <w:rPr>
          <w:color w:val="000000"/>
        </w:rPr>
        <w:t xml:space="preserve">nusprendė, kad </w:t>
      </w:r>
      <w:r w:rsidRPr="003C38FF">
        <w:rPr>
          <w:color w:val="000000"/>
        </w:rPr>
        <w:t>yra pagrindas priteisti ieškovui 60 proc</w:t>
      </w:r>
      <w:r>
        <w:rPr>
          <w:color w:val="000000"/>
        </w:rPr>
        <w:t>.</w:t>
      </w:r>
      <w:r w:rsidRPr="003C38FF">
        <w:rPr>
          <w:color w:val="000000"/>
        </w:rPr>
        <w:t xml:space="preserve"> reikalaujamos grąžintinos draudimo išmokos sumos, t.</w:t>
      </w:r>
      <w:r w:rsidR="0018524F">
        <w:rPr>
          <w:color w:val="000000"/>
        </w:rPr>
        <w:t> </w:t>
      </w:r>
      <w:r w:rsidRPr="003C38FF">
        <w:rPr>
          <w:color w:val="000000"/>
        </w:rPr>
        <w:t>y. 2</w:t>
      </w:r>
      <w:r w:rsidR="0018524F">
        <w:rPr>
          <w:color w:val="000000"/>
        </w:rPr>
        <w:t> </w:t>
      </w:r>
      <w:r w:rsidRPr="003C38FF">
        <w:rPr>
          <w:color w:val="000000"/>
        </w:rPr>
        <w:t xml:space="preserve">191,61 Eur (TPVCAPDĮ 11 straipsnio 7 dalis, 22 straipsnio 2 dalis). </w:t>
      </w:r>
    </w:p>
    <w:p w14:paraId="4BA9AB6B" w14:textId="77777777" w:rsidR="005F07BF" w:rsidRDefault="005F07BF" w:rsidP="005F07BF">
      <w:pPr>
        <w:spacing w:after="120"/>
        <w:jc w:val="center"/>
      </w:pPr>
    </w:p>
    <w:p w14:paraId="4722138B" w14:textId="77777777" w:rsidR="005F07BF" w:rsidRPr="00686ABD" w:rsidRDefault="005F07BF" w:rsidP="005F07BF">
      <w:pPr>
        <w:spacing w:after="120"/>
        <w:jc w:val="center"/>
      </w:pPr>
      <w:r w:rsidRPr="00686ABD">
        <w:t>III. Kasacinio skundo ir atsiliepimo į jį teisiniai argumentai</w:t>
      </w:r>
    </w:p>
    <w:p w14:paraId="01549603" w14:textId="77777777" w:rsidR="005F07BF" w:rsidRPr="00686ABD" w:rsidRDefault="005F07BF" w:rsidP="005F07BF">
      <w:pPr>
        <w:spacing w:after="120"/>
        <w:ind w:left="360"/>
        <w:jc w:val="both"/>
      </w:pPr>
    </w:p>
    <w:p w14:paraId="250BB4C1" w14:textId="77777777" w:rsidR="005F07BF" w:rsidRDefault="005F07BF" w:rsidP="005F07BF">
      <w:pPr>
        <w:numPr>
          <w:ilvl w:val="0"/>
          <w:numId w:val="1"/>
        </w:numPr>
        <w:spacing w:after="120"/>
        <w:jc w:val="both"/>
      </w:pPr>
      <w:r w:rsidRPr="00686ABD">
        <w:t xml:space="preserve">Kasaciniu skundu </w:t>
      </w:r>
      <w:r>
        <w:t xml:space="preserve">atsakovė </w:t>
      </w:r>
      <w:r w:rsidRPr="00686ABD">
        <w:t xml:space="preserve">prašo </w:t>
      </w:r>
      <w:r>
        <w:t>k</w:t>
      </w:r>
      <w:r w:rsidRPr="00092C1C">
        <w:t xml:space="preserve">reiptis į Europos Sąjungos Teisingumo Teismą </w:t>
      </w:r>
      <w:r>
        <w:t xml:space="preserve">(toliau – ir ESTT) </w:t>
      </w:r>
      <w:r w:rsidRPr="00092C1C">
        <w:t xml:space="preserve">dėl </w:t>
      </w:r>
      <w:proofErr w:type="spellStart"/>
      <w:r w:rsidRPr="00092C1C">
        <w:t>prejudicinio</w:t>
      </w:r>
      <w:proofErr w:type="spellEnd"/>
      <w:r w:rsidRPr="00092C1C">
        <w:t xml:space="preserve"> sprendimo priėmimo</w:t>
      </w:r>
      <w:r>
        <w:t xml:space="preserve">, panaikinti </w:t>
      </w:r>
      <w:r w:rsidRPr="00092C1C">
        <w:t>Šiaulių apygardos teismo Civilinių bylų skyriaus teisėjų kolegij</w:t>
      </w:r>
      <w:r>
        <w:t xml:space="preserve">os </w:t>
      </w:r>
      <w:r w:rsidRPr="00092C1C">
        <w:t>2023 m. rugsėjo 13 d. sprendim</w:t>
      </w:r>
      <w:r>
        <w:t xml:space="preserve">ą ir palikti galioti </w:t>
      </w:r>
      <w:r w:rsidRPr="00092C1C">
        <w:t>Šiaulių apylinkės teismo 2023</w:t>
      </w:r>
      <w:r>
        <w:t> </w:t>
      </w:r>
      <w:r w:rsidRPr="00092C1C">
        <w:t>m. kovo 9 d. sprendimą</w:t>
      </w:r>
      <w:r>
        <w:t xml:space="preserve">, </w:t>
      </w:r>
      <w:r w:rsidRPr="00686ABD">
        <w:t xml:space="preserve">priteisti bylinėjimosi išlaidų atlyginimą. </w:t>
      </w:r>
      <w:r w:rsidRPr="00C408DE">
        <w:t xml:space="preserve">Kasacinis skundas grindžiamas šiais argumentais: </w:t>
      </w:r>
    </w:p>
    <w:p w14:paraId="4D22046A" w14:textId="77777777" w:rsidR="005F07BF" w:rsidRDefault="005F07BF" w:rsidP="005F07BF">
      <w:pPr>
        <w:numPr>
          <w:ilvl w:val="1"/>
          <w:numId w:val="1"/>
        </w:numPr>
        <w:tabs>
          <w:tab w:val="num" w:pos="851"/>
        </w:tabs>
        <w:spacing w:after="120"/>
        <w:ind w:left="788" w:hanging="431"/>
        <w:jc w:val="both"/>
      </w:pPr>
      <w:r>
        <w:t> Apeliacinės instancijos teismas netin</w:t>
      </w:r>
      <w:r w:rsidRPr="00092C1C">
        <w:t xml:space="preserve">kamai aiškino </w:t>
      </w:r>
      <w:r>
        <w:t>D</w:t>
      </w:r>
      <w:r w:rsidRPr="00092C1C">
        <w:t>raudimo sutartį</w:t>
      </w:r>
      <w:r>
        <w:t xml:space="preserve">, spręsdamas, kad pagal Draudimo sutartį terminas sumokėti draudimo įmoką eismo įvykio dieną buvo suėjęs, nes draudimo įmoka turėjo būti sumokėta ne vėliau nei 2021 m. birželio 17 d. 24 val. Draudimo sutartyje nurodytame grafike pirmo (ir vienintelio) draudimo įmokos mokėjimo data yra 2021 m. birželio 18 d., todėl draudimo įmoka turėjo būti sumokėta iki 2021 m. birželio 18 d. 24 val. Tai reiškia, kad eismo įvykis įvyko tą dieną, kai terminas draudimo įmokai sumokėti dar nebuvo pasibaigęs. Kasacinis teismas yra išaiškinęs, kad kalbine prasme laiko ribos nustatymas be žodžio „imtinai (įskaitytinai)“ tikslaus atsakymo neduoda ir kelia skirtingus termino veiksmams atlikti apibrėžimo aiškinimus (Lietuvos Aukščiausiojo Teismo 2006 m. vasario 15 d. nutartis civilinėje byloje Nr. 3K-3-130/2006). Draudimo sutarties sąlygos turi būti apibrėžiamos aiškiai ir nedviprasmiškai, o esant abejonių, draudimo sutarties sąlygos turi būti aiškinamos sutartį prisijungimo būdu sudariusios šalies naudai (Lietuvos Respublikos civilinio kodekso (toliau – CK) 6.193 straipsnio 4 dalis) (pvz., Lietuvos Aukščiausiojo Teismo 2017 m. rugsėjo 26 d. nutartis civilinėje byloje Nr. e3K-3-336-219/2017). Kadangi eismo įvykis įvyko tą dieną, kai terminas draudimo įmokai sumokėti dar nebuvo pasibaigęs, tai pagal TPVCAPDĮ 11 straipsnio 7 dalį ieškovė neturėjo </w:t>
      </w:r>
      <w:r w:rsidRPr="002A5B38">
        <w:t>teis</w:t>
      </w:r>
      <w:r>
        <w:t xml:space="preserve">ės </w:t>
      </w:r>
      <w:r w:rsidRPr="002A5B38">
        <w:t xml:space="preserve">reikalauti iš </w:t>
      </w:r>
      <w:r>
        <w:t xml:space="preserve">atsakovės </w:t>
      </w:r>
      <w:r w:rsidRPr="002A5B38">
        <w:t xml:space="preserve">grąžinti </w:t>
      </w:r>
      <w:r>
        <w:t>išmokėtą draudimo išmoką.</w:t>
      </w:r>
    </w:p>
    <w:p w14:paraId="2D10339C" w14:textId="73D75007" w:rsidR="005F07BF" w:rsidRDefault="005F07BF" w:rsidP="005F07BF">
      <w:pPr>
        <w:numPr>
          <w:ilvl w:val="1"/>
          <w:numId w:val="1"/>
        </w:numPr>
        <w:tabs>
          <w:tab w:val="num" w:pos="851"/>
        </w:tabs>
        <w:spacing w:after="120"/>
        <w:ind w:left="788" w:hanging="431"/>
        <w:jc w:val="both"/>
      </w:pPr>
      <w:r>
        <w:t xml:space="preserve"> Jeigu eismo įvykis nagrinėjamu atveju būtų laikomas įvykusiu per draudimo įmokos mokėjimo vėlavimo laikotarpį, šiuo atveju apeliacinės instancijos teismo sprendime pateiktas TPVCAPDĮ 11 straipsnio 7 dalies normos aiškinimas ir taikymas prieštarauja </w:t>
      </w:r>
      <w:r w:rsidRPr="00E7495D">
        <w:t>2009</w:t>
      </w:r>
      <w:r w:rsidR="009B430D">
        <w:t> </w:t>
      </w:r>
      <w:r w:rsidRPr="00E7495D">
        <w:t xml:space="preserve">m. rugsėjo 16 d. Europos Parlamento ir Tarybos direktyvos 2009/103/EB dėl motorinių transporto priemonių valdytojų civilinės atsakomybės draudimo ir privalomojo tokios atsakomybės draudimo patikrinimo (toliau – </w:t>
      </w:r>
      <w:r>
        <w:t xml:space="preserve">ir </w:t>
      </w:r>
      <w:r w:rsidRPr="00E7495D">
        <w:t xml:space="preserve">Direktyva 2009/103/EB) </w:t>
      </w:r>
      <w:r>
        <w:t xml:space="preserve">nuostatoms ir tikslams. Pagal </w:t>
      </w:r>
      <w:r w:rsidRPr="00881A8A">
        <w:t>Direktyv</w:t>
      </w:r>
      <w:r>
        <w:t xml:space="preserve">os </w:t>
      </w:r>
      <w:r w:rsidRPr="00881A8A">
        <w:t xml:space="preserve">2009/103/EB </w:t>
      </w:r>
      <w:r>
        <w:t xml:space="preserve">14 straipsnį, valstybės narės imasi visų priemonių, būtinų užtikrinti, kad transporto priemonių valdytojų civilinės atsakomybės privalomojo draudimo sutartys vienkartinės įmokos pagrindu ir visą sutarties terminą galiotų visoje Bendrijos teritorijoje ir tos pačios vienkartinės įmokos pagrindu užtikrintų kiekvienoje valstybėje narėje tokią draudimo apsaugą, kurios reikalaujama pagal tos valstybės įstatymus arba draudimo apsaugą, pagal įstatymus privalomą toje valstybėje, kurioje yra įprastinė </w:t>
      </w:r>
      <w:r>
        <w:lastRenderedPageBreak/>
        <w:t xml:space="preserve">transporto priemonės buvimo vieta, jei ši draudimo apsauga yra didesnė. </w:t>
      </w:r>
      <w:r w:rsidRPr="00881A8A">
        <w:t xml:space="preserve">Direktyvos 2009/103/EB </w:t>
      </w:r>
      <w:r>
        <w:t xml:space="preserve">preambulės 26 punkte yra įtvirtintas toks Direktyvos tikslas: „Apdraustojo interesų labui kiekvienas draudimo liudijimas turėtų užtikrinti, sumokėjus vieną draudimo įmoką, draudimo apsaugą kiekvienoje valstybėje narėje pagal tos valstybės teisės aktų reikalavimus arba draudimo apsaugą, pagal valstybės teisės aktus privalomą toje valstybėje, kurioje yra įprastinė transporto priemonės buvimo vieta, jei ši draudimo apsauga yra didesnė.“ Taigi, Direktyvos </w:t>
      </w:r>
      <w:r w:rsidRPr="00881A8A">
        <w:t xml:space="preserve">2009/103/EB </w:t>
      </w:r>
      <w:r>
        <w:t xml:space="preserve">požiūriu, apdraustajam sumokėjus visą (vienkartinę) draudimo įmoką, už ją apdraustajam (šiuo atveju atsakovei) turi būti suteikta visiška draudimo apsauga. Pažymėtina, kad </w:t>
      </w:r>
      <w:r w:rsidRPr="00881A8A">
        <w:t>Direktyvo</w:t>
      </w:r>
      <w:r>
        <w:t>je</w:t>
      </w:r>
      <w:r w:rsidRPr="00881A8A">
        <w:t xml:space="preserve"> 2009/103/EB </w:t>
      </w:r>
      <w:r>
        <w:t xml:space="preserve">nėra nuostatų, kurios leistų draudikui iš savo draudėjo susigrąžinti dėl draudžiamojo įvykio nukentėjusiam asmeniui išmokėtą draudimo išmoką (ar jos dalį), jeigu draudėjas pavėluotai sumoka draudimo įmoką. Nors ir pavėlavus, tačiau draudėjui sumokėjus visą draudimo įmoką už pagal draudimo sutartį teikiamą draudimo apsaugą, draudikas negali susigrąžinti iš draudėjo dėl draudžiamojo įvykio nukentėjusiam asmeniui išmokėtos draudimo išmokos (ar jos dalies), nes priešingu atveju tai reikštų, kad draudikas draudėjui (apdraustajam) už sutartą draudimo įmoką suteikia tik dalinę (o ne visišką) draudimo apsaugą. O tik dalinės draudimo apsaugos apdraustajam suteikimas aiškiai prieštarautų nurodytam Direktyvos </w:t>
      </w:r>
      <w:r w:rsidRPr="00D36E44">
        <w:t xml:space="preserve">2009/103/EB </w:t>
      </w:r>
      <w:r>
        <w:t xml:space="preserve">tikslui. Pažymėtina, jog TPVCAPDĮ 11 straipsnio 5 dalyje yra įtvirtinta, kad jeigu draudėjas nustatytu laiku nesumokėjo draudimo įmokos, draudikas turi teisę reikalauti už kiekvieną pavėluotą dieną 0,04 proc. delspinigių nuo nesumokėtos sumos, jei draudimo sutartyje nenustatyta kitaip. Taigi tokiu TPVCAPDĮ nustatytu būdu (t. y. draudėjo prievole mokėti delspinigius draudikui) yra tinkamai ir pakankamai užtikrinamos draudiko teisės, susijusios su draudimo įmokos sumokėjimo pavėlavimu, o svarbiausia – juo nėra paneigiamas Direktyvos </w:t>
      </w:r>
      <w:r w:rsidRPr="00D36E44">
        <w:t>2009/103/EB</w:t>
      </w:r>
      <w:r>
        <w:t xml:space="preserve"> tikslas. Atsakovė prašo kreiptis į ESTT dėl </w:t>
      </w:r>
      <w:proofErr w:type="spellStart"/>
      <w:r>
        <w:t>prejudicinio</w:t>
      </w:r>
      <w:proofErr w:type="spellEnd"/>
      <w:r>
        <w:t xml:space="preserve"> sprendimo priėmimo šiais klausimais: </w:t>
      </w:r>
    </w:p>
    <w:p w14:paraId="6198A26A" w14:textId="77777777" w:rsidR="005F07BF" w:rsidRDefault="005F07BF" w:rsidP="005F07BF">
      <w:pPr>
        <w:numPr>
          <w:ilvl w:val="2"/>
          <w:numId w:val="1"/>
        </w:numPr>
        <w:spacing w:after="120"/>
        <w:ind w:left="936" w:hanging="505"/>
        <w:jc w:val="both"/>
      </w:pPr>
      <w:r>
        <w:t xml:space="preserve">ar </w:t>
      </w:r>
      <w:r w:rsidRPr="00D466E5">
        <w:t>Direktyv</w:t>
      </w:r>
      <w:r>
        <w:t>os</w:t>
      </w:r>
      <w:r w:rsidRPr="00D466E5">
        <w:t xml:space="preserve"> 2009/103/EB</w:t>
      </w:r>
      <w:r>
        <w:t xml:space="preserve"> 14 straipsnį galima aiškinti taip, kad tais atvejais, kai draudėjas pavėluoja sumokėti draudikui draudimo įmoką pagal draudėjo ir draudiko sudarytą transporto priemonių valdytojų civilinės atsakomybės privalomojo draudimo sutartį, draudikas turi teisę reikalauti iš draudėjo grąžinti dėl draudžiamojo įvykio nukentėjusiam asmeniui išmokėtą draudimo išmoką? </w:t>
      </w:r>
    </w:p>
    <w:p w14:paraId="379BA5EF" w14:textId="77777777" w:rsidR="005F07BF" w:rsidRDefault="005F07BF" w:rsidP="005F07BF">
      <w:pPr>
        <w:numPr>
          <w:ilvl w:val="2"/>
          <w:numId w:val="1"/>
        </w:numPr>
        <w:spacing w:after="120"/>
        <w:ind w:left="919" w:hanging="505"/>
        <w:jc w:val="both"/>
      </w:pPr>
      <w:r>
        <w:t>jei į pirmąjį klausimą būtų atsakyta teigiamai, kokia apimtimi (mastu) draudikas gali reikalauti iš draudėjo sugrąžinti pagal draudėjo ir draudiko sudarytą transporto priemonių valdytojų civilinės atsakomybės privalomojo draudimo sutartį dėl draudžiamojo įvykio nukentėjusiam asmeniui išmokėtą draudimo išmoką?</w:t>
      </w:r>
    </w:p>
    <w:p w14:paraId="69398B1A" w14:textId="77777777" w:rsidR="005F07BF" w:rsidRDefault="005F07BF" w:rsidP="005F07BF">
      <w:pPr>
        <w:numPr>
          <w:ilvl w:val="0"/>
          <w:numId w:val="1"/>
        </w:numPr>
        <w:tabs>
          <w:tab w:val="left" w:pos="851"/>
          <w:tab w:val="left" w:pos="993"/>
          <w:tab w:val="left" w:pos="1134"/>
        </w:tabs>
        <w:spacing w:after="120"/>
        <w:ind w:left="357" w:hanging="357"/>
        <w:jc w:val="both"/>
      </w:pPr>
      <w:r w:rsidRPr="00686ABD">
        <w:t xml:space="preserve">Atsiliepimu į kasacinį skundą </w:t>
      </w:r>
      <w:r>
        <w:t xml:space="preserve">ieškovė prašo </w:t>
      </w:r>
      <w:r w:rsidRPr="00686ABD">
        <w:t xml:space="preserve">kasacinį skundą </w:t>
      </w:r>
      <w:r>
        <w:t xml:space="preserve">ir prašymą kreiptis ESTT dėl </w:t>
      </w:r>
      <w:proofErr w:type="spellStart"/>
      <w:r>
        <w:t>prejudicinio</w:t>
      </w:r>
      <w:proofErr w:type="spellEnd"/>
      <w:r>
        <w:t xml:space="preserve"> sprendimo </w:t>
      </w:r>
      <w:r w:rsidRPr="00686ABD">
        <w:t>atmesti</w:t>
      </w:r>
      <w:r>
        <w:t xml:space="preserve">, priteisti bylinėjimosi išlaidų atlyginimą. </w:t>
      </w:r>
      <w:r w:rsidRPr="00686ABD">
        <w:t>Atsiliepimas grindžiamas šiais argumentais:</w:t>
      </w:r>
    </w:p>
    <w:p w14:paraId="5F9A5702" w14:textId="5D526913" w:rsidR="005F07BF" w:rsidRDefault="005F07BF" w:rsidP="005F07BF">
      <w:pPr>
        <w:numPr>
          <w:ilvl w:val="1"/>
          <w:numId w:val="1"/>
        </w:numPr>
        <w:tabs>
          <w:tab w:val="clear" w:pos="422"/>
          <w:tab w:val="left" w:pos="851"/>
          <w:tab w:val="left" w:pos="993"/>
          <w:tab w:val="left" w:pos="1134"/>
        </w:tabs>
        <w:spacing w:after="120"/>
        <w:jc w:val="both"/>
      </w:pPr>
      <w:r>
        <w:t xml:space="preserve">Draudimo sutartimi atsakovė įsipareigojo sumokėti už suteikiamą draudimo apsaugą nurodytą draudimo įmoką iki 2021 m. birželio 18 d., t. y. iki 2021 m. birželio 17 d. 24 val. </w:t>
      </w:r>
      <w:r w:rsidRPr="006B161D">
        <w:t>(</w:t>
      </w:r>
      <w:r>
        <w:t>D</w:t>
      </w:r>
      <w:r w:rsidRPr="006B161D">
        <w:t>raudimo sutarties 2</w:t>
      </w:r>
      <w:r>
        <w:t xml:space="preserve"> </w:t>
      </w:r>
      <w:r w:rsidRPr="006B161D">
        <w:t>p</w:t>
      </w:r>
      <w:r>
        <w:t>unktas</w:t>
      </w:r>
      <w:r w:rsidRPr="006B161D">
        <w:t>)</w:t>
      </w:r>
      <w:r>
        <w:t>. Draudimo apsauga prasidėjo 2021 m. birželio 18 d. 00.00 val. ir pasibaigė 2021 m. liepos 17 d. (atsakovės prašymu). Atsakovė draudimo įmokos nesumokėjo iki draudimo apsaugos suteikimo pradžios.</w:t>
      </w:r>
    </w:p>
    <w:p w14:paraId="3F08DD84" w14:textId="77777777" w:rsidR="005F07BF" w:rsidRDefault="005F07BF" w:rsidP="005F07BF">
      <w:pPr>
        <w:numPr>
          <w:ilvl w:val="1"/>
          <w:numId w:val="1"/>
        </w:numPr>
        <w:tabs>
          <w:tab w:val="clear" w:pos="422"/>
          <w:tab w:val="left" w:pos="851"/>
          <w:tab w:val="left" w:pos="993"/>
          <w:tab w:val="left" w:pos="1134"/>
        </w:tabs>
        <w:spacing w:after="120"/>
        <w:jc w:val="both"/>
      </w:pPr>
      <w:r>
        <w:t>Šioje byloje nėra ir nebuvo jokio ginčo dėl to, kad draudimo apsauga galioja visoje Bendrijos teritorijoje ir užtikrina draudimo apsaugą nukentėjusiems tretiesiems asmenims. Atsakovė,</w:t>
      </w:r>
      <w:r w:rsidRPr="00DA781B">
        <w:t xml:space="preserve"> prašy</w:t>
      </w:r>
      <w:r>
        <w:t xml:space="preserve">dama </w:t>
      </w:r>
      <w:r w:rsidRPr="00DA781B">
        <w:t xml:space="preserve">kreiptis </w:t>
      </w:r>
      <w:r>
        <w:t xml:space="preserve">į </w:t>
      </w:r>
      <w:r w:rsidRPr="00DA781B">
        <w:t xml:space="preserve">ESTT dėl </w:t>
      </w:r>
      <w:proofErr w:type="spellStart"/>
      <w:r w:rsidRPr="00DA781B">
        <w:t>prejudicinio</w:t>
      </w:r>
      <w:proofErr w:type="spellEnd"/>
      <w:r w:rsidRPr="00DA781B">
        <w:t xml:space="preserve"> sprendimo</w:t>
      </w:r>
      <w:r>
        <w:t>, kelia klausimus, kurie nėra aktualūs ginčo byloje. Lietuvos Respublika, siekdama įgyvendinti pagrindinį tikslą (nukentėjusiojo teisę į žalos atlyginimą), nustatė, kad draudimo apsauga trečiųjų asmenų atžvilgiu galioja nuo sutartyje nurodyto laiko (</w:t>
      </w:r>
      <w:r w:rsidRPr="00DA781B">
        <w:t>TPVCAPDĮ 9 straipsnio 1 dalis</w:t>
      </w:r>
      <w:r>
        <w:t>)</w:t>
      </w:r>
      <w:r w:rsidRPr="00DA781B">
        <w:t xml:space="preserve"> </w:t>
      </w:r>
      <w:r>
        <w:t xml:space="preserve">ir niekaip nepriklauso nuo to, kaip draudėjas vykdo draudimo sutartį (TPVCAPDĮ 16 straipsnio 2 dalis). Nagrinėjamoje byloje ieškovas pripažino įvykį draudžiamuoju ir sumokėjo </w:t>
      </w:r>
      <w:r>
        <w:lastRenderedPageBreak/>
        <w:t xml:space="preserve">draudimo išmoką, todėl ieškovo nurodyti </w:t>
      </w:r>
      <w:r w:rsidRPr="00326CDE">
        <w:t>Direktyv</w:t>
      </w:r>
      <w:r>
        <w:t>os</w:t>
      </w:r>
      <w:r w:rsidRPr="00326CDE">
        <w:t xml:space="preserve"> 2009/103/EB </w:t>
      </w:r>
      <w:r>
        <w:t xml:space="preserve">tikslai yra nesusiję su ginčo byla. Nacionalinis teismas, kurio sprendimas galutinis, turi tokią pačią </w:t>
      </w:r>
      <w:proofErr w:type="spellStart"/>
      <w:r>
        <w:t>diskreciją</w:t>
      </w:r>
      <w:proofErr w:type="spellEnd"/>
      <w:r>
        <w:t xml:space="preserve"> kaip ir kiti nacionaliniai teismai, kiek tai susiję su tuo, ar sprendimui priimti reikia sprendimo ES teisės klausimu. Todėl šie teismai neprivalo pateikti jiems kilusio ES teisės aiškinimo klausimo, jeigu šis nėra svarbus, t. y. tokiu atveju, kai atsakymas į šį klausimą, kad ir koks jis būtų, nepadarytų jokios įtakos ginčo sprendimui (ESTT 2013 m. liepos 18 d. sprendimas byloje C-136/12). </w:t>
      </w:r>
    </w:p>
    <w:p w14:paraId="46A4878B" w14:textId="77777777" w:rsidR="00E006EB" w:rsidRDefault="00E006EB" w:rsidP="00E006EB">
      <w:pPr>
        <w:tabs>
          <w:tab w:val="left" w:pos="851"/>
          <w:tab w:val="left" w:pos="993"/>
          <w:tab w:val="left" w:pos="1134"/>
        </w:tabs>
        <w:spacing w:after="120"/>
        <w:jc w:val="both"/>
      </w:pPr>
    </w:p>
    <w:p w14:paraId="24D01B41" w14:textId="77777777" w:rsidR="00E006EB" w:rsidRPr="00D7587C" w:rsidRDefault="00E006EB" w:rsidP="00E006EB">
      <w:pPr>
        <w:widowControl w:val="0"/>
        <w:shd w:val="clear" w:color="auto" w:fill="FFFFFF"/>
        <w:tabs>
          <w:tab w:val="left" w:pos="851"/>
        </w:tabs>
        <w:spacing w:after="120"/>
        <w:ind w:left="1508" w:right="17"/>
        <w:jc w:val="both"/>
      </w:pPr>
      <w:r w:rsidRPr="00D7587C">
        <w:t xml:space="preserve">Teisėjų kolegija </w:t>
      </w:r>
    </w:p>
    <w:p w14:paraId="5EB26254" w14:textId="77777777" w:rsidR="00E006EB" w:rsidRPr="00D7587C" w:rsidRDefault="00E006EB" w:rsidP="00E006EB">
      <w:pPr>
        <w:widowControl w:val="0"/>
        <w:shd w:val="clear" w:color="auto" w:fill="FFFFFF"/>
        <w:spacing w:after="120"/>
        <w:ind w:right="17" w:firstLine="720"/>
        <w:jc w:val="both"/>
      </w:pPr>
    </w:p>
    <w:p w14:paraId="7C7328EC" w14:textId="77777777" w:rsidR="00E006EB" w:rsidRPr="00D7587C" w:rsidRDefault="00E006EB" w:rsidP="00E006EB">
      <w:pPr>
        <w:widowControl w:val="0"/>
        <w:spacing w:after="120"/>
      </w:pPr>
      <w:r w:rsidRPr="00D7587C">
        <w:t xml:space="preserve">k o n s t a t u o j a : </w:t>
      </w:r>
    </w:p>
    <w:p w14:paraId="68F5E1F7" w14:textId="77777777" w:rsidR="00E006EB" w:rsidRPr="00D7587C" w:rsidRDefault="00E006EB" w:rsidP="00E006EB">
      <w:pPr>
        <w:widowControl w:val="0"/>
        <w:spacing w:after="120"/>
        <w:ind w:firstLine="720"/>
      </w:pPr>
    </w:p>
    <w:p w14:paraId="3BEAA0DD" w14:textId="77777777" w:rsidR="00E006EB" w:rsidRPr="00D7587C" w:rsidRDefault="00E006EB" w:rsidP="00E006EB">
      <w:pPr>
        <w:widowControl w:val="0"/>
        <w:spacing w:after="120"/>
        <w:jc w:val="center"/>
      </w:pPr>
      <w:r w:rsidRPr="00D7587C">
        <w:t>IV. Kasacinio teismo argumentai ir išaiškinimai</w:t>
      </w:r>
    </w:p>
    <w:p w14:paraId="332A19D9" w14:textId="77777777" w:rsidR="00E006EB" w:rsidRDefault="00E006EB" w:rsidP="00E006EB">
      <w:pPr>
        <w:widowControl w:val="0"/>
        <w:shd w:val="clear" w:color="auto" w:fill="FFFFFF"/>
        <w:tabs>
          <w:tab w:val="left" w:pos="851"/>
        </w:tabs>
        <w:spacing w:after="120"/>
        <w:ind w:left="1508" w:right="17"/>
        <w:jc w:val="both"/>
      </w:pPr>
    </w:p>
    <w:p w14:paraId="0036AB52" w14:textId="77777777" w:rsidR="00387ABE" w:rsidRDefault="00387ABE" w:rsidP="00387ABE">
      <w:pPr>
        <w:tabs>
          <w:tab w:val="left" w:pos="851"/>
        </w:tabs>
        <w:spacing w:after="120"/>
        <w:ind w:firstLine="709"/>
        <w:jc w:val="both"/>
      </w:pPr>
      <w:bookmarkStart w:id="0" w:name="_Hlk162087421"/>
      <w:r w:rsidRPr="00D7587C">
        <w:rPr>
          <w:i/>
          <w:iCs/>
        </w:rPr>
        <w:t xml:space="preserve">Dėl </w:t>
      </w:r>
      <w:r>
        <w:rPr>
          <w:i/>
          <w:iCs/>
        </w:rPr>
        <w:t xml:space="preserve">draudiko teisės reikalauti iš draudėjo grąžinti dalį draudiko išmokėtos sumos, kai </w:t>
      </w:r>
      <w:r w:rsidRPr="00E006EB">
        <w:rPr>
          <w:i/>
          <w:iCs/>
        </w:rPr>
        <w:t>draudėjas draudimo sutartyje nustatytu laiku nesumokėjo draudimo įmokos</w:t>
      </w:r>
      <w:r>
        <w:rPr>
          <w:i/>
          <w:iCs/>
        </w:rPr>
        <w:t>,</w:t>
      </w:r>
      <w:r w:rsidRPr="00E006EB">
        <w:rPr>
          <w:i/>
          <w:iCs/>
        </w:rPr>
        <w:t xml:space="preserve"> </w:t>
      </w:r>
      <w:r>
        <w:rPr>
          <w:i/>
          <w:iCs/>
        </w:rPr>
        <w:t>ir draudimo sutarties aiškinimo</w:t>
      </w:r>
    </w:p>
    <w:p w14:paraId="4C571299" w14:textId="77777777" w:rsidR="00387ABE" w:rsidRDefault="00387ABE" w:rsidP="00387ABE">
      <w:pPr>
        <w:widowControl w:val="0"/>
        <w:shd w:val="clear" w:color="auto" w:fill="FFFFFF"/>
        <w:tabs>
          <w:tab w:val="left" w:pos="851"/>
        </w:tabs>
        <w:spacing w:after="120"/>
        <w:ind w:left="1508" w:right="17"/>
        <w:jc w:val="both"/>
      </w:pPr>
    </w:p>
    <w:p w14:paraId="43715F0F" w14:textId="77777777" w:rsidR="00387ABE" w:rsidRPr="00E006EB" w:rsidRDefault="00387ABE" w:rsidP="00387ABE">
      <w:pPr>
        <w:numPr>
          <w:ilvl w:val="0"/>
          <w:numId w:val="1"/>
        </w:numPr>
        <w:tabs>
          <w:tab w:val="left" w:pos="851"/>
          <w:tab w:val="left" w:pos="993"/>
          <w:tab w:val="left" w:pos="1134"/>
        </w:tabs>
        <w:spacing w:after="120"/>
        <w:jc w:val="both"/>
      </w:pPr>
      <w:r w:rsidRPr="00E006EB">
        <w:rPr>
          <w:rFonts w:eastAsia="Calibri"/>
          <w:kern w:val="2"/>
          <w:lang w:eastAsia="en-US"/>
          <w14:ligatures w14:val="standardContextual"/>
        </w:rPr>
        <w:t>Jeigu draudėjas draudimo sutartyje nustatytu laiku nesumokėjo draudimo įmokos už teikiamą pagal draudimo sutartį draudimo apsaugą ir per tą laikotarpį pagal šią draudimo sutartį apdrausta transporto priemone buvo padaryta žala arba žala buvo padaryta, kai draudėjas buvo atleistas nuo draudimo įmokos mokėjimo pagal šio įstatymo 9 straipsnio 3 dalį, draudikas, išmokėjęs išmoką, turi teisę reikalauti iš draudėjo grąžinti dėl padarytos žalos draudiko išmokėtas sumas (TPVCAPDĮ 11 straipsnio 7 dalis). Tai</w:t>
      </w:r>
      <w:r>
        <w:rPr>
          <w:rFonts w:eastAsia="Calibri"/>
          <w:kern w:val="2"/>
          <w:lang w:eastAsia="en-US"/>
          <w14:ligatures w14:val="standardContextual"/>
        </w:rPr>
        <w:t>gi</w:t>
      </w:r>
      <w:r w:rsidRPr="00E006EB">
        <w:rPr>
          <w:rFonts w:eastAsia="Calibri"/>
          <w:kern w:val="2"/>
          <w:lang w:eastAsia="en-US"/>
          <w14:ligatures w14:val="standardContextual"/>
        </w:rPr>
        <w:t>, įstatymas nustato teisinę kompensuojamojo pobūdžio sankciją, kuri taikoma įstatymo ir sutarties nustatytas pareigas pažeidusiam draudėjui. Ši draudiko teisė savaime nėra ribojama (sąlygojama) TPVCAPDĮ nuostatomis, reglamentuojančiomis draudimo sutarties nutraukimą (TPVCAPDĮ 7 straipsnio 2 dalis), galimybe reikalauti delspinigių (TPVCAPDĮ 11 straipsnio 5 dalis) ar pranešimu draudėjui apie draudimo įmokų nesumokėjimo pasekmes (žr., pvz., Lietuvos Aukščiausiojo Teismo 2012 m. lapkričio 21 d. nutart</w:t>
      </w:r>
      <w:r>
        <w:rPr>
          <w:rFonts w:eastAsia="Calibri"/>
          <w:kern w:val="2"/>
          <w:lang w:eastAsia="en-US"/>
          <w14:ligatures w14:val="standardContextual"/>
        </w:rPr>
        <w:t>į</w:t>
      </w:r>
      <w:r w:rsidRPr="00E006EB">
        <w:rPr>
          <w:rFonts w:eastAsia="Calibri"/>
          <w:kern w:val="2"/>
          <w:lang w:eastAsia="en-US"/>
          <w14:ligatures w14:val="standardContextual"/>
        </w:rPr>
        <w:t xml:space="preserve"> civilinėje byloje Nr. 3K-3-524/2012)</w:t>
      </w:r>
      <w:r>
        <w:rPr>
          <w:rFonts w:eastAsia="Calibri"/>
          <w:kern w:val="2"/>
          <w:lang w:eastAsia="en-US"/>
          <w14:ligatures w14:val="standardContextual"/>
        </w:rPr>
        <w:t>.</w:t>
      </w:r>
    </w:p>
    <w:p w14:paraId="6F58A4C1" w14:textId="77777777" w:rsidR="00387ABE" w:rsidRPr="00E006EB" w:rsidRDefault="00387ABE" w:rsidP="00387ABE">
      <w:pPr>
        <w:numPr>
          <w:ilvl w:val="0"/>
          <w:numId w:val="1"/>
        </w:numPr>
        <w:tabs>
          <w:tab w:val="left" w:pos="851"/>
          <w:tab w:val="left" w:pos="993"/>
          <w:tab w:val="left" w:pos="1134"/>
        </w:tabs>
        <w:spacing w:after="120"/>
        <w:jc w:val="both"/>
      </w:pPr>
      <w:r w:rsidRPr="00E006EB">
        <w:rPr>
          <w:rFonts w:eastAsia="Calibri"/>
          <w:kern w:val="2"/>
          <w:lang w:eastAsia="en-US"/>
          <w14:ligatures w14:val="standardContextual"/>
        </w:rPr>
        <w:t>Ši TPVCAPDĮ 11 straipsnio 7 dalyje įtvirtinta draudiko teisė nėra absoliuti, bet santykinė, aiškinama ir taikoma kartu su TPVCAPDĮ 22 straipsnio „Draudiko sumokėtų išmokų grąžinimas“ 2 dalyje įtvirtintais grąžinamos sumos dydžio nustatymo kriterijais, taip pat kitais kriterijais, kuriuos pagal bylos aplinkybes reikšmingais pripažins teismas. Nurodytoje TPVCAPDĮ 22</w:t>
      </w:r>
      <w:r>
        <w:rPr>
          <w:rFonts w:eastAsia="Calibri"/>
          <w:kern w:val="2"/>
          <w:lang w:eastAsia="en-US"/>
          <w14:ligatures w14:val="standardContextual"/>
        </w:rPr>
        <w:t> </w:t>
      </w:r>
      <w:r w:rsidRPr="00E006EB">
        <w:rPr>
          <w:rFonts w:eastAsia="Calibri"/>
          <w:kern w:val="2"/>
          <w:lang w:eastAsia="en-US"/>
          <w14:ligatures w14:val="standardContextual"/>
        </w:rPr>
        <w:t xml:space="preserve">straipsnio normoje, be kita ko, nustatyta, kad jei draudėjas nevykdė ar netinkamai vykdė draudimo sutartyje nustatytas pareigas, draudikas turi teisę reikalauti, kad draudėjas grąžintų išmokėtą sumą ar jos dalį. Draudiko reikalaujamos grąžinti sumos dydis nustatomas atsižvelgiant į nustatytų pareigų pažeidimą, reikšmingas aplinkybes ir į Vyriausybės </w:t>
      </w:r>
      <w:r>
        <w:rPr>
          <w:rFonts w:eastAsia="Calibri"/>
          <w:kern w:val="2"/>
          <w:lang w:eastAsia="en-US"/>
          <w14:ligatures w14:val="standardContextual"/>
        </w:rPr>
        <w:t>įtvirtin</w:t>
      </w:r>
      <w:r w:rsidRPr="00E006EB">
        <w:rPr>
          <w:rFonts w:eastAsia="Calibri"/>
          <w:kern w:val="2"/>
          <w:lang w:eastAsia="en-US"/>
          <w14:ligatures w14:val="standardContextual"/>
        </w:rPr>
        <w:t xml:space="preserve">tą Žalos nustatymo ir išmokų mokėjimo tvarką. Kaip yra išaiškinęs kasacinis teismas, </w:t>
      </w:r>
      <w:r>
        <w:rPr>
          <w:rFonts w:eastAsia="Calibri"/>
          <w:kern w:val="2"/>
          <w:lang w:eastAsia="en-US"/>
          <w14:ligatures w14:val="standardContextual"/>
        </w:rPr>
        <w:t xml:space="preserve">nustatant </w:t>
      </w:r>
      <w:r w:rsidRPr="00E006EB">
        <w:rPr>
          <w:rFonts w:eastAsia="Calibri"/>
          <w:kern w:val="2"/>
          <w:lang w:eastAsia="en-US"/>
          <w14:ligatures w14:val="standardContextual"/>
        </w:rPr>
        <w:t>grąžinamos sumos dyd</w:t>
      </w:r>
      <w:r>
        <w:rPr>
          <w:rFonts w:eastAsia="Calibri"/>
          <w:kern w:val="2"/>
          <w:lang w:eastAsia="en-US"/>
          <w14:ligatures w14:val="standardContextual"/>
        </w:rPr>
        <w:t>į</w:t>
      </w:r>
      <w:r w:rsidRPr="00E006EB">
        <w:rPr>
          <w:rFonts w:eastAsia="Calibri"/>
          <w:kern w:val="2"/>
          <w:lang w:eastAsia="en-US"/>
          <w14:ligatures w14:val="standardContextual"/>
        </w:rPr>
        <w:t xml:space="preserve"> gali turėti įtakos nesumokėtos sumos dydis, praleisto termino trukmė, termino praleidimo priežastys ir kitos aplinkybės (žr. Lietuvos Aukščiausiojo Teismo 2012 m. lapkričio 21 d. nutartį civilinėje byloje Nr. 3K-3-524/2012).</w:t>
      </w:r>
    </w:p>
    <w:bookmarkEnd w:id="0"/>
    <w:p w14:paraId="6CE349EB" w14:textId="2EF32328" w:rsidR="00157102" w:rsidRPr="00F57996" w:rsidRDefault="00157102" w:rsidP="004402D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F57996">
        <w:rPr>
          <w:rFonts w:ascii="Times New Roman" w:hAnsi="Times New Roman"/>
          <w:sz w:val="24"/>
          <w:szCs w:val="24"/>
        </w:rPr>
        <w:t xml:space="preserve">Apeliacinės instancijos teismas, nustatęs, kad atsakovė </w:t>
      </w:r>
      <w:r w:rsidR="00471967" w:rsidRPr="00F57996">
        <w:rPr>
          <w:rFonts w:ascii="Times New Roman" w:hAnsi="Times New Roman"/>
          <w:sz w:val="24"/>
          <w:szCs w:val="24"/>
        </w:rPr>
        <w:t>D</w:t>
      </w:r>
      <w:r w:rsidR="00390F40" w:rsidRPr="00F57996">
        <w:rPr>
          <w:rFonts w:ascii="Times New Roman" w:hAnsi="Times New Roman"/>
          <w:sz w:val="24"/>
          <w:szCs w:val="24"/>
        </w:rPr>
        <w:t>raudimo sutartyje nustatytu laiku</w:t>
      </w:r>
      <w:r w:rsidR="00003D73" w:rsidRPr="00F57996">
        <w:rPr>
          <w:rFonts w:ascii="Times New Roman" w:hAnsi="Times New Roman"/>
          <w:sz w:val="24"/>
          <w:szCs w:val="24"/>
        </w:rPr>
        <w:t>,</w:t>
      </w:r>
      <w:r w:rsidR="00B67903" w:rsidRPr="00F57996">
        <w:rPr>
          <w:rFonts w:ascii="Times New Roman" w:hAnsi="Times New Roman"/>
          <w:sz w:val="24"/>
          <w:szCs w:val="24"/>
        </w:rPr>
        <w:t xml:space="preserve"> t. y.  iki 2021 m. birželio 18 d.</w:t>
      </w:r>
      <w:r w:rsidR="00003D73" w:rsidRPr="00F57996">
        <w:rPr>
          <w:rFonts w:ascii="Times New Roman" w:hAnsi="Times New Roman"/>
          <w:sz w:val="24"/>
          <w:szCs w:val="24"/>
        </w:rPr>
        <w:t>,</w:t>
      </w:r>
      <w:r w:rsidR="00390F40" w:rsidRPr="00F57996">
        <w:rPr>
          <w:rFonts w:ascii="Times New Roman" w:hAnsi="Times New Roman"/>
          <w:sz w:val="24"/>
          <w:szCs w:val="24"/>
        </w:rPr>
        <w:t xml:space="preserve"> </w:t>
      </w:r>
      <w:r w:rsidRPr="00F57996">
        <w:rPr>
          <w:rFonts w:ascii="Times New Roman" w:hAnsi="Times New Roman"/>
          <w:sz w:val="24"/>
          <w:szCs w:val="24"/>
        </w:rPr>
        <w:t xml:space="preserve">nesumokėjo draudimo įmokos </w:t>
      </w:r>
      <w:r w:rsidR="00390F40" w:rsidRPr="00F57996">
        <w:rPr>
          <w:rFonts w:ascii="Times New Roman" w:hAnsi="Times New Roman"/>
          <w:sz w:val="24"/>
          <w:szCs w:val="24"/>
        </w:rPr>
        <w:t>(</w:t>
      </w:r>
      <w:r w:rsidRPr="00F57996">
        <w:rPr>
          <w:rFonts w:ascii="Times New Roman" w:hAnsi="Times New Roman"/>
          <w:sz w:val="24"/>
          <w:szCs w:val="24"/>
        </w:rPr>
        <w:t>sumokėjo 2021 m. liepos 2 d.</w:t>
      </w:r>
      <w:r w:rsidR="00390F40" w:rsidRPr="00F57996">
        <w:rPr>
          <w:rFonts w:ascii="Times New Roman" w:hAnsi="Times New Roman"/>
          <w:sz w:val="24"/>
          <w:szCs w:val="24"/>
        </w:rPr>
        <w:t>)</w:t>
      </w:r>
      <w:r w:rsidR="004B7BC4" w:rsidRPr="00F57996">
        <w:rPr>
          <w:rFonts w:ascii="Times New Roman" w:hAnsi="Times New Roman"/>
          <w:sz w:val="24"/>
          <w:szCs w:val="24"/>
        </w:rPr>
        <w:t>,</w:t>
      </w:r>
      <w:r w:rsidR="00B67903" w:rsidRPr="00F57996">
        <w:rPr>
          <w:rFonts w:ascii="Times New Roman" w:hAnsi="Times New Roman"/>
          <w:sz w:val="24"/>
          <w:szCs w:val="24"/>
        </w:rPr>
        <w:t xml:space="preserve"> </w:t>
      </w:r>
      <w:r w:rsidR="004B7BC4" w:rsidRPr="00F57996">
        <w:rPr>
          <w:rFonts w:ascii="Times New Roman" w:hAnsi="Times New Roman"/>
          <w:sz w:val="24"/>
          <w:szCs w:val="24"/>
        </w:rPr>
        <w:t>ir</w:t>
      </w:r>
      <w:r w:rsidR="00B67903" w:rsidRPr="00F57996">
        <w:rPr>
          <w:rFonts w:ascii="Times New Roman" w:hAnsi="Times New Roman"/>
          <w:sz w:val="24"/>
          <w:szCs w:val="24"/>
        </w:rPr>
        <w:t xml:space="preserve"> tai</w:t>
      </w:r>
      <w:r w:rsidR="00003D73" w:rsidRPr="00F57996">
        <w:rPr>
          <w:rFonts w:ascii="Times New Roman" w:hAnsi="Times New Roman"/>
          <w:sz w:val="24"/>
          <w:szCs w:val="24"/>
        </w:rPr>
        <w:t>,</w:t>
      </w:r>
      <w:r w:rsidR="00A57C15" w:rsidRPr="00F57996">
        <w:rPr>
          <w:rFonts w:ascii="Times New Roman" w:hAnsi="Times New Roman"/>
          <w:sz w:val="24"/>
          <w:szCs w:val="24"/>
        </w:rPr>
        <w:t xml:space="preserve"> </w:t>
      </w:r>
      <w:r w:rsidR="00390F40" w:rsidRPr="00F57996">
        <w:rPr>
          <w:rFonts w:ascii="Times New Roman" w:hAnsi="Times New Roman"/>
          <w:sz w:val="24"/>
          <w:szCs w:val="24"/>
        </w:rPr>
        <w:t xml:space="preserve">kad 2021 m. birželio 18 d. pagal </w:t>
      </w:r>
      <w:r w:rsidR="00471967" w:rsidRPr="00F57996">
        <w:rPr>
          <w:rFonts w:ascii="Times New Roman" w:hAnsi="Times New Roman"/>
          <w:sz w:val="24"/>
          <w:szCs w:val="24"/>
        </w:rPr>
        <w:t>D</w:t>
      </w:r>
      <w:r w:rsidR="00390F40" w:rsidRPr="00F57996">
        <w:rPr>
          <w:rFonts w:ascii="Times New Roman" w:hAnsi="Times New Roman"/>
          <w:sz w:val="24"/>
          <w:szCs w:val="24"/>
        </w:rPr>
        <w:t xml:space="preserve">raudimo sutartį apdrausta transporto priemone buvo padaryta žala ir ieškovas išmokėjo 3652,69 Eur draudimo išmoką, </w:t>
      </w:r>
      <w:r w:rsidRPr="00F57996">
        <w:rPr>
          <w:rFonts w:ascii="Times New Roman" w:hAnsi="Times New Roman"/>
          <w:sz w:val="24"/>
          <w:szCs w:val="24"/>
        </w:rPr>
        <w:t>taikė TPVCAPDĮ 11 straipsnio 7 dalies nuostatas ir, atsižvelgdama</w:t>
      </w:r>
      <w:r w:rsidR="004B7BC4" w:rsidRPr="00F57996">
        <w:rPr>
          <w:rFonts w:ascii="Times New Roman" w:hAnsi="Times New Roman"/>
          <w:sz w:val="24"/>
          <w:szCs w:val="24"/>
        </w:rPr>
        <w:t>s</w:t>
      </w:r>
      <w:r w:rsidRPr="00F57996">
        <w:rPr>
          <w:rFonts w:ascii="Times New Roman" w:hAnsi="Times New Roman"/>
          <w:sz w:val="24"/>
          <w:szCs w:val="24"/>
        </w:rPr>
        <w:t xml:space="preserve"> į TPVCAPDĮ 22 straipsnio 2 dalies kriterijus, nusprendė, kad yra </w:t>
      </w:r>
      <w:r w:rsidRPr="00F57996">
        <w:rPr>
          <w:rFonts w:ascii="Times New Roman" w:hAnsi="Times New Roman"/>
          <w:sz w:val="24"/>
          <w:szCs w:val="24"/>
        </w:rPr>
        <w:lastRenderedPageBreak/>
        <w:t>pagrindas priteisti ieškov</w:t>
      </w:r>
      <w:r w:rsidR="00390F40" w:rsidRPr="00F57996">
        <w:rPr>
          <w:rFonts w:ascii="Times New Roman" w:hAnsi="Times New Roman"/>
          <w:sz w:val="24"/>
          <w:szCs w:val="24"/>
        </w:rPr>
        <w:t>ui</w:t>
      </w:r>
      <w:r w:rsidRPr="00F57996">
        <w:rPr>
          <w:rFonts w:ascii="Times New Roman" w:hAnsi="Times New Roman"/>
          <w:sz w:val="24"/>
          <w:szCs w:val="24"/>
        </w:rPr>
        <w:t xml:space="preserve"> 60 proc. reikalaujamos grąžinti draudimo išmokos sumos, t. y. 2191,61 Eur.</w:t>
      </w:r>
    </w:p>
    <w:p w14:paraId="7F95561C" w14:textId="77777777" w:rsidR="00387ABE" w:rsidRPr="00387ABE" w:rsidRDefault="00387ABE" w:rsidP="00387ABE">
      <w:pPr>
        <w:pStyle w:val="Sraopastraipa"/>
        <w:numPr>
          <w:ilvl w:val="0"/>
          <w:numId w:val="1"/>
        </w:numPr>
        <w:spacing w:after="120" w:line="240" w:lineRule="auto"/>
        <w:ind w:left="357" w:hanging="357"/>
        <w:jc w:val="both"/>
        <w:rPr>
          <w:rFonts w:ascii="Times New Roman" w:hAnsi="Times New Roman"/>
          <w:sz w:val="24"/>
          <w:szCs w:val="24"/>
        </w:rPr>
      </w:pPr>
      <w:r w:rsidRPr="00387ABE">
        <w:rPr>
          <w:rFonts w:ascii="Times New Roman" w:hAnsi="Times New Roman"/>
          <w:sz w:val="24"/>
          <w:szCs w:val="24"/>
        </w:rPr>
        <w:t>Kasaciniame skunde teigiama, kad apeliacinės instancijos teismas netinkamai aiškino Draudimo sutartį, spręsdamas, jog pagal Draudimo sutartį terminas draudimo įmokai sumokėti eismo įvykio dieną buvo suėjęs, nes draudimo įmoka turėjo būti sumokėta ne vėliau nei 2021 m. birželio 17 d. 24 val. Draudimo sutartyje nurodytame grafike pirmo (ir vienintelio) draudimo įmokos mokėjimo data yra 2021 m. birželio 18 d., todėl draudimo įmoka turėjo būti sumokėta iki 2021 m. birželio 18 d. 24 val. Tai reiškia, kad eismo įvykis įvyko tą dieną, kai terminas draudimo įmokai sumokėti dar nebuvo pasibaigęs.</w:t>
      </w:r>
    </w:p>
    <w:p w14:paraId="1E2D1E06" w14:textId="5CE6FADA" w:rsidR="007D3A35" w:rsidRPr="00F57996" w:rsidRDefault="007D3A35" w:rsidP="00AC2DAF">
      <w:pPr>
        <w:numPr>
          <w:ilvl w:val="0"/>
          <w:numId w:val="1"/>
        </w:numPr>
        <w:tabs>
          <w:tab w:val="left" w:pos="851"/>
          <w:tab w:val="left" w:pos="993"/>
          <w:tab w:val="left" w:pos="1134"/>
        </w:tabs>
        <w:spacing w:after="120"/>
        <w:jc w:val="both"/>
      </w:pPr>
      <w:bookmarkStart w:id="1" w:name="_Hlk163643109"/>
      <w:r w:rsidRPr="00F57996">
        <w:t xml:space="preserve">Kasacinio teismo praktika dėl sutarčių aiškinimo </w:t>
      </w:r>
      <w:bookmarkEnd w:id="1"/>
      <w:r w:rsidRPr="00F57996">
        <w:t xml:space="preserve">taisyklių yra išsami ir išplėtota. Kai kyla šalių ginčas dėl konkrečios sutarties turinio, jos sąlygų, sutartis turi būti aiškinama nustatant tikruosius sutarties dalyvių ketinimus,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Sutarties šalių ketinimus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aiškina savo ketinimus pagal sutartį ir kai neįmanoma jų nustatyti taikant subjektyvų (šalių tikrųjų ketinimų) sutarties aiškinimo būdą, prioritetas </w:t>
      </w:r>
      <w:proofErr w:type="spellStart"/>
      <w:r w:rsidRPr="00F57996">
        <w:t>teiktinas</w:t>
      </w:r>
      <w:proofErr w:type="spellEnd"/>
      <w:r w:rsidRPr="00F57996">
        <w:t xml:space="preserve"> pažodiniam sutarties teksto aiškinimui (lingvistiniam aiškinimui), kaip objektyviausiai atspindinčiam tikrąją šalių valią dėl prisiimtų įsipareigojimų turinio. Subjektyvusis sutarties aiškinimo metodas ir teksto lingvistinis aiškinimas sudaro darnią sutarčių aiškinimo metodų sistemą, kuria remiantis nustatomas šalių valios turinys (žr., pvz., Lietuvos Aukščiausiojo Teismo 2021 m. birželio 30 d. nutarties civilinėje byloje Nr. e3K-3-192-969/2021 85 punktą ir jame nurodytą kasacinio teismo praktiką; 2022 m. balandžio 1 d. nutarties civilinėje byloje Nr. e3K-3-72-421/2022 25 punktą; 2024 m. kovo 21 d. nutarties civilinėje byloje Nr. e3K-7-66-469/2024 52 punktą).</w:t>
      </w:r>
    </w:p>
    <w:p w14:paraId="2ABB85E7" w14:textId="7F7AF7E6" w:rsidR="007223F0" w:rsidRPr="00F57996" w:rsidRDefault="007223F0" w:rsidP="00AC2DAF">
      <w:pPr>
        <w:numPr>
          <w:ilvl w:val="0"/>
          <w:numId w:val="1"/>
        </w:numPr>
        <w:tabs>
          <w:tab w:val="left" w:pos="851"/>
          <w:tab w:val="left" w:pos="993"/>
          <w:tab w:val="left" w:pos="1134"/>
        </w:tabs>
        <w:spacing w:after="120"/>
        <w:jc w:val="both"/>
      </w:pPr>
      <w:r w:rsidRPr="00F57996">
        <w:t xml:space="preserve">Teisėjų kolegija pažymi, kad </w:t>
      </w:r>
      <w:r w:rsidR="0066142D" w:rsidRPr="00F57996">
        <w:t>kasaciniame</w:t>
      </w:r>
      <w:r w:rsidRPr="00F57996">
        <w:t xml:space="preserve"> skunde neteisingai nurodoma, jog Draudimo sutartyje nurodytame grafike pirmo (ir vienintelio) draudimo įmokos mokėjimo data yra 2021</w:t>
      </w:r>
      <w:r w:rsidR="0066142D" w:rsidRPr="00F57996">
        <w:t> </w:t>
      </w:r>
      <w:r w:rsidRPr="00F57996">
        <w:t xml:space="preserve">m. birželio 18 d., todėl draudimo įmoka turėjo būti sumokėta iki 2021 m. birželio 18 d. 24 val. </w:t>
      </w:r>
      <w:bookmarkStart w:id="2" w:name="_Hlk163586242"/>
      <w:r w:rsidR="00A72396" w:rsidRPr="00F57996">
        <w:t xml:space="preserve">Draudimo sutarties </w:t>
      </w:r>
      <w:r w:rsidR="00126D7E" w:rsidRPr="00F57996">
        <w:t>2 punkto a papunktyje</w:t>
      </w:r>
      <w:bookmarkEnd w:id="2"/>
      <w:r w:rsidR="009071DE" w:rsidRPr="00F57996">
        <w:t xml:space="preserve"> </w:t>
      </w:r>
      <w:r w:rsidR="00126D7E" w:rsidRPr="00F57996">
        <w:t xml:space="preserve">įtvirtinta </w:t>
      </w:r>
      <w:r w:rsidR="004B7BC4" w:rsidRPr="00F57996">
        <w:t>d</w:t>
      </w:r>
      <w:r w:rsidR="00126D7E" w:rsidRPr="00F57996">
        <w:t xml:space="preserve">raudėjo pareiga sumokėti </w:t>
      </w:r>
      <w:r w:rsidR="004B7BC4" w:rsidRPr="00F57996">
        <w:t>d</w:t>
      </w:r>
      <w:r w:rsidR="00126D7E" w:rsidRPr="00F57996">
        <w:t xml:space="preserve">raudikui už suteikiamą pagal šią Sutartį draudimo apsaugą nurodytą draudimo įmoką iki nurodytos datos. </w:t>
      </w:r>
      <w:r w:rsidR="0037058D" w:rsidRPr="00F57996">
        <w:t>Draudimo sutarties dalyje „</w:t>
      </w:r>
      <w:r w:rsidR="00A72396" w:rsidRPr="00F57996">
        <w:t>Mokėjimų grafikas (Įmokas sumokėti iki nurodytos datos)</w:t>
      </w:r>
      <w:r w:rsidR="0037058D" w:rsidRPr="00F57996">
        <w:t>“ pirmuoju punktu nurodyta „2021.06.18 191.66 EUR“. Vadinasi,</w:t>
      </w:r>
      <w:r w:rsidR="00A72396" w:rsidRPr="00F57996">
        <w:t xml:space="preserve"> </w:t>
      </w:r>
      <w:r w:rsidR="0037058D" w:rsidRPr="00F57996">
        <w:t>p</w:t>
      </w:r>
      <w:r w:rsidR="00014932" w:rsidRPr="00F57996">
        <w:t xml:space="preserve">riešingai nei nurodoma kasaciniame skunde, Draudimo sutartyje 2021 m. birželio 18 d. nurodyta ne kaip </w:t>
      </w:r>
      <w:r w:rsidR="0037058D" w:rsidRPr="00F57996">
        <w:t xml:space="preserve">pirmos (ir vienintelės) </w:t>
      </w:r>
      <w:r w:rsidR="00014932" w:rsidRPr="00F57996">
        <w:t>draudimo įmokos mokėjimo data, bet kaip data, iki kurios turėjo būti sumokėta</w:t>
      </w:r>
      <w:r w:rsidR="0037058D" w:rsidRPr="00F57996">
        <w:t xml:space="preserve"> visa 191</w:t>
      </w:r>
      <w:r w:rsidR="00A57C15" w:rsidRPr="00F57996">
        <w:t>,</w:t>
      </w:r>
      <w:r w:rsidR="0037058D" w:rsidRPr="00F57996">
        <w:t>66 E</w:t>
      </w:r>
      <w:r w:rsidR="00A57C15" w:rsidRPr="00F57996">
        <w:t>ur</w:t>
      </w:r>
      <w:r w:rsidR="0037058D" w:rsidRPr="00F57996">
        <w:t xml:space="preserve"> dydžio</w:t>
      </w:r>
      <w:r w:rsidR="00014932" w:rsidRPr="00F57996">
        <w:t xml:space="preserve"> draudimo įmoka</w:t>
      </w:r>
      <w:r w:rsidR="0037058D" w:rsidRPr="00F57996">
        <w:t>.</w:t>
      </w:r>
    </w:p>
    <w:p w14:paraId="21C63F39" w14:textId="5A1926F8" w:rsidR="00F86977" w:rsidRPr="00F57996" w:rsidRDefault="00F86977" w:rsidP="00AC2DAF">
      <w:pPr>
        <w:numPr>
          <w:ilvl w:val="0"/>
          <w:numId w:val="1"/>
        </w:numPr>
        <w:tabs>
          <w:tab w:val="left" w:pos="851"/>
          <w:tab w:val="left" w:pos="993"/>
          <w:tab w:val="left" w:pos="1134"/>
        </w:tabs>
        <w:spacing w:after="120"/>
        <w:jc w:val="both"/>
      </w:pPr>
      <w:r w:rsidRPr="00F57996">
        <w:t>Teisėjų kolegija pažymi ir tai, kad</w:t>
      </w:r>
      <w:r w:rsidR="004B7BC4" w:rsidRPr="00F57996">
        <w:t>,</w:t>
      </w:r>
      <w:r w:rsidRPr="00F57996">
        <w:t xml:space="preserve"> sprendžiant dėl momento, iki kurio turėjo būti sumokėta draudimo įmoka, reikšminga</w:t>
      </w:r>
      <w:r w:rsidR="007D3A35" w:rsidRPr="00F57996">
        <w:t>, be kita ko,</w:t>
      </w:r>
      <w:r w:rsidRPr="00F57996">
        <w:t xml:space="preserve"> Draudimo sutartyje nurodyta draudimo laikotarpio pradžia </w:t>
      </w:r>
      <w:r w:rsidR="004B7BC4" w:rsidRPr="00F57996">
        <w:t>–</w:t>
      </w:r>
      <w:r w:rsidRPr="00F57996">
        <w:t xml:space="preserve"> </w:t>
      </w:r>
      <w:r w:rsidR="00A57C15" w:rsidRPr="00F57996">
        <w:t>,,</w:t>
      </w:r>
      <w:r w:rsidRPr="00F57996">
        <w:t>2021.06.18 00:00</w:t>
      </w:r>
      <w:r w:rsidR="00A57C15" w:rsidRPr="00F57996">
        <w:t>“</w:t>
      </w:r>
      <w:r w:rsidR="00C639F8" w:rsidRPr="00F57996">
        <w:t>.</w:t>
      </w:r>
    </w:p>
    <w:p w14:paraId="7BA29DD6" w14:textId="233BDEF8" w:rsidR="00D17828" w:rsidRPr="002410E2" w:rsidRDefault="00996E6F" w:rsidP="00BB2C1F">
      <w:pPr>
        <w:numPr>
          <w:ilvl w:val="0"/>
          <w:numId w:val="1"/>
        </w:numPr>
        <w:tabs>
          <w:tab w:val="left" w:pos="851"/>
          <w:tab w:val="left" w:pos="993"/>
          <w:tab w:val="left" w:pos="1134"/>
        </w:tabs>
        <w:spacing w:after="120"/>
        <w:jc w:val="both"/>
      </w:pPr>
      <w:r w:rsidRPr="00F57996">
        <w:t>Teisėjų kolegijos</w:t>
      </w:r>
      <w:r w:rsidR="007469C2" w:rsidRPr="00F57996">
        <w:t xml:space="preserve"> </w:t>
      </w:r>
      <w:r w:rsidRPr="00F57996">
        <w:t>ve</w:t>
      </w:r>
      <w:r w:rsidR="007469C2" w:rsidRPr="00F57996">
        <w:t>r</w:t>
      </w:r>
      <w:r w:rsidRPr="00F57996">
        <w:t>tinimu,</w:t>
      </w:r>
      <w:r w:rsidR="008068F2" w:rsidRPr="00F57996">
        <w:t xml:space="preserve"> pažodinis (taikant teksto lingvistinį aiškinimą)</w:t>
      </w:r>
      <w:r w:rsidR="009071DE" w:rsidRPr="00F57996">
        <w:t xml:space="preserve"> Draudimo sutarties 2</w:t>
      </w:r>
      <w:r w:rsidR="004B7BC4" w:rsidRPr="00F57996">
        <w:t> </w:t>
      </w:r>
      <w:r w:rsidR="009071DE" w:rsidRPr="00F57996">
        <w:t>punkto a papunktyje įtvirtintos nuostatos, pagal kurią Draudėjas privalo sumokėti draudimo įmoką iki nurodytos datos</w:t>
      </w:r>
      <w:r w:rsidR="004B7BC4" w:rsidRPr="00F57996">
        <w:t>,</w:t>
      </w:r>
      <w:r w:rsidR="009071DE" w:rsidRPr="00F57996">
        <w:t xml:space="preserve"> ir šios sutarties dalyje „Mokėjimų grafikas“ įtvirtintos nuostatos, pagal kurią draudimo įmoka turi būti sumokėta iki </w:t>
      </w:r>
      <w:r w:rsidR="00822402" w:rsidRPr="00F57996">
        <w:t>2021 m. birželio 18 d.,</w:t>
      </w:r>
      <w:r w:rsidR="009071DE" w:rsidRPr="00F57996">
        <w:t xml:space="preserve"> </w:t>
      </w:r>
      <w:r w:rsidR="009071DE" w:rsidRPr="00F57996">
        <w:rPr>
          <w:lang w:bidi="lt-LT"/>
        </w:rPr>
        <w:t>aiškinimas suponuoja išvadą</w:t>
      </w:r>
      <w:r w:rsidR="00125991" w:rsidRPr="00F57996">
        <w:rPr>
          <w:lang w:bidi="lt-LT"/>
        </w:rPr>
        <w:t>, jog šalys buvo susitarusios, kad draudimo įmoka turi būti sumokėta iki 2021</w:t>
      </w:r>
      <w:r w:rsidR="00FB4ABD" w:rsidRPr="00F57996">
        <w:rPr>
          <w:lang w:bidi="lt-LT"/>
        </w:rPr>
        <w:t> </w:t>
      </w:r>
      <w:r w:rsidR="00125991" w:rsidRPr="00F57996">
        <w:rPr>
          <w:lang w:bidi="lt-LT"/>
        </w:rPr>
        <w:t>m. birželio 18 d. 00.00 val. Buvus tokį šalių susitarim</w:t>
      </w:r>
      <w:r w:rsidR="00142333" w:rsidRPr="00F57996">
        <w:rPr>
          <w:lang w:bidi="lt-LT"/>
        </w:rPr>
        <w:t>ą</w:t>
      </w:r>
      <w:r w:rsidR="00125991" w:rsidRPr="00F57996">
        <w:rPr>
          <w:lang w:bidi="lt-LT"/>
        </w:rPr>
        <w:t xml:space="preserve"> patvirtina</w:t>
      </w:r>
      <w:r w:rsidR="00E84532" w:rsidRPr="00F57996">
        <w:rPr>
          <w:lang w:bidi="lt-LT"/>
        </w:rPr>
        <w:t xml:space="preserve"> ir Draudimo sutarties aiškinimas</w:t>
      </w:r>
      <w:r w:rsidR="004B7BC4" w:rsidRPr="00F57996">
        <w:rPr>
          <w:lang w:bidi="lt-LT"/>
        </w:rPr>
        <w:t>,</w:t>
      </w:r>
      <w:r w:rsidR="00125991" w:rsidRPr="00F57996">
        <w:rPr>
          <w:lang w:bidi="lt-LT"/>
        </w:rPr>
        <w:t xml:space="preserve"> </w:t>
      </w:r>
      <w:r w:rsidR="00142333" w:rsidRPr="00F57996">
        <w:rPr>
          <w:lang w:bidi="lt-LT"/>
        </w:rPr>
        <w:t xml:space="preserve">atsižvelgiant į </w:t>
      </w:r>
      <w:r w:rsidR="00E84532" w:rsidRPr="00F57996">
        <w:rPr>
          <w:lang w:bidi="lt-LT"/>
        </w:rPr>
        <w:lastRenderedPageBreak/>
        <w:t>jo</w:t>
      </w:r>
      <w:r w:rsidR="00142333" w:rsidRPr="00F57996">
        <w:rPr>
          <w:lang w:bidi="lt-LT"/>
        </w:rPr>
        <w:t>s sąlygų tarpusavio ryšį, sutarties esmę, tikslą</w:t>
      </w:r>
      <w:r w:rsidR="00E84532" w:rsidRPr="00F57996">
        <w:rPr>
          <w:lang w:bidi="lt-LT"/>
        </w:rPr>
        <w:t>. Įvertinus</w:t>
      </w:r>
      <w:r w:rsidR="004B7BC4" w:rsidRPr="00F57996">
        <w:rPr>
          <w:lang w:bidi="lt-LT"/>
        </w:rPr>
        <w:t>i</w:t>
      </w:r>
      <w:r w:rsidR="00E84532" w:rsidRPr="00F57996">
        <w:rPr>
          <w:lang w:bidi="lt-LT"/>
        </w:rPr>
        <w:t xml:space="preserve"> tai, </w:t>
      </w:r>
      <w:r w:rsidRPr="00F57996">
        <w:t xml:space="preserve">kad </w:t>
      </w:r>
      <w:r w:rsidR="00471967" w:rsidRPr="00F57996">
        <w:t xml:space="preserve">Draudimo </w:t>
      </w:r>
      <w:r w:rsidR="00544244" w:rsidRPr="00F57996">
        <w:t xml:space="preserve">sutartyje </w:t>
      </w:r>
      <w:r w:rsidR="00F86977" w:rsidRPr="00F57996">
        <w:t xml:space="preserve">nustatyta, </w:t>
      </w:r>
      <w:r w:rsidR="00E84532" w:rsidRPr="00F57996">
        <w:t>jog</w:t>
      </w:r>
      <w:r w:rsidR="00F86977" w:rsidRPr="00F57996">
        <w:t xml:space="preserve"> draudimo įmoką reikia sumokėti iki 2021 m. birželio 18</w:t>
      </w:r>
      <w:r w:rsidR="00FB4ABD" w:rsidRPr="00F57996">
        <w:t> </w:t>
      </w:r>
      <w:r w:rsidR="00F86977" w:rsidRPr="00F57996">
        <w:t xml:space="preserve">d., o </w:t>
      </w:r>
      <w:r w:rsidRPr="00F57996">
        <w:t>draudimo laikota</w:t>
      </w:r>
      <w:r w:rsidR="007469C2" w:rsidRPr="00F57996">
        <w:t>r</w:t>
      </w:r>
      <w:r w:rsidRPr="00F57996">
        <w:t>pi</w:t>
      </w:r>
      <w:r w:rsidR="00F86977" w:rsidRPr="00F57996">
        <w:t>o pradžia nurodyta</w:t>
      </w:r>
      <w:r w:rsidRPr="00F57996">
        <w:t xml:space="preserve"> 2021 m. birželio 18 d. 00.00 val.,</w:t>
      </w:r>
      <w:r w:rsidR="00BB2C1F" w:rsidRPr="00F57996">
        <w:t xml:space="preserve"> teisėjų kolegija </w:t>
      </w:r>
      <w:r w:rsidR="004B7BC4" w:rsidRPr="00F57996">
        <w:t>nu</w:t>
      </w:r>
      <w:r w:rsidR="00BB2C1F" w:rsidRPr="00F57996">
        <w:t>sprendžia, kad</w:t>
      </w:r>
      <w:r w:rsidR="00FB4ABD" w:rsidRPr="00F57996">
        <w:t xml:space="preserve"> </w:t>
      </w:r>
      <w:r w:rsidR="00471967" w:rsidRPr="00F57996">
        <w:t>apeliacinės instancijos teismas</w:t>
      </w:r>
      <w:r w:rsidR="004B7BC4" w:rsidRPr="00F57996">
        <w:t>,</w:t>
      </w:r>
      <w:r w:rsidR="00471967" w:rsidRPr="00F57996">
        <w:t xml:space="preserve"> spręsdamas</w:t>
      </w:r>
      <w:r w:rsidRPr="00F57996">
        <w:t xml:space="preserve">, </w:t>
      </w:r>
      <w:r w:rsidR="00BB2C1F" w:rsidRPr="00F57996">
        <w:t xml:space="preserve">jog </w:t>
      </w:r>
      <w:r w:rsidR="00471967" w:rsidRPr="00F57996">
        <w:t xml:space="preserve">pagal Draudimo sutartį </w:t>
      </w:r>
      <w:r w:rsidR="007469C2" w:rsidRPr="00F57996">
        <w:t>įmok</w:t>
      </w:r>
      <w:r w:rsidR="00EB2ACE" w:rsidRPr="00F57996">
        <w:t>ą</w:t>
      </w:r>
      <w:r w:rsidR="007469C2" w:rsidRPr="00F57996">
        <w:t xml:space="preserve"> </w:t>
      </w:r>
      <w:r w:rsidRPr="00F57996">
        <w:t>re</w:t>
      </w:r>
      <w:r w:rsidR="00773FFB" w:rsidRPr="00F57996">
        <w:t>i</w:t>
      </w:r>
      <w:r w:rsidRPr="00F57996">
        <w:t>k</w:t>
      </w:r>
      <w:r w:rsidR="00471967" w:rsidRPr="00F57996">
        <w:t xml:space="preserve">ėjo </w:t>
      </w:r>
      <w:r w:rsidRPr="00F57996">
        <w:t xml:space="preserve">sumokėti </w:t>
      </w:r>
      <w:r w:rsidR="00D17828" w:rsidRPr="00F57996">
        <w:t xml:space="preserve">iki </w:t>
      </w:r>
      <w:r w:rsidRPr="00F57996">
        <w:t xml:space="preserve">2021 m. </w:t>
      </w:r>
      <w:r w:rsidR="007469C2" w:rsidRPr="00F57996">
        <w:t>birželio 1</w:t>
      </w:r>
      <w:r w:rsidR="00544244" w:rsidRPr="00F57996">
        <w:t>8</w:t>
      </w:r>
      <w:r w:rsidR="007469C2" w:rsidRPr="00F57996">
        <w:t xml:space="preserve"> d. </w:t>
      </w:r>
      <w:r w:rsidR="00544244" w:rsidRPr="00F57996">
        <w:t>00</w:t>
      </w:r>
      <w:r w:rsidR="007469C2" w:rsidRPr="00F57996">
        <w:t>.</w:t>
      </w:r>
      <w:r w:rsidR="00544244" w:rsidRPr="00F57996">
        <w:t>00</w:t>
      </w:r>
      <w:r w:rsidR="007469C2" w:rsidRPr="00F57996">
        <w:t xml:space="preserve"> val.</w:t>
      </w:r>
      <w:r w:rsidR="00471967" w:rsidRPr="00F57996">
        <w:t xml:space="preserve">, </w:t>
      </w:r>
      <w:r w:rsidR="005C2DB9" w:rsidRPr="00F57996">
        <w:t>t.</w:t>
      </w:r>
      <w:r w:rsidR="00F57996">
        <w:t> </w:t>
      </w:r>
      <w:r w:rsidR="005C2DB9" w:rsidRPr="00F57996">
        <w:t xml:space="preserve">y. iki draudimo laikotarpio pradžios, tinkamai aiškino </w:t>
      </w:r>
      <w:bookmarkStart w:id="3" w:name="_Hlk163128025"/>
      <w:r w:rsidR="005C2DB9" w:rsidRPr="00F57996">
        <w:t xml:space="preserve">Draudimo </w:t>
      </w:r>
      <w:r w:rsidR="005C2DB9" w:rsidRPr="002410E2">
        <w:t>sutarties sąlygą dėl draudimo įmokos sumokėjimo termino</w:t>
      </w:r>
      <w:bookmarkEnd w:id="3"/>
      <w:r w:rsidR="005C2DB9" w:rsidRPr="002410E2">
        <w:t xml:space="preserve"> ir </w:t>
      </w:r>
      <w:r w:rsidR="00471967" w:rsidRPr="002410E2">
        <w:t xml:space="preserve">nenukrypo nuo </w:t>
      </w:r>
      <w:r w:rsidR="005C2DB9" w:rsidRPr="002410E2">
        <w:t xml:space="preserve">nurodytos </w:t>
      </w:r>
      <w:r w:rsidR="00471967" w:rsidRPr="002410E2">
        <w:t>kasacinio teismo praktikos dėl sutarčių aiškinimo taisyklių.</w:t>
      </w:r>
    </w:p>
    <w:p w14:paraId="760C8C12" w14:textId="39B346BD" w:rsidR="0078479D" w:rsidRPr="002410E2" w:rsidRDefault="0078479D" w:rsidP="00BB2C1F">
      <w:pPr>
        <w:numPr>
          <w:ilvl w:val="0"/>
          <w:numId w:val="1"/>
        </w:numPr>
        <w:tabs>
          <w:tab w:val="left" w:pos="851"/>
          <w:tab w:val="left" w:pos="993"/>
          <w:tab w:val="left" w:pos="1134"/>
        </w:tabs>
        <w:spacing w:after="120"/>
        <w:jc w:val="both"/>
      </w:pPr>
      <w:r w:rsidRPr="002410E2">
        <w:t>Teisėjų kolegija pažymi, kad atsakovės pateikiamas Draudimo sutarties aiškinimas, pagal</w:t>
      </w:r>
      <w:r w:rsidR="00C73B2B" w:rsidRPr="002410E2">
        <w:t xml:space="preserve"> </w:t>
      </w:r>
      <w:r w:rsidRPr="002410E2">
        <w:t xml:space="preserve">kurį </w:t>
      </w:r>
      <w:bookmarkStart w:id="4" w:name="_Hlk163644099"/>
      <w:r w:rsidRPr="002410E2">
        <w:t>prievolė sumokėti draudimo įmoką turėjo būti įvykdyta iki 2021 m. birželio 18 d. 24</w:t>
      </w:r>
      <w:r w:rsidR="00747F72" w:rsidRPr="002410E2">
        <w:t>.00</w:t>
      </w:r>
      <w:r w:rsidRPr="002410E2">
        <w:t xml:space="preserve"> val.</w:t>
      </w:r>
      <w:r w:rsidR="0029464B" w:rsidRPr="002410E2">
        <w:t>,</w:t>
      </w:r>
      <w:r w:rsidR="00C73B2B" w:rsidRPr="002410E2">
        <w:t xml:space="preserve"> </w:t>
      </w:r>
      <w:bookmarkEnd w:id="4"/>
      <w:r w:rsidR="00C73B2B" w:rsidRPr="002410E2">
        <w:t>neatitinka šios nutarties 20 punkte nurodytos kasacinio teismo praktikos dėl sutarčių aiškinimo, pagal kurią</w:t>
      </w:r>
      <w:r w:rsidRPr="002410E2">
        <w:t xml:space="preserve"> sutartis turi būti aiškinama</w:t>
      </w:r>
      <w:r w:rsidR="00C73B2B" w:rsidRPr="002410E2">
        <w:t>,</w:t>
      </w:r>
      <w:r w:rsidRPr="002410E2">
        <w:t xml:space="preserve"> be kita ko</w:t>
      </w:r>
      <w:r w:rsidR="00C73B2B" w:rsidRPr="002410E2">
        <w:t>,</w:t>
      </w:r>
      <w:r w:rsidRPr="002410E2">
        <w:t xml:space="preserve"> </w:t>
      </w:r>
      <w:bookmarkStart w:id="5" w:name="_Hlk163643915"/>
      <w:r w:rsidRPr="002410E2">
        <w:t xml:space="preserve">sistemiškai vertinant ja šalių prisiimtus įsipareigojimus viena kitai ir taip, kad aiškinimo rezultatas nereikštų nesąžiningumo </w:t>
      </w:r>
      <w:r w:rsidR="002410E2" w:rsidRPr="002410E2">
        <w:t>kurios nors iš šalių</w:t>
      </w:r>
      <w:r w:rsidRPr="002410E2">
        <w:t xml:space="preserve"> atžvilgiu</w:t>
      </w:r>
      <w:bookmarkEnd w:id="5"/>
      <w:r w:rsidRPr="002410E2">
        <w:t>. Viena vertus</w:t>
      </w:r>
      <w:r w:rsidR="00C73B2B" w:rsidRPr="002410E2">
        <w:t>,</w:t>
      </w:r>
      <w:r w:rsidRPr="002410E2">
        <w:t xml:space="preserve"> </w:t>
      </w:r>
      <w:r w:rsidR="00C73B2B" w:rsidRPr="002410E2">
        <w:t>Draudimo s</w:t>
      </w:r>
      <w:r w:rsidRPr="002410E2">
        <w:t>utartyje įtvirtinta, kad draudimo apsauga įsigalioja nuo</w:t>
      </w:r>
      <w:r w:rsidR="00C73B2B" w:rsidRPr="002410E2">
        <w:t xml:space="preserve"> 2021</w:t>
      </w:r>
      <w:r w:rsidR="00CA23CD" w:rsidRPr="002410E2">
        <w:t> </w:t>
      </w:r>
      <w:r w:rsidR="00C73B2B" w:rsidRPr="002410E2">
        <w:t>m. birželio</w:t>
      </w:r>
      <w:r w:rsidRPr="002410E2">
        <w:t xml:space="preserve"> 18 d. 00</w:t>
      </w:r>
      <w:r w:rsidR="00747F72" w:rsidRPr="002410E2">
        <w:t>.</w:t>
      </w:r>
      <w:r w:rsidRPr="002410E2">
        <w:t>00 val. Kita vertus</w:t>
      </w:r>
      <w:r w:rsidR="00C73B2B" w:rsidRPr="002410E2">
        <w:t>,</w:t>
      </w:r>
      <w:r w:rsidRPr="002410E2">
        <w:t xml:space="preserve"> šalys susitarė, kad draudimo įmoka turi būti sumokėta iki</w:t>
      </w:r>
      <w:r w:rsidR="00CA23CD" w:rsidRPr="002410E2">
        <w:t xml:space="preserve"> 2021 m. birželio</w:t>
      </w:r>
      <w:r w:rsidRPr="002410E2">
        <w:t xml:space="preserve"> 18 d. Draudimo santykia</w:t>
      </w:r>
      <w:r w:rsidR="000E25A3" w:rsidRPr="002410E2">
        <w:t xml:space="preserve">ms būdinga tai, kad </w:t>
      </w:r>
      <w:r w:rsidRPr="002410E2">
        <w:t xml:space="preserve">viena šalis </w:t>
      </w:r>
      <w:r w:rsidR="0029464B" w:rsidRPr="002410E2">
        <w:t xml:space="preserve">(draudėjas) </w:t>
      </w:r>
      <w:r w:rsidRPr="002410E2">
        <w:t>siekia gauti draudim</w:t>
      </w:r>
      <w:r w:rsidR="0029464B" w:rsidRPr="002410E2">
        <w:t>o</w:t>
      </w:r>
      <w:r w:rsidRPr="002410E2">
        <w:t xml:space="preserve"> apsaugą už tam tikrą užmokestį</w:t>
      </w:r>
      <w:r w:rsidR="008F56DA" w:rsidRPr="002410E2">
        <w:t xml:space="preserve"> (draudimo įmoką)</w:t>
      </w:r>
      <w:r w:rsidRPr="002410E2">
        <w:t>, o kita šalis</w:t>
      </w:r>
      <w:r w:rsidR="008F56DA" w:rsidRPr="002410E2">
        <w:t xml:space="preserve"> (draudikas)</w:t>
      </w:r>
      <w:r w:rsidRPr="002410E2">
        <w:t xml:space="preserve"> įsipareigoja tokią apsaugą užtikrinti. </w:t>
      </w:r>
      <w:r w:rsidR="0029464B" w:rsidRPr="002410E2">
        <w:t>Kart</w:t>
      </w:r>
      <w:r w:rsidRPr="002410E2">
        <w:t xml:space="preserve">u </w:t>
      </w:r>
      <w:r w:rsidR="002410E2" w:rsidRPr="002410E2">
        <w:t>draudėjas</w:t>
      </w:r>
      <w:r w:rsidRPr="002410E2">
        <w:t xml:space="preserve"> įsipareigoja sumokėti tam tikrą pinigų sumą už tai, kad, atsitikus draud</w:t>
      </w:r>
      <w:r w:rsidR="0029464B" w:rsidRPr="002410E2">
        <w:t>žiamajam</w:t>
      </w:r>
      <w:r w:rsidRPr="002410E2">
        <w:t xml:space="preserve"> įvykiui, draudikas išmokėtų draudim</w:t>
      </w:r>
      <w:r w:rsidR="0029464B" w:rsidRPr="002410E2">
        <w:t>o</w:t>
      </w:r>
      <w:r w:rsidRPr="002410E2">
        <w:t xml:space="preserve"> išmoką. Nebūtų protinga, teisinga ir sąžining</w:t>
      </w:r>
      <w:r w:rsidR="0029464B" w:rsidRPr="002410E2">
        <w:t>a</w:t>
      </w:r>
      <w:r w:rsidRPr="002410E2">
        <w:t xml:space="preserve"> </w:t>
      </w:r>
      <w:r w:rsidR="008F56DA" w:rsidRPr="002410E2">
        <w:t>Draudimo s</w:t>
      </w:r>
      <w:r w:rsidRPr="002410E2">
        <w:t>utarties nuostatas aiškinti taip, kad draudikas, kaip verslininkas, teiktų draudim</w:t>
      </w:r>
      <w:r w:rsidR="0029464B" w:rsidRPr="002410E2">
        <w:t>o</w:t>
      </w:r>
      <w:r w:rsidRPr="002410E2">
        <w:t xml:space="preserve"> apsaugą</w:t>
      </w:r>
      <w:r w:rsidR="008F56DA" w:rsidRPr="002410E2">
        <w:t>,</w:t>
      </w:r>
      <w:r w:rsidRPr="002410E2">
        <w:t xml:space="preserve"> negavęs draudimo įmokos. </w:t>
      </w:r>
      <w:r w:rsidR="008F56DA" w:rsidRPr="002410E2">
        <w:t xml:space="preserve">Vadinasi, sistemiškai vertinant Draudimo sutarties šalių prisiimtus įsipareigojimus viena kitai taip, kad aiškinimo rezultatas nereikštų nesąžiningumo </w:t>
      </w:r>
      <w:r w:rsidR="002410E2" w:rsidRPr="002410E2">
        <w:t>kurios nors iš šalių</w:t>
      </w:r>
      <w:r w:rsidR="008F56DA" w:rsidRPr="002410E2">
        <w:t xml:space="preserve"> atžvilgiu,</w:t>
      </w:r>
      <w:r w:rsidRPr="002410E2">
        <w:t xml:space="preserve"> </w:t>
      </w:r>
      <w:r w:rsidR="008F56DA" w:rsidRPr="002410E2">
        <w:t>Draudimo s</w:t>
      </w:r>
      <w:r w:rsidRPr="002410E2">
        <w:t xml:space="preserve">utarties nuostata, </w:t>
      </w:r>
      <w:r w:rsidR="0029464B" w:rsidRPr="002410E2">
        <w:t>jog</w:t>
      </w:r>
      <w:r w:rsidRPr="002410E2">
        <w:t xml:space="preserve"> draudimo įmoka turi būti sumokėta iki </w:t>
      </w:r>
      <w:r w:rsidR="008F56DA" w:rsidRPr="002410E2">
        <w:t xml:space="preserve">2021 m. birželio </w:t>
      </w:r>
      <w:r w:rsidRPr="002410E2">
        <w:t>18 d</w:t>
      </w:r>
      <w:r w:rsidR="00747F72" w:rsidRPr="002410E2">
        <w:t>.</w:t>
      </w:r>
      <w:r w:rsidR="0029464B" w:rsidRPr="002410E2">
        <w:t>,</w:t>
      </w:r>
      <w:r w:rsidRPr="002410E2">
        <w:t xml:space="preserve"> aiškintina kaip reiškianti</w:t>
      </w:r>
      <w:r w:rsidR="0029464B" w:rsidRPr="002410E2">
        <w:t xml:space="preserve"> tai</w:t>
      </w:r>
      <w:r w:rsidRPr="002410E2">
        <w:t>, kad</w:t>
      </w:r>
      <w:r w:rsidR="0029464B" w:rsidRPr="002410E2">
        <w:t>,</w:t>
      </w:r>
      <w:r w:rsidRPr="002410E2">
        <w:t xml:space="preserve"> draudėjui sumokėjus draudimo įmoką</w:t>
      </w:r>
      <w:r w:rsidR="0029464B" w:rsidRPr="002410E2">
        <w:t>,</w:t>
      </w:r>
      <w:r w:rsidRPr="002410E2">
        <w:t xml:space="preserve"> pradeda veikti draudi</w:t>
      </w:r>
      <w:r w:rsidR="00CA23CD" w:rsidRPr="002410E2">
        <w:t>k</w:t>
      </w:r>
      <w:r w:rsidRPr="002410E2">
        <w:t>o teikiama draudimo apsauga.</w:t>
      </w:r>
      <w:r w:rsidR="008F56DA" w:rsidRPr="002410E2">
        <w:t xml:space="preserve"> O tai reiškia, kad pagal Draudimo sutartį prievolė sumokėti draudimo įmoką turėjo būti įvykdyta iki 2021 m. birželio 18 d. 00</w:t>
      </w:r>
      <w:r w:rsidR="00747F72" w:rsidRPr="002410E2">
        <w:t>.</w:t>
      </w:r>
      <w:r w:rsidR="008F56DA" w:rsidRPr="002410E2">
        <w:t>00 val.</w:t>
      </w:r>
    </w:p>
    <w:p w14:paraId="4B7948C2" w14:textId="77777777" w:rsidR="00387ABE" w:rsidRPr="00544244" w:rsidRDefault="00387ABE" w:rsidP="00387ABE">
      <w:pPr>
        <w:numPr>
          <w:ilvl w:val="0"/>
          <w:numId w:val="1"/>
        </w:numPr>
        <w:tabs>
          <w:tab w:val="left" w:pos="851"/>
          <w:tab w:val="left" w:pos="993"/>
          <w:tab w:val="left" w:pos="1134"/>
        </w:tabs>
        <w:spacing w:after="120"/>
        <w:jc w:val="both"/>
      </w:pPr>
      <w:r w:rsidRPr="002410E2">
        <w:t>Kasaciniame skunde nurodoma</w:t>
      </w:r>
      <w:r>
        <w:t xml:space="preserve">, kad, aiškinant </w:t>
      </w:r>
      <w:r w:rsidRPr="00695FC9">
        <w:t>Draudimo sutarties sąlygą dėl draudimo įmokos sumokėjimo termino</w:t>
      </w:r>
      <w:r>
        <w:t>,</w:t>
      </w:r>
      <w:r w:rsidRPr="00695FC9">
        <w:t xml:space="preserve"> </w:t>
      </w:r>
      <w:r>
        <w:t>reikia atsižvelgti į k</w:t>
      </w:r>
      <w:r w:rsidRPr="005C2DB9">
        <w:t>asacini</w:t>
      </w:r>
      <w:r>
        <w:t>o</w:t>
      </w:r>
      <w:r w:rsidRPr="005C2DB9">
        <w:t xml:space="preserve"> teism</w:t>
      </w:r>
      <w:r>
        <w:t xml:space="preserve">o </w:t>
      </w:r>
      <w:r w:rsidRPr="005C2DB9">
        <w:t>išaiškin</w:t>
      </w:r>
      <w:r>
        <w:t>imus,</w:t>
      </w:r>
      <w:r w:rsidRPr="005C2DB9">
        <w:t xml:space="preserve"> </w:t>
      </w:r>
      <w:r>
        <w:t>jog</w:t>
      </w:r>
      <w:r w:rsidRPr="005C2DB9">
        <w:t xml:space="preserve"> kalbine prasme laiko ribos nustatymas be žodžio </w:t>
      </w:r>
      <w:r>
        <w:t>„</w:t>
      </w:r>
      <w:r w:rsidRPr="005C2DB9">
        <w:t>imtinai (įskaitytinai)</w:t>
      </w:r>
      <w:r>
        <w:t>“</w:t>
      </w:r>
      <w:r w:rsidRPr="005C2DB9">
        <w:t xml:space="preserve"> tikslaus atsakymo neduoda ir kelia skirtingus termino veiksmams atlikti apibrėžimo aiškinimus (Lietuvos Aukščiausiojo Teismo 2006 m. vasario 15 d. nutartis civilinėje byloje Nr. 3K-3-130/2006). </w:t>
      </w:r>
    </w:p>
    <w:p w14:paraId="06E9167E" w14:textId="77777777" w:rsidR="00387ABE" w:rsidRDefault="00387ABE" w:rsidP="00387ABE">
      <w:pPr>
        <w:numPr>
          <w:ilvl w:val="0"/>
          <w:numId w:val="1"/>
        </w:numPr>
        <w:tabs>
          <w:tab w:val="left" w:pos="851"/>
          <w:tab w:val="left" w:pos="993"/>
          <w:tab w:val="left" w:pos="1134"/>
        </w:tabs>
        <w:spacing w:after="120"/>
        <w:jc w:val="both"/>
      </w:pPr>
      <w:r>
        <w:t>Lietuvos Respublikos Konstitucinio Teismo jurisprudencijoje konstatuota, kad teismų precedentų, kaip teisės šaltinių, reikšmės negalima pervertinti, juolab suabsoliutinti. Remtis teismų precedentais reikia itin apdairiai.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(Konstitucinio Teismo 2007 m. spalio 24 d. nutarimas).</w:t>
      </w:r>
    </w:p>
    <w:p w14:paraId="123E4C4E" w14:textId="7D2D54D3" w:rsidR="00387ABE" w:rsidRDefault="00387ABE" w:rsidP="00387ABE">
      <w:pPr>
        <w:numPr>
          <w:ilvl w:val="0"/>
          <w:numId w:val="1"/>
        </w:numPr>
        <w:tabs>
          <w:tab w:val="left" w:pos="851"/>
          <w:tab w:val="left" w:pos="993"/>
          <w:tab w:val="left" w:pos="1134"/>
        </w:tabs>
        <w:spacing w:after="120"/>
        <w:jc w:val="both"/>
      </w:pPr>
      <w:r>
        <w:t>Kasacini</w:t>
      </w:r>
      <w:r w:rsidR="00BD66B6">
        <w:t>s</w:t>
      </w:r>
      <w:r>
        <w:t xml:space="preserve"> teism</w:t>
      </w:r>
      <w:r w:rsidR="00BD66B6">
        <w:t>as yra ne kartą nurodęs</w:t>
      </w:r>
      <w:r>
        <w:t xml:space="preserve">, kad 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Taigi, pagrindinis kriterijus, lemiantis jau išnagrinėtoje byloje priimto įsiteisėjusio teismo sprendimo kaip precedento taikymą, yra esminės faktinės bylos aplinkybės, kurių buvimas lemia teisinių santykių kvalifikavimą ir atitinkamų teisės normų taikymą. Teismui konkrečioje nagrinėjamoje byloje nenustačius esminių jos faktinių aplinkybių, kitoje byloje priimto teismo sprendimo kaip precedento taikymas yra negalimas, nes tai neatitiktų teismo precedento taikymo sąlygų (žr., pvz., Lietuvos Aukščiausiojo Teismo 2020 m. vasario 12 d. nutarties civilinėje byloje Nr. 3K-3-3-701/2020 61 punktą; 2021 m. sausio 29 d. nutarties civilinėje byloje Nr. 3K-3-7-611/2021 58 punktą). Tam, kad būtų teisinis pagrindas atsižvelgti į ankstesnėse bylose suformuluotas teisės aiškinimo ir taikymo taisykles, </w:t>
      </w:r>
      <w:r>
        <w:lastRenderedPageBreak/>
        <w:t xml:space="preserve">nebūtina, kad visiškai sutaptų gretinamų bylų faktinių aplinkybių visuma, o pakanka, kad būtų tapačios arba esminių panašumų turėtų būtent tos aplinkybės, kurios buvo suformuluotų teisės aiškinimo ir taikymo taisyklių </w:t>
      </w:r>
      <w:proofErr w:type="spellStart"/>
      <w:r w:rsidRPr="00C82D29">
        <w:rPr>
          <w:i/>
          <w:iCs/>
        </w:rPr>
        <w:t>ratio</w:t>
      </w:r>
      <w:proofErr w:type="spellEnd"/>
      <w:r w:rsidRPr="00C82D29">
        <w:rPr>
          <w:i/>
          <w:iCs/>
        </w:rPr>
        <w:t xml:space="preserve"> </w:t>
      </w:r>
      <w:proofErr w:type="spellStart"/>
      <w:r w:rsidRPr="00C82D29">
        <w:rPr>
          <w:i/>
          <w:iCs/>
        </w:rPr>
        <w:t>decidendi</w:t>
      </w:r>
      <w:proofErr w:type="spellEnd"/>
      <w:r>
        <w:t xml:space="preserve"> (argumentas, kuriuo grindžiamas sprendimas),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2009 m. gegužės 25 d. nutartis civilinėje byloje Nr. 3K-7-162/2009).</w:t>
      </w:r>
    </w:p>
    <w:p w14:paraId="7B01FF0F" w14:textId="77777777" w:rsidR="00387ABE" w:rsidRDefault="00387ABE" w:rsidP="00387ABE">
      <w:pPr>
        <w:numPr>
          <w:ilvl w:val="0"/>
          <w:numId w:val="1"/>
        </w:numPr>
        <w:tabs>
          <w:tab w:val="left" w:pos="851"/>
          <w:tab w:val="left" w:pos="993"/>
          <w:tab w:val="left" w:pos="1134"/>
        </w:tabs>
        <w:spacing w:after="120"/>
        <w:jc w:val="both"/>
      </w:pPr>
      <w:r w:rsidRPr="00C82D29">
        <w:t xml:space="preserve">Be to, kasacinis teismas yra pažymėjęs, kad teismas, spręsdamas konkretų tarp šalių kilusį ginčą, gali vadovautis savo paties ar aukštesnės instancijos teismų pateiktais išaiškinimais, susijusiais su bylai aktualios teisės normos dispozicijos aiškinimu, t. y. kiek tai nėra susiję su tos teisės normos pritaikymu konkrečiai situacijai pagal nustatytas faktines </w:t>
      </w:r>
      <w:r w:rsidRPr="00B90BB4">
        <w:t>aplinkybes (</w:t>
      </w:r>
      <w:hyperlink r:id="rId9" w:tgtFrame="_blank" w:tooltip="Lietuvos Aukščiausiasis teismas" w:history="1">
        <w:r w:rsidRPr="00B90BB4">
          <w:t>Lietuvos Aukščiausiojo Teismo</w:t>
        </w:r>
      </w:hyperlink>
      <w:r w:rsidRPr="00B90BB4">
        <w:t xml:space="preserve"> </w:t>
      </w:r>
      <w:r w:rsidRPr="00C82D29">
        <w:t>2021 m. spalio 7 d. nutartis civilinėje byloje Nr. 3K-3-239-701/2021, 48 punktas ir jame nurodyta kasacinio teismo praktika).</w:t>
      </w:r>
    </w:p>
    <w:p w14:paraId="16A2E188" w14:textId="77777777" w:rsidR="00387ABE" w:rsidRDefault="00387ABE" w:rsidP="00387ABE">
      <w:pPr>
        <w:numPr>
          <w:ilvl w:val="0"/>
          <w:numId w:val="1"/>
        </w:numPr>
        <w:tabs>
          <w:tab w:val="left" w:pos="851"/>
          <w:tab w:val="left" w:pos="993"/>
          <w:tab w:val="left" w:pos="1134"/>
        </w:tabs>
        <w:spacing w:after="120"/>
        <w:jc w:val="both"/>
      </w:pPr>
      <w:r w:rsidRPr="00C82D29">
        <w:t>Lietuvos Aukščiausiojo Teismo 2006 m. vasario 15 d. nutart</w:t>
      </w:r>
      <w:r>
        <w:t xml:space="preserve">yje </w:t>
      </w:r>
      <w:r w:rsidRPr="00C82D29">
        <w:t>civilinėje byloje Nr. 3K-3-130/2006</w:t>
      </w:r>
      <w:r>
        <w:t xml:space="preserve"> spręsta, ar apeliacinis skundas dėl pirmosios instancijos teismo sprendimo paduotas praleidus įstatymo nustatytą terminą, ar ne, taikyta </w:t>
      </w:r>
      <w:r w:rsidRPr="00C82D29">
        <w:t>CPK 73 straipsnio 2 dal</w:t>
      </w:r>
      <w:r>
        <w:t xml:space="preserve">is, o nagrinėjamoje byloje sprendžiama dėl Draudimo sutarties sąlygos, nustatančios terminą draudimo įmokai sumokėti, aiškinimo, taikytos </w:t>
      </w:r>
      <w:r w:rsidRPr="00695FC9">
        <w:t>sutarčių aiškinimo taisyklės, įtvirtintos CK 6.193–6.195</w:t>
      </w:r>
      <w:r>
        <w:t> </w:t>
      </w:r>
      <w:r w:rsidRPr="00695FC9">
        <w:t>straipsniuose</w:t>
      </w:r>
      <w:r>
        <w:t xml:space="preserve">. </w:t>
      </w:r>
      <w:r w:rsidRPr="00695FC9">
        <w:t>Atsižvelgdama į nagrinėjamos ir civilinė</w:t>
      </w:r>
      <w:r>
        <w:t>s</w:t>
      </w:r>
      <w:r w:rsidRPr="00695FC9">
        <w:t xml:space="preserve"> bylo</w:t>
      </w:r>
      <w:r>
        <w:t>s</w:t>
      </w:r>
      <w:r w:rsidRPr="00695FC9">
        <w:t xml:space="preserve"> Nr. 3K-3-130/2006 skirtingas faktines aplinkybes</w:t>
      </w:r>
      <w:r>
        <w:t>,</w:t>
      </w:r>
      <w:r w:rsidRPr="00695FC9">
        <w:t xml:space="preserve"> teisėjų kolegija konstatuoja, kad civilinė</w:t>
      </w:r>
      <w:r>
        <w:t>je</w:t>
      </w:r>
      <w:r w:rsidRPr="00695FC9">
        <w:t xml:space="preserve"> bylo</w:t>
      </w:r>
      <w:r>
        <w:t>je</w:t>
      </w:r>
      <w:r w:rsidRPr="00695FC9">
        <w:t xml:space="preserve"> Nr. 3K-3-130/2006 pateikti išaiškinimai, kuriais remiasi </w:t>
      </w:r>
      <w:r>
        <w:t xml:space="preserve">atsakovė </w:t>
      </w:r>
      <w:r w:rsidRPr="00695FC9">
        <w:t>kasaciniame skunde, negali būti vertinami kaip teismo precedentas nagrinėjamoje byloje</w:t>
      </w:r>
      <w:r>
        <w:t xml:space="preserve">, be to, šie </w:t>
      </w:r>
      <w:r w:rsidRPr="00695FC9">
        <w:t xml:space="preserve">išaiškinimai </w:t>
      </w:r>
      <w:r>
        <w:t>ne</w:t>
      </w:r>
      <w:r w:rsidRPr="00695FC9">
        <w:t>susij</w:t>
      </w:r>
      <w:r>
        <w:t>ę</w:t>
      </w:r>
      <w:r w:rsidRPr="00695FC9">
        <w:t xml:space="preserve"> su </w:t>
      </w:r>
      <w:r>
        <w:t xml:space="preserve">nagrinėjamai </w:t>
      </w:r>
      <w:r w:rsidRPr="00695FC9">
        <w:t>bylai aktuali</w:t>
      </w:r>
      <w:r>
        <w:t>os</w:t>
      </w:r>
      <w:r w:rsidRPr="00695FC9">
        <w:t xml:space="preserve"> teisės norm</w:t>
      </w:r>
      <w:r>
        <w:t>os</w:t>
      </w:r>
      <w:r w:rsidRPr="00695FC9">
        <w:t xml:space="preserve"> dispozicij</w:t>
      </w:r>
      <w:r>
        <w:t>os</w:t>
      </w:r>
      <w:r w:rsidRPr="00695FC9">
        <w:t xml:space="preserve"> aiškinimu. </w:t>
      </w:r>
    </w:p>
    <w:p w14:paraId="01B2D449" w14:textId="77777777" w:rsidR="00387ABE" w:rsidRPr="0069616B" w:rsidRDefault="00387ABE" w:rsidP="00387ABE">
      <w:pPr>
        <w:pStyle w:val="Sraopastraipa"/>
        <w:numPr>
          <w:ilvl w:val="0"/>
          <w:numId w:val="1"/>
        </w:numPr>
        <w:tabs>
          <w:tab w:val="left" w:pos="851"/>
          <w:tab w:val="left" w:pos="993"/>
          <w:tab w:val="left" w:pos="1134"/>
        </w:tabs>
        <w:spacing w:after="120" w:line="240" w:lineRule="auto"/>
        <w:ind w:left="357" w:hanging="357"/>
        <w:jc w:val="both"/>
        <w:rPr>
          <w:rFonts w:ascii="Times New Roman" w:hAnsi="Times New Roman"/>
          <w:sz w:val="24"/>
          <w:szCs w:val="24"/>
        </w:rPr>
      </w:pPr>
      <w:r w:rsidRPr="0069616B">
        <w:rPr>
          <w:rFonts w:ascii="Times New Roman" w:hAnsi="Times New Roman"/>
          <w:sz w:val="24"/>
          <w:szCs w:val="24"/>
        </w:rPr>
        <w:t xml:space="preserve">Teisėjų kolegija, remdamasi tuo, kas išdėstyta, konstatuoja, kad apeliacinės instancijos teismas tinkamai aiškino Draudimo sutarties sąlygą, nustatančią terminą draudimo įmokai sumokėti, </w:t>
      </w:r>
      <w:r>
        <w:rPr>
          <w:rFonts w:ascii="Times New Roman" w:hAnsi="Times New Roman"/>
          <w:sz w:val="24"/>
          <w:szCs w:val="24"/>
        </w:rPr>
        <w:t xml:space="preserve">o </w:t>
      </w:r>
      <w:r w:rsidRPr="0069616B">
        <w:rPr>
          <w:rFonts w:ascii="Times New Roman" w:hAnsi="Times New Roman"/>
          <w:sz w:val="24"/>
          <w:szCs w:val="24"/>
        </w:rPr>
        <w:t>nusta</w:t>
      </w:r>
      <w:r>
        <w:rPr>
          <w:rFonts w:ascii="Times New Roman" w:hAnsi="Times New Roman"/>
          <w:sz w:val="24"/>
          <w:szCs w:val="24"/>
        </w:rPr>
        <w:t>tęs</w:t>
      </w:r>
      <w:r w:rsidRPr="0069616B">
        <w:rPr>
          <w:rFonts w:ascii="Times New Roman" w:hAnsi="Times New Roman"/>
          <w:sz w:val="24"/>
          <w:szCs w:val="24"/>
        </w:rPr>
        <w:t xml:space="preserve">, kad draudėja </w:t>
      </w:r>
      <w:r>
        <w:rPr>
          <w:rFonts w:ascii="Times New Roman" w:hAnsi="Times New Roman"/>
          <w:sz w:val="24"/>
          <w:szCs w:val="24"/>
        </w:rPr>
        <w:t>D</w:t>
      </w:r>
      <w:r w:rsidRPr="0069616B">
        <w:rPr>
          <w:rFonts w:ascii="Times New Roman" w:hAnsi="Times New Roman"/>
          <w:sz w:val="24"/>
          <w:szCs w:val="24"/>
        </w:rPr>
        <w:t xml:space="preserve">raudimo sutartyje nustatytu laiku nesumokėjo draudimo įmokos už teikiamą pagal </w:t>
      </w:r>
      <w:r>
        <w:rPr>
          <w:rFonts w:ascii="Times New Roman" w:hAnsi="Times New Roman"/>
          <w:sz w:val="24"/>
          <w:szCs w:val="24"/>
        </w:rPr>
        <w:t>D</w:t>
      </w:r>
      <w:r w:rsidRPr="0069616B">
        <w:rPr>
          <w:rFonts w:ascii="Times New Roman" w:hAnsi="Times New Roman"/>
          <w:sz w:val="24"/>
          <w:szCs w:val="24"/>
        </w:rPr>
        <w:t xml:space="preserve">raudimo sutartį draudimo apsaugą ir per tą laikotarpį pagal </w:t>
      </w:r>
      <w:r>
        <w:rPr>
          <w:rFonts w:ascii="Times New Roman" w:hAnsi="Times New Roman"/>
          <w:sz w:val="24"/>
          <w:szCs w:val="24"/>
        </w:rPr>
        <w:t>D</w:t>
      </w:r>
      <w:r w:rsidRPr="0069616B">
        <w:rPr>
          <w:rFonts w:ascii="Times New Roman" w:hAnsi="Times New Roman"/>
          <w:sz w:val="24"/>
          <w:szCs w:val="24"/>
        </w:rPr>
        <w:t xml:space="preserve">raudimo sutartį apdrausta transporto priemone buvo padaryta žala, </w:t>
      </w:r>
      <w:r>
        <w:rPr>
          <w:rFonts w:ascii="Times New Roman" w:hAnsi="Times New Roman"/>
          <w:sz w:val="24"/>
          <w:szCs w:val="24"/>
        </w:rPr>
        <w:t xml:space="preserve">turėjo pagrindą </w:t>
      </w:r>
      <w:r w:rsidRPr="0069616B">
        <w:rPr>
          <w:rFonts w:ascii="Times New Roman" w:hAnsi="Times New Roman"/>
          <w:sz w:val="24"/>
          <w:szCs w:val="24"/>
        </w:rPr>
        <w:t>taik</w:t>
      </w:r>
      <w:r>
        <w:rPr>
          <w:rFonts w:ascii="Times New Roman" w:hAnsi="Times New Roman"/>
          <w:sz w:val="24"/>
          <w:szCs w:val="24"/>
        </w:rPr>
        <w:t xml:space="preserve">yti </w:t>
      </w:r>
      <w:r w:rsidRPr="0069616B">
        <w:rPr>
          <w:rFonts w:ascii="Times New Roman" w:hAnsi="Times New Roman"/>
          <w:sz w:val="24"/>
          <w:szCs w:val="24"/>
        </w:rPr>
        <w:t>TPVCAPDĮ 11</w:t>
      </w:r>
      <w:r>
        <w:rPr>
          <w:rFonts w:ascii="Times New Roman" w:hAnsi="Times New Roman"/>
          <w:sz w:val="24"/>
          <w:szCs w:val="24"/>
        </w:rPr>
        <w:t> </w:t>
      </w:r>
      <w:r w:rsidRPr="0069616B">
        <w:rPr>
          <w:rFonts w:ascii="Times New Roman" w:hAnsi="Times New Roman"/>
          <w:sz w:val="24"/>
          <w:szCs w:val="24"/>
        </w:rPr>
        <w:t>straipsnio 7 dalyje nustatytas pasekmes</w:t>
      </w:r>
      <w:r>
        <w:rPr>
          <w:rFonts w:ascii="Times New Roman" w:hAnsi="Times New Roman"/>
          <w:sz w:val="24"/>
          <w:szCs w:val="24"/>
        </w:rPr>
        <w:t>.</w:t>
      </w:r>
      <w:r w:rsidRPr="0069616B">
        <w:rPr>
          <w:rFonts w:ascii="Times New Roman" w:hAnsi="Times New Roman"/>
          <w:sz w:val="24"/>
          <w:szCs w:val="24"/>
        </w:rPr>
        <w:t xml:space="preserve"> </w:t>
      </w:r>
    </w:p>
    <w:p w14:paraId="6CD5FCC9" w14:textId="77777777" w:rsidR="00387ABE" w:rsidRDefault="00387ABE" w:rsidP="00387ABE">
      <w:pPr>
        <w:tabs>
          <w:tab w:val="left" w:pos="851"/>
          <w:tab w:val="left" w:pos="993"/>
          <w:tab w:val="left" w:pos="1134"/>
        </w:tabs>
        <w:spacing w:after="120"/>
        <w:jc w:val="both"/>
        <w:rPr>
          <w:i/>
          <w:iCs/>
        </w:rPr>
      </w:pPr>
    </w:p>
    <w:p w14:paraId="278EEA07" w14:textId="2ACCDE3A" w:rsidR="00387ABE" w:rsidRPr="0069616B" w:rsidRDefault="00387ABE" w:rsidP="00627B72">
      <w:pPr>
        <w:tabs>
          <w:tab w:val="left" w:pos="851"/>
          <w:tab w:val="left" w:pos="993"/>
          <w:tab w:val="left" w:pos="1134"/>
        </w:tabs>
        <w:spacing w:after="120"/>
        <w:ind w:firstLine="709"/>
        <w:jc w:val="both"/>
        <w:rPr>
          <w:i/>
          <w:iCs/>
        </w:rPr>
      </w:pPr>
      <w:r w:rsidRPr="0069616B">
        <w:rPr>
          <w:i/>
          <w:iCs/>
        </w:rPr>
        <w:t xml:space="preserve">Dėl </w:t>
      </w:r>
      <w:r>
        <w:rPr>
          <w:i/>
          <w:iCs/>
        </w:rPr>
        <w:t xml:space="preserve">prašymo </w:t>
      </w:r>
      <w:r w:rsidRPr="0069616B">
        <w:rPr>
          <w:i/>
          <w:iCs/>
        </w:rPr>
        <w:t>kreip</w:t>
      </w:r>
      <w:r>
        <w:rPr>
          <w:i/>
          <w:iCs/>
        </w:rPr>
        <w:t xml:space="preserve">tis </w:t>
      </w:r>
      <w:r w:rsidRPr="0069616B">
        <w:rPr>
          <w:i/>
          <w:iCs/>
        </w:rPr>
        <w:t xml:space="preserve">į </w:t>
      </w:r>
      <w:r w:rsidRPr="008C10A7">
        <w:rPr>
          <w:i/>
          <w:iCs/>
        </w:rPr>
        <w:t xml:space="preserve">Europos Sąjungos Teisingumo Teismą dėl </w:t>
      </w:r>
      <w:proofErr w:type="spellStart"/>
      <w:r w:rsidRPr="008C10A7">
        <w:rPr>
          <w:i/>
          <w:iCs/>
        </w:rPr>
        <w:t>prejudicinio</w:t>
      </w:r>
      <w:proofErr w:type="spellEnd"/>
      <w:r w:rsidRPr="008C10A7">
        <w:rPr>
          <w:i/>
          <w:iCs/>
        </w:rPr>
        <w:t xml:space="preserve"> sprendimo priėmimo</w:t>
      </w:r>
    </w:p>
    <w:p w14:paraId="30B4DF51" w14:textId="77777777" w:rsidR="00387ABE" w:rsidRDefault="00387ABE" w:rsidP="00387ABE">
      <w:pPr>
        <w:tabs>
          <w:tab w:val="left" w:pos="851"/>
          <w:tab w:val="left" w:pos="993"/>
          <w:tab w:val="left" w:pos="1134"/>
        </w:tabs>
        <w:spacing w:after="120"/>
        <w:jc w:val="both"/>
      </w:pPr>
    </w:p>
    <w:p w14:paraId="25E7F8EC" w14:textId="77777777" w:rsidR="00387ABE" w:rsidRDefault="00000000" w:rsidP="00387ABE">
      <w:pPr>
        <w:pStyle w:val="prastasiniatinklio"/>
        <w:numPr>
          <w:ilvl w:val="0"/>
          <w:numId w:val="1"/>
        </w:numPr>
        <w:spacing w:after="120" w:afterAutospacing="0"/>
        <w:ind w:left="357" w:hanging="357"/>
      </w:pPr>
      <w:hyperlink r:id="rId10" w:tgtFrame="_blank" w:tooltip="Lietuvos Respublikos civilinio proceso kodeksas" w:history="1">
        <w:r w:rsidR="00387ABE" w:rsidRPr="00FF70DD">
          <w:rPr>
            <w:rStyle w:val="Hipersaitas"/>
            <w:color w:val="auto"/>
          </w:rPr>
          <w:t>CPK</w:t>
        </w:r>
      </w:hyperlink>
      <w:r w:rsidR="00387ABE" w:rsidRPr="00FF70DD">
        <w:t xml:space="preserve"> </w:t>
      </w:r>
      <w:hyperlink r:id="rId11" w:tgtFrame="_blank" w:tooltip="Bylų nagrinėjimas pagal galiojančią teisę" w:history="1">
        <w:r w:rsidR="00387ABE" w:rsidRPr="00FF70DD">
          <w:rPr>
            <w:rStyle w:val="Hipersaitas"/>
            <w:color w:val="auto"/>
          </w:rPr>
          <w:t>3</w:t>
        </w:r>
      </w:hyperlink>
      <w:r w:rsidR="00387ABE" w:rsidRPr="00FF70DD">
        <w:t xml:space="preserve"> </w:t>
      </w:r>
      <w:r w:rsidR="00387ABE">
        <w:t xml:space="preserve">straipsnio 5 dalyje reglamentuota, kad teismas, nagrinėdamas bylas, taiko Europos Sąjungos teisės normas ir vadovaujasi Europos Sąjungos teisminių institucijų sprendimais, </w:t>
      </w:r>
      <w:proofErr w:type="spellStart"/>
      <w:r w:rsidR="00387ABE">
        <w:t>prejudiciniais</w:t>
      </w:r>
      <w:proofErr w:type="spellEnd"/>
      <w:r w:rsidR="00387ABE">
        <w:t xml:space="preserve"> sprendimais Europos Sąjungos teisės aktų aiškinimo ir galiojimo klausimais. Šioje nuostatoje taip pat reglamentuota, kad teismas, kuriam taikant Europos Sąjungos teisės normas iškilo Europos Sąjungos teisės aktų aiškinimo ar galiojimo klausimas, kurį išnagrinėti būtina, kad sprendimas byloje būtų priimtas, turi teisę sustabdyti bylos nagrinėjimą ir kreiptis į kompetentingą Europos Sąjungos teisminę instituciją su prašymu pateikti dėl to </w:t>
      </w:r>
      <w:proofErr w:type="spellStart"/>
      <w:r w:rsidR="00387ABE">
        <w:t>prejudicinį</w:t>
      </w:r>
      <w:proofErr w:type="spellEnd"/>
      <w:r w:rsidR="00387ABE">
        <w:t xml:space="preserve"> sprendimą, o teismas, kuris yra galutinė instancija nagrinėjamoje byloje ir kuriam taikant Europos Sąjungos teisės normas iškilo Europos Sąjungos teisės aktų aiškinimo ar galiojimo klausimas, privalo prašyti kompetentingos Europos Sąjungos teisminės institucijos </w:t>
      </w:r>
      <w:proofErr w:type="spellStart"/>
      <w:r w:rsidR="00387ABE">
        <w:t>prejudicinio</w:t>
      </w:r>
      <w:proofErr w:type="spellEnd"/>
      <w:r w:rsidR="00387ABE">
        <w:t xml:space="preserve"> sprendimo Europos Sąjungos teisės aktų aiškinimo ar galiojimo klausimu. Sutarties dėl Europos Sąjungos veikimo 267 straipsnyje nustatyta, kad jurisdikcija priimti </w:t>
      </w:r>
      <w:proofErr w:type="spellStart"/>
      <w:r w:rsidR="00387ABE">
        <w:t>prejudicinį</w:t>
      </w:r>
      <w:proofErr w:type="spellEnd"/>
      <w:r w:rsidR="00387ABE">
        <w:t xml:space="preserve"> sprendimą dėl Sutarčių išaiškinimo ir Europos Sąjungos institucijų, įstaigų ar organų aktų galiojimo ir išaiškinimo priklauso ESTT. Šiame straipsnyje taip pat išdėstytos iš esmės analogiškos, kaip ir pirmiau minėtose </w:t>
      </w:r>
      <w:hyperlink r:id="rId12" w:tgtFrame="_blank" w:tooltip="Lietuvos Respublikos civilinio proceso kodeksas" w:history="1">
        <w:r w:rsidR="00387ABE" w:rsidRPr="00FF70DD">
          <w:rPr>
            <w:rStyle w:val="Hipersaitas"/>
            <w:color w:val="auto"/>
          </w:rPr>
          <w:t>CPK</w:t>
        </w:r>
      </w:hyperlink>
      <w:r w:rsidR="00387ABE" w:rsidRPr="00FF70DD">
        <w:t xml:space="preserve"> </w:t>
      </w:r>
      <w:r w:rsidR="00387ABE">
        <w:lastRenderedPageBreak/>
        <w:t>nuostatose, taisyklės dėl to, kada nacionalinis teismas gali ir turi kreiptis į ESTT dėl Europos Sąjungos teisės aiškinimo.</w:t>
      </w:r>
    </w:p>
    <w:p w14:paraId="4F454F0C" w14:textId="77777777" w:rsidR="00387ABE" w:rsidRDefault="00387ABE" w:rsidP="00387ABE">
      <w:pPr>
        <w:pStyle w:val="prastasiniatinklio"/>
        <w:numPr>
          <w:ilvl w:val="0"/>
          <w:numId w:val="1"/>
        </w:numPr>
        <w:spacing w:after="120" w:afterAutospacing="0"/>
        <w:ind w:left="357" w:hanging="357"/>
      </w:pPr>
      <w:r>
        <w:t xml:space="preserve">Nors pagal pirmiau nurodytas teisės normas galutinės instancijos teismas privalo prašyti </w:t>
      </w:r>
      <w:proofErr w:type="spellStart"/>
      <w:r>
        <w:t>prejudicinio</w:t>
      </w:r>
      <w:proofErr w:type="spellEnd"/>
      <w:r>
        <w:t xml:space="preserve"> sprendimo tuo atveju, jeigu taikant Europos Sąjungos teisės normas jam iškilo Europos Sąjungos teisės aktų aiškinimo ar galiojimo klausimas, ESTT praktikoje yra išaiškinta, kad tokio teismo pareiga kreiptis į ESTT nėra absoliuti. ESTT praktikoje yra nurodyta, kad nacionaliniai teismai, kurių sprendimai pagal nacionalinę teisę negali būti toliau apskundžiami, gali, spręsdami Europos Sąjungos teisės klausimą, nesilaikyti pareigos kreiptis dėl </w:t>
      </w:r>
      <w:proofErr w:type="spellStart"/>
      <w:r>
        <w:t>prejudicinio</w:t>
      </w:r>
      <w:proofErr w:type="spellEnd"/>
      <w:r>
        <w:t xml:space="preserve"> sprendimo tuo atveju, jei jie konstatavo, kad iškeltas klausimas nėra svarbus bylai, kad dėl nagrinėjamos Europos Sąjungos teisės nuostatos ESTT jau pateikė savo išaiškinimą arba kad tinkamas Europos Sąjungos teisės taikymas yra toks akivaizdus, jog dėl to negali kilti jokių pagrįstų abejonių (pvz., ESTT 2005 m. rugsėjo 15 d. sprendimas byloje </w:t>
      </w:r>
      <w:proofErr w:type="spellStart"/>
      <w:r w:rsidRPr="005B54CA">
        <w:rPr>
          <w:i/>
          <w:iCs/>
        </w:rPr>
        <w:t>Intermodal</w:t>
      </w:r>
      <w:proofErr w:type="spellEnd"/>
      <w:r w:rsidRPr="005B54CA">
        <w:rPr>
          <w:i/>
          <w:iCs/>
        </w:rPr>
        <w:t xml:space="preserve"> </w:t>
      </w:r>
      <w:proofErr w:type="spellStart"/>
      <w:r w:rsidRPr="005B54CA">
        <w:rPr>
          <w:i/>
          <w:iCs/>
        </w:rPr>
        <w:t>Transports</w:t>
      </w:r>
      <w:proofErr w:type="spellEnd"/>
      <w:r w:rsidRPr="005B54CA">
        <w:rPr>
          <w:i/>
          <w:iCs/>
        </w:rPr>
        <w:t xml:space="preserve"> BV prieš </w:t>
      </w:r>
      <w:proofErr w:type="spellStart"/>
      <w:r w:rsidRPr="005B54CA">
        <w:rPr>
          <w:i/>
          <w:iCs/>
        </w:rPr>
        <w:t>Staatssecretaris</w:t>
      </w:r>
      <w:proofErr w:type="spellEnd"/>
      <w:r w:rsidRPr="005B54CA">
        <w:rPr>
          <w:i/>
          <w:iCs/>
        </w:rPr>
        <w:t xml:space="preserve"> </w:t>
      </w:r>
      <w:proofErr w:type="spellStart"/>
      <w:r w:rsidRPr="005B54CA">
        <w:rPr>
          <w:i/>
          <w:iCs/>
        </w:rPr>
        <w:t>van</w:t>
      </w:r>
      <w:proofErr w:type="spellEnd"/>
      <w:r w:rsidRPr="005B54CA">
        <w:rPr>
          <w:i/>
          <w:iCs/>
        </w:rPr>
        <w:t xml:space="preserve"> </w:t>
      </w:r>
      <w:proofErr w:type="spellStart"/>
      <w:r w:rsidRPr="005B54CA">
        <w:rPr>
          <w:i/>
          <w:iCs/>
        </w:rPr>
        <w:t>Financin</w:t>
      </w:r>
      <w:proofErr w:type="spellEnd"/>
      <w:r>
        <w:t xml:space="preserve">, C-495/03, 33 punktas). Tik bylą nagrinėjantis nacionalinis teismas, atsakingas už sprendimo priėmimą, atsižvelgdamas į konkrečias bylos aplinkybes, turi įvertinti tai, ar jo sprendimui priimti būtinas </w:t>
      </w:r>
      <w:proofErr w:type="spellStart"/>
      <w:r>
        <w:t>prejudicinis</w:t>
      </w:r>
      <w:proofErr w:type="spellEnd"/>
      <w:r>
        <w:t xml:space="preserve"> sprendimas, ir ESTT pateikiamų klausimų svarbą (pvz., ESTT 2021 m. birželio 10 d. sprendimas byloje </w:t>
      </w:r>
      <w:proofErr w:type="spellStart"/>
      <w:r w:rsidRPr="005B54CA">
        <w:rPr>
          <w:i/>
          <w:iCs/>
        </w:rPr>
        <w:t>Ultimo</w:t>
      </w:r>
      <w:proofErr w:type="spellEnd"/>
      <w:r w:rsidRPr="005B54CA">
        <w:rPr>
          <w:i/>
          <w:iCs/>
        </w:rPr>
        <w:t xml:space="preserve"> </w:t>
      </w:r>
      <w:proofErr w:type="spellStart"/>
      <w:r w:rsidRPr="005B54CA">
        <w:rPr>
          <w:i/>
          <w:iCs/>
        </w:rPr>
        <w:t>Portfolio</w:t>
      </w:r>
      <w:proofErr w:type="spellEnd"/>
      <w:r w:rsidRPr="005B54CA">
        <w:rPr>
          <w:i/>
          <w:iCs/>
        </w:rPr>
        <w:t xml:space="preserve"> </w:t>
      </w:r>
      <w:proofErr w:type="spellStart"/>
      <w:r w:rsidRPr="005B54CA">
        <w:rPr>
          <w:i/>
          <w:iCs/>
        </w:rPr>
        <w:t>Investment</w:t>
      </w:r>
      <w:proofErr w:type="spellEnd"/>
      <w:r w:rsidRPr="005B54CA">
        <w:rPr>
          <w:i/>
          <w:iCs/>
        </w:rPr>
        <w:t xml:space="preserve"> (</w:t>
      </w:r>
      <w:proofErr w:type="spellStart"/>
      <w:r w:rsidRPr="005B54CA">
        <w:rPr>
          <w:i/>
          <w:iCs/>
        </w:rPr>
        <w:t>Luxembourg</w:t>
      </w:r>
      <w:proofErr w:type="spellEnd"/>
      <w:r w:rsidRPr="005B54CA">
        <w:rPr>
          <w:i/>
          <w:iCs/>
        </w:rPr>
        <w:t>) SA prieš KM</w:t>
      </w:r>
      <w:r>
        <w:t xml:space="preserve">, C-303/20, 22 punktas). Nacionalinis teismas nėra saistomas bylos šalių iniciatyvos ir sprendimą kreiptis dėl </w:t>
      </w:r>
      <w:proofErr w:type="spellStart"/>
      <w:r>
        <w:t>prejudicinio</w:t>
      </w:r>
      <w:proofErr w:type="spellEnd"/>
      <w:r>
        <w:t xml:space="preserve"> sprendimo priima savo nuožiūra (ESTT 1982 m. spalio 6 d. sprendimas byloje </w:t>
      </w:r>
      <w:proofErr w:type="spellStart"/>
      <w:r w:rsidRPr="005B54CA">
        <w:rPr>
          <w:i/>
          <w:iCs/>
        </w:rPr>
        <w:t>Srl</w:t>
      </w:r>
      <w:proofErr w:type="spellEnd"/>
      <w:r w:rsidRPr="005B54CA">
        <w:rPr>
          <w:i/>
          <w:iCs/>
        </w:rPr>
        <w:t xml:space="preserve"> CILFIT ir </w:t>
      </w:r>
      <w:proofErr w:type="spellStart"/>
      <w:r w:rsidRPr="005B54CA">
        <w:rPr>
          <w:i/>
          <w:iCs/>
        </w:rPr>
        <w:t>Lanificio</w:t>
      </w:r>
      <w:proofErr w:type="spellEnd"/>
      <w:r w:rsidRPr="005B54CA">
        <w:rPr>
          <w:i/>
          <w:iCs/>
        </w:rPr>
        <w:t xml:space="preserve"> di </w:t>
      </w:r>
      <w:proofErr w:type="spellStart"/>
      <w:r w:rsidRPr="005B54CA">
        <w:rPr>
          <w:i/>
          <w:iCs/>
        </w:rPr>
        <w:t>Gavardo</w:t>
      </w:r>
      <w:proofErr w:type="spellEnd"/>
      <w:r w:rsidRPr="005B54CA">
        <w:rPr>
          <w:i/>
          <w:iCs/>
        </w:rPr>
        <w:t xml:space="preserve"> </w:t>
      </w:r>
      <w:proofErr w:type="spellStart"/>
      <w:r w:rsidRPr="005B54CA">
        <w:rPr>
          <w:i/>
          <w:iCs/>
        </w:rPr>
        <w:t>SpA</w:t>
      </w:r>
      <w:proofErr w:type="spellEnd"/>
      <w:r w:rsidRPr="005B54CA">
        <w:rPr>
          <w:i/>
          <w:iCs/>
        </w:rPr>
        <w:t xml:space="preserve"> prieš </w:t>
      </w:r>
      <w:proofErr w:type="spellStart"/>
      <w:r w:rsidRPr="005B54CA">
        <w:rPr>
          <w:i/>
          <w:iCs/>
        </w:rPr>
        <w:t>Ministero</w:t>
      </w:r>
      <w:proofErr w:type="spellEnd"/>
      <w:r w:rsidRPr="005B54CA">
        <w:rPr>
          <w:i/>
          <w:iCs/>
        </w:rPr>
        <w:t xml:space="preserve"> </w:t>
      </w:r>
      <w:proofErr w:type="spellStart"/>
      <w:r w:rsidRPr="005B54CA">
        <w:rPr>
          <w:i/>
          <w:iCs/>
        </w:rPr>
        <w:t>della</w:t>
      </w:r>
      <w:proofErr w:type="spellEnd"/>
      <w:r w:rsidRPr="005B54CA">
        <w:rPr>
          <w:i/>
          <w:iCs/>
        </w:rPr>
        <w:t xml:space="preserve"> </w:t>
      </w:r>
      <w:proofErr w:type="spellStart"/>
      <w:r w:rsidRPr="005B54CA">
        <w:rPr>
          <w:i/>
          <w:iCs/>
        </w:rPr>
        <w:t>sanit</w:t>
      </w:r>
      <w:proofErr w:type="spellEnd"/>
      <w:r w:rsidRPr="005B54CA">
        <w:rPr>
          <w:i/>
          <w:iCs/>
        </w:rPr>
        <w:t>.</w:t>
      </w:r>
      <w:r>
        <w:t xml:space="preserve">, C-283/81, </w:t>
      </w:r>
      <w:r w:rsidRPr="00FF70DD">
        <w:t>9 punktas) (</w:t>
      </w:r>
      <w:hyperlink r:id="rId13" w:tgtFrame="_blank" w:tooltip="Lietuvos Aukščiausiasis teismas" w:history="1">
        <w:r w:rsidRPr="00FF70DD">
          <w:rPr>
            <w:rStyle w:val="Hipersaitas"/>
            <w:color w:val="auto"/>
          </w:rPr>
          <w:t>Lietuvos Aukščiausiojo Teismo</w:t>
        </w:r>
      </w:hyperlink>
      <w:r w:rsidRPr="00FF70DD">
        <w:t xml:space="preserve"> 2021 m. lapkričio 24 d. nutartis civilinėje byloje Nr. </w:t>
      </w:r>
      <w:hyperlink r:id="rId14" w:tgtFrame="_blank" w:tooltip="e3K-3-295-421/2021 Dėl teisės normų, įtvirtinančių pagrindą vienašališkai nutraukti sutartį, esant esminiam sutarties pažeidimui, ir teisės normų, reglamentuojančių kraujo ir jo komponentų išvežimo iš" w:history="1">
        <w:r w:rsidRPr="00FF70DD">
          <w:rPr>
            <w:rStyle w:val="Hipersaitas"/>
            <w:color w:val="auto"/>
          </w:rPr>
          <w:t>e3K-3-295-421/2021</w:t>
        </w:r>
      </w:hyperlink>
      <w:r w:rsidRPr="00FF70DD">
        <w:t>, 58 ir 59 punktai).</w:t>
      </w:r>
    </w:p>
    <w:p w14:paraId="30F66CFB" w14:textId="77777777" w:rsidR="00387ABE" w:rsidRDefault="00387ABE" w:rsidP="00387ABE">
      <w:pPr>
        <w:pStyle w:val="Sraopastraipa"/>
        <w:numPr>
          <w:ilvl w:val="0"/>
          <w:numId w:val="1"/>
        </w:numPr>
        <w:spacing w:after="120" w:line="240" w:lineRule="auto"/>
        <w:jc w:val="both"/>
        <w:rPr>
          <w:rFonts w:ascii="Times New Roman" w:eastAsiaTheme="minorEastAsia" w:hAnsi="Times New Roman" w:cstheme="minorBidi"/>
          <w:sz w:val="24"/>
          <w:szCs w:val="24"/>
        </w:rPr>
      </w:pPr>
      <w:r w:rsidRPr="007216D8">
        <w:rPr>
          <w:rFonts w:ascii="Times New Roman" w:eastAsiaTheme="minorEastAsia" w:hAnsi="Times New Roman" w:cstheme="minorBidi"/>
          <w:sz w:val="24"/>
          <w:szCs w:val="24"/>
        </w:rPr>
        <w:t xml:space="preserve">Kasacinio teismo praktikoje taip pat išaiškinta, kad tuo atveju, kai kasaciniam teismui nekyla klausimų dėl taikomų Europos Sąjungos teisės normų aiškinimo ir galiojimo, jis neturi pareigos kreiptis </w:t>
      </w:r>
      <w:r>
        <w:rPr>
          <w:rFonts w:ascii="Times New Roman" w:eastAsiaTheme="minorEastAsia" w:hAnsi="Times New Roman" w:cstheme="minorBidi"/>
          <w:sz w:val="24"/>
          <w:szCs w:val="24"/>
        </w:rPr>
        <w:t xml:space="preserve">dėl </w:t>
      </w:r>
      <w:proofErr w:type="spellStart"/>
      <w:r w:rsidRPr="007216D8">
        <w:rPr>
          <w:rFonts w:ascii="Times New Roman" w:eastAsiaTheme="minorEastAsia" w:hAnsi="Times New Roman" w:cstheme="minorBidi"/>
          <w:sz w:val="24"/>
          <w:szCs w:val="24"/>
        </w:rPr>
        <w:t>prejudicinio</w:t>
      </w:r>
      <w:proofErr w:type="spellEnd"/>
      <w:r w:rsidRPr="007216D8">
        <w:rPr>
          <w:rFonts w:ascii="Times New Roman" w:eastAsiaTheme="minorEastAsia" w:hAnsi="Times New Roman" w:cstheme="minorBidi"/>
          <w:sz w:val="24"/>
          <w:szCs w:val="24"/>
        </w:rPr>
        <w:t xml:space="preserve"> sprendimo (Lietuvos Aukščiausiojo Teismo 2018 m. vasario 9 d. nutartis civilinėje byloje Nr. e3K-3-17-701/2018, 58–59 punktai).</w:t>
      </w:r>
    </w:p>
    <w:p w14:paraId="78BFA90E" w14:textId="77777777" w:rsidR="00387ABE" w:rsidRDefault="00387ABE" w:rsidP="00387ABE">
      <w:pPr>
        <w:numPr>
          <w:ilvl w:val="0"/>
          <w:numId w:val="1"/>
        </w:numPr>
        <w:tabs>
          <w:tab w:val="left" w:pos="851"/>
          <w:tab w:val="left" w:pos="993"/>
          <w:tab w:val="left" w:pos="1134"/>
        </w:tabs>
        <w:spacing w:before="100" w:beforeAutospacing="1" w:after="120"/>
        <w:jc w:val="both"/>
      </w:pPr>
      <w:r>
        <w:t xml:space="preserve">Atsakovė kasaciniame skunde prašo </w:t>
      </w:r>
      <w:r w:rsidRPr="008C10A7">
        <w:t xml:space="preserve">kreiptis į ESTT dėl </w:t>
      </w:r>
      <w:proofErr w:type="spellStart"/>
      <w:r w:rsidRPr="008C10A7">
        <w:t>prejudicinio</w:t>
      </w:r>
      <w:proofErr w:type="spellEnd"/>
      <w:r w:rsidRPr="008C10A7">
        <w:t xml:space="preserve"> sprendimo priėmimo </w:t>
      </w:r>
      <w:r>
        <w:t xml:space="preserve">šiais </w:t>
      </w:r>
      <w:bookmarkStart w:id="6" w:name="_Hlk163554182"/>
      <w:r>
        <w:t>klausimais: 1) ar Direktyvos 2009/103/EB 14 straipsnį galima aiškinti taip, kad tais atvejais, kai draudėjas pavėluoja sumokėti draudikui draudimo įmoką pagal draudėjo ir draudiko sudarytą transporto priemonių valdytojų civilinės atsakomybės privalomojo draudimo sutartį, draudikas turi teisę reikalauti iš draudėjo grąžinti dėl draudžiamojo įvykio nukentėjusiam asmeniui išmokėtą draudimo išmoką?; 2) jei į pirmąjį klausimą būtų atsakyta teigiamai, kokia apimtimi (mastu) draudikas gali reikalauti iš draudėjo sugrąžinti pagal draudėjo ir draudiko sudarytą transporto priemonių valdytojų civilinės atsakomybės privalomojo draudimo sutartį dėl draudžiamojo įvykio nukentėjusiam asmeniui išmokėtą draudimo išmoką?</w:t>
      </w:r>
      <w:bookmarkEnd w:id="6"/>
    </w:p>
    <w:p w14:paraId="6BC5700D" w14:textId="77777777" w:rsidR="00387ABE" w:rsidRDefault="00387ABE" w:rsidP="00387ABE">
      <w:pPr>
        <w:numPr>
          <w:ilvl w:val="0"/>
          <w:numId w:val="1"/>
        </w:numPr>
        <w:tabs>
          <w:tab w:val="left" w:pos="851"/>
          <w:tab w:val="left" w:pos="993"/>
          <w:tab w:val="left" w:pos="1134"/>
        </w:tabs>
        <w:spacing w:before="100" w:beforeAutospacing="1" w:after="120"/>
        <w:ind w:left="357" w:hanging="357"/>
        <w:jc w:val="both"/>
      </w:pPr>
      <w:r>
        <w:t>Kasaciniame skunde teigiama, kad j</w:t>
      </w:r>
      <w:r w:rsidRPr="008C10A7">
        <w:t xml:space="preserve">eigu eismo įvykis nagrinėjamu atveju būtų laikomas įvykusiu per draudimo įmokos mokėjimo vėlavimo laikotarpį, šiuo atveju apeliacinės instancijos teismo sprendime pateiktas TPVCAPDĮ 11 straipsnio 7 dalies normos aiškinimas ir taikymas prieštarauja 2009 m. rugsėjo 16 d. Europos Parlamento ir Tarybos direktyvos 2009/103/EB dėl motorinių transporto priemonių valdytojų civilinės atsakomybės draudimo ir privalomojo tokios atsakomybės draudimo patikrinimo nuostatoms ir tikslams. </w:t>
      </w:r>
      <w:r>
        <w:t>Atsakovės nuomone, p</w:t>
      </w:r>
      <w:r w:rsidRPr="008C10A7">
        <w:t>agal Direktyvos 2009/103/EB 14 straipsnį</w:t>
      </w:r>
      <w:r>
        <w:t xml:space="preserve">, </w:t>
      </w:r>
      <w:r w:rsidRPr="008C10A7">
        <w:t>preambulės 26 punkt</w:t>
      </w:r>
      <w:r>
        <w:t xml:space="preserve">ą, </w:t>
      </w:r>
      <w:r w:rsidRPr="008C10A7">
        <w:t xml:space="preserve">apdraustajam sumokėjus visą (vienkartinę) draudimo įmoką, už ją apdraustajam (šiuo atveju atsakovei) turi būti suteikta </w:t>
      </w:r>
      <w:r>
        <w:t>visišk</w:t>
      </w:r>
      <w:r w:rsidRPr="008C10A7">
        <w:t xml:space="preserve">a draudimo apsauga. Pažymėtina, kad Direktyvoje 2009/103/EB nėra nuostatų, kurios leistų draudikui iš savo draudėjo susigrąžinti dėl draudžiamojo įvykio nukentėjusiam asmeniui išmokėtą draudimo išmoką (ar jos dalį), jeigu draudėjas pavėluotai sumoka draudimo įmoką. Nors ir pavėlavus, tačiau draudėjui sumokėjus visą draudimo įmoką už pagal draudimo sutartį teikiamą draudimo apsaugą, draudikas negali susigrąžinti iš draudėjo dėl draudžiamojo įvykio nukentėjusiam asmeniui išmokėtos draudimo išmokos (ar jos dalies), nes priešingu atveju tai reikštų, kad draudikas draudėjui (apdraustajam) už sutartą draudimo įmoką suteikia tik dalinę (o ne visišką) draudimo apsaugą. O tik dalinės draudimo apsaugos apdraustajam suteikimas aiškiai prieštarautų nurodytam Direktyvos 2009/103/EB tikslui. </w:t>
      </w:r>
    </w:p>
    <w:p w14:paraId="10688734" w14:textId="72138625" w:rsidR="00387ABE" w:rsidRDefault="00387ABE" w:rsidP="00387ABE">
      <w:pPr>
        <w:numPr>
          <w:ilvl w:val="0"/>
          <w:numId w:val="1"/>
        </w:numPr>
        <w:tabs>
          <w:tab w:val="left" w:pos="851"/>
          <w:tab w:val="left" w:pos="993"/>
          <w:tab w:val="left" w:pos="1134"/>
        </w:tabs>
        <w:spacing w:before="100" w:beforeAutospacing="1" w:after="120"/>
        <w:ind w:left="357" w:hanging="357"/>
        <w:jc w:val="both"/>
      </w:pPr>
      <w:r>
        <w:lastRenderedPageBreak/>
        <w:t xml:space="preserve">Dėl atsakovės keliamų </w:t>
      </w:r>
      <w:r w:rsidRPr="00F14131">
        <w:t xml:space="preserve">Direktyvos 2009/103/EB </w:t>
      </w:r>
      <w:r>
        <w:t xml:space="preserve">aiškinimo klausimų pažymėtina, kad </w:t>
      </w:r>
      <w:r w:rsidRPr="008B77AF">
        <w:t>Direktyvos 2009/103</w:t>
      </w:r>
      <w:r w:rsidRPr="00387ABE">
        <w:t xml:space="preserve">/EB preambulės 26 konstatuojamoje dalyje </w:t>
      </w:r>
      <w:r>
        <w:t>nurodyta, jog apdraustojo interesų labui kiekvienas draudimo liudijimas turėtų užtikrinti, sumokėjus vieną draudimo įmoką, draudimo apsaugą kiekvienoje valstybėje narėje pagal tos valstybės teisės aktų reikalavimus arba draudimo apsaugą, pagal valstybės teisės aktus privalomą toje valstybėje, kurioje yra įprastinė transporto priemonės buvimo vieta, jei ši draudimo apsauga yra didesnė.</w:t>
      </w:r>
    </w:p>
    <w:p w14:paraId="15179FB3" w14:textId="77777777" w:rsidR="00387ABE" w:rsidRPr="008B77AF" w:rsidRDefault="00387ABE" w:rsidP="00387ABE">
      <w:pPr>
        <w:numPr>
          <w:ilvl w:val="0"/>
          <w:numId w:val="1"/>
        </w:numPr>
        <w:tabs>
          <w:tab w:val="left" w:pos="851"/>
          <w:tab w:val="left" w:pos="993"/>
          <w:tab w:val="left" w:pos="1134"/>
        </w:tabs>
        <w:spacing w:before="100" w:beforeAutospacing="1" w:after="120"/>
        <w:ind w:left="357" w:hanging="357"/>
        <w:jc w:val="both"/>
      </w:pPr>
      <w:r w:rsidRPr="0069616B">
        <w:t xml:space="preserve">Direktyvos 2009/103/EB 14 straipsnyje nurodyta, kad </w:t>
      </w:r>
      <w:r>
        <w:rPr>
          <w:rFonts w:cs="EUAlbertina"/>
          <w:color w:val="19161A"/>
        </w:rPr>
        <w:t>v</w:t>
      </w:r>
      <w:r w:rsidRPr="0069616B">
        <w:rPr>
          <w:rFonts w:cs="EUAlbertina"/>
          <w:color w:val="19161A"/>
        </w:rPr>
        <w:t xml:space="preserve">alstybės narės imasi visų priemonių, būtinų užtikrinti, kad visos transporto priemonių valdytojų civilinės atsakomybės privalomojo draudimo sutartys: a) vienkartinės įmokos pagrindu ir visą sutarties terminą galiotų visoje Bendrijos teritorijoje, įskaitant bet kurį laikotarpį, kai sutarties termino metu transporto priemonė yra kitose valstybėse narėse; ir b) tos pačios vienkartinės įmokos pagrindu užtikrintų kiekvienoje valstybėje narėje tokią draudimo apsaugą, kurios reikalaujama pagal tos valstybės įstatymus, arba draudimo apsaugą, pagal įstatymus privalomą toje valstybėje narėje, kurioje yra įprastinė transporto priemonės buvimo vieta, jei ši apsauga yra didesnė. </w:t>
      </w:r>
    </w:p>
    <w:p w14:paraId="46564648" w14:textId="77777777" w:rsidR="00387ABE" w:rsidRDefault="00387ABE" w:rsidP="00387ABE">
      <w:pPr>
        <w:numPr>
          <w:ilvl w:val="0"/>
          <w:numId w:val="1"/>
        </w:numPr>
        <w:tabs>
          <w:tab w:val="left" w:pos="851"/>
          <w:tab w:val="left" w:pos="993"/>
          <w:tab w:val="left" w:pos="1134"/>
        </w:tabs>
        <w:spacing w:before="100" w:beforeAutospacing="1" w:after="120"/>
        <w:ind w:left="357" w:hanging="357"/>
        <w:jc w:val="both"/>
      </w:pPr>
      <w:r>
        <w:t xml:space="preserve">ESTT 2016 m. sausio 21 d. sprendime sujungtose bylose C 359/14 ir C 475/14 41–42 punktuose išaiškino, kad </w:t>
      </w:r>
      <w:r w:rsidRPr="008C10A7">
        <w:t xml:space="preserve">Direktyvos 2009/103/EB 14 straipsnyje, siejamame su jos </w:t>
      </w:r>
      <w:r w:rsidRPr="00387ABE">
        <w:t>26 konstatuojamąja dalimi, valstybės narės įpareigojamos imtis visų priemonių, būtinų užtikrinti, kad transporto</w:t>
      </w:r>
      <w:r w:rsidRPr="008C10A7">
        <w:t xml:space="preserve"> priemonių draudimo sutartys sumokėjus vienkartinę įmoką ir visą sutarties terminą galiotų visoje Europos Sąjungos teritorijoje ir, sumokėjus šią įmoką, užtikrintų kiekvienoje valstybėje narėje tokią draudimo apsaugą, kurios reikalaujama pagal tos valstybės įstatymus, arba draudimo apsaugą, pagal įstatymus privalomą toje valstybėje narėje, kurioje yra įprastinė transporto priemonės buvimo vieta, jei ši apsauga yra didesnė.</w:t>
      </w:r>
      <w:r>
        <w:t xml:space="preserve"> Direktyvos 2009/103/EB 14 straipsnyje reglamentuojami tik draudimo apsaugos geografinė apimtis ir lygis, kuriuos turi užtikrinti draudikas, kad būtų garantuota tinkama per kelių eismo įvykius nukentėjusių asmenų apsauga. </w:t>
      </w:r>
    </w:p>
    <w:p w14:paraId="76D31118" w14:textId="77777777" w:rsidR="00387ABE" w:rsidRPr="007A6296" w:rsidRDefault="00387ABE" w:rsidP="00387ABE">
      <w:pPr>
        <w:pStyle w:val="Sraopastraipa"/>
        <w:numPr>
          <w:ilvl w:val="0"/>
          <w:numId w:val="1"/>
        </w:numPr>
        <w:spacing w:after="120" w:line="240" w:lineRule="auto"/>
        <w:jc w:val="both"/>
        <w:rPr>
          <w:rFonts w:ascii="Times New Roman" w:hAnsi="Times New Roman"/>
          <w:sz w:val="24"/>
          <w:szCs w:val="24"/>
        </w:rPr>
      </w:pPr>
      <w:r w:rsidRPr="007216D8">
        <w:rPr>
          <w:rFonts w:ascii="Times New Roman" w:hAnsi="Times New Roman"/>
          <w:sz w:val="24"/>
          <w:szCs w:val="24"/>
        </w:rPr>
        <w:t>Teisėjų kolegija, remdamasi</w:t>
      </w:r>
      <w:r>
        <w:rPr>
          <w:rFonts w:ascii="Times New Roman" w:hAnsi="Times New Roman"/>
          <w:sz w:val="24"/>
          <w:szCs w:val="24"/>
        </w:rPr>
        <w:t xml:space="preserve"> tuo, kas išdėstyta, </w:t>
      </w:r>
      <w:r w:rsidRPr="007216D8">
        <w:rPr>
          <w:rFonts w:ascii="Times New Roman" w:hAnsi="Times New Roman"/>
          <w:sz w:val="24"/>
          <w:szCs w:val="24"/>
        </w:rPr>
        <w:t>konstatuoja, kad Direktyvos 2009/103/EB 14</w:t>
      </w:r>
      <w:r>
        <w:rPr>
          <w:rFonts w:ascii="Times New Roman" w:hAnsi="Times New Roman"/>
          <w:sz w:val="24"/>
          <w:szCs w:val="24"/>
        </w:rPr>
        <w:t> </w:t>
      </w:r>
      <w:r w:rsidRPr="007216D8">
        <w:rPr>
          <w:rFonts w:ascii="Times New Roman" w:hAnsi="Times New Roman"/>
          <w:sz w:val="24"/>
          <w:szCs w:val="24"/>
        </w:rPr>
        <w:t>straipsn</w:t>
      </w:r>
      <w:r>
        <w:rPr>
          <w:rFonts w:ascii="Times New Roman" w:hAnsi="Times New Roman"/>
          <w:sz w:val="24"/>
          <w:szCs w:val="24"/>
        </w:rPr>
        <w:t>is</w:t>
      </w:r>
      <w:r w:rsidRPr="007216D8">
        <w:rPr>
          <w:rFonts w:ascii="Times New Roman" w:hAnsi="Times New Roman"/>
          <w:sz w:val="24"/>
          <w:szCs w:val="24"/>
        </w:rPr>
        <w:t xml:space="preserve"> reglamentuoja tik draudimo apsaugos geografin</w:t>
      </w:r>
      <w:r>
        <w:rPr>
          <w:rFonts w:ascii="Times New Roman" w:hAnsi="Times New Roman"/>
          <w:sz w:val="24"/>
          <w:szCs w:val="24"/>
        </w:rPr>
        <w:t>ę</w:t>
      </w:r>
      <w:r w:rsidRPr="007216D8">
        <w:rPr>
          <w:rFonts w:ascii="Times New Roman" w:hAnsi="Times New Roman"/>
          <w:sz w:val="24"/>
          <w:szCs w:val="24"/>
        </w:rPr>
        <w:t xml:space="preserve"> apimt</w:t>
      </w:r>
      <w:r>
        <w:rPr>
          <w:rFonts w:ascii="Times New Roman" w:hAnsi="Times New Roman"/>
          <w:sz w:val="24"/>
          <w:szCs w:val="24"/>
        </w:rPr>
        <w:t>į</w:t>
      </w:r>
      <w:r w:rsidRPr="007216D8">
        <w:rPr>
          <w:rFonts w:ascii="Times New Roman" w:hAnsi="Times New Roman"/>
          <w:sz w:val="24"/>
          <w:szCs w:val="24"/>
        </w:rPr>
        <w:t xml:space="preserve"> ir lyg</w:t>
      </w:r>
      <w:r>
        <w:rPr>
          <w:rFonts w:ascii="Times New Roman" w:hAnsi="Times New Roman"/>
          <w:sz w:val="24"/>
          <w:szCs w:val="24"/>
        </w:rPr>
        <w:t>į</w:t>
      </w:r>
      <w:r w:rsidRPr="007216D8">
        <w:rPr>
          <w:rFonts w:ascii="Times New Roman" w:hAnsi="Times New Roman"/>
          <w:sz w:val="24"/>
          <w:szCs w:val="24"/>
        </w:rPr>
        <w:t>, kuriuos turi užtikrinti draudikas, kad būtų garantuota tinkama per kelių eismo įvykius nukentėjusių asmenų apsauga</w:t>
      </w:r>
      <w:r>
        <w:rPr>
          <w:rFonts w:ascii="Times New Roman" w:hAnsi="Times New Roman"/>
          <w:sz w:val="24"/>
          <w:szCs w:val="24"/>
        </w:rPr>
        <w:t>,</w:t>
      </w:r>
      <w:r w:rsidRPr="007216D8">
        <w:rPr>
          <w:rFonts w:ascii="Times New Roman" w:hAnsi="Times New Roman"/>
          <w:sz w:val="24"/>
          <w:szCs w:val="24"/>
        </w:rPr>
        <w:t xml:space="preserve"> ir nereglamentuoja draudėjo ir draudiko tarpusavio teisini</w:t>
      </w:r>
      <w:r>
        <w:rPr>
          <w:rFonts w:ascii="Times New Roman" w:hAnsi="Times New Roman"/>
          <w:sz w:val="24"/>
          <w:szCs w:val="24"/>
        </w:rPr>
        <w:t>ų</w:t>
      </w:r>
      <w:r w:rsidRPr="007216D8">
        <w:rPr>
          <w:rFonts w:ascii="Times New Roman" w:hAnsi="Times New Roman"/>
          <w:sz w:val="24"/>
          <w:szCs w:val="24"/>
        </w:rPr>
        <w:t xml:space="preserve"> santyki</w:t>
      </w:r>
      <w:r>
        <w:rPr>
          <w:rFonts w:ascii="Times New Roman" w:hAnsi="Times New Roman"/>
          <w:sz w:val="24"/>
          <w:szCs w:val="24"/>
        </w:rPr>
        <w:t>ų. Teisėjų kolegija</w:t>
      </w:r>
      <w:r w:rsidRPr="007216D8">
        <w:rPr>
          <w:rFonts w:ascii="Times New Roman" w:hAnsi="Times New Roman"/>
          <w:sz w:val="24"/>
          <w:szCs w:val="24"/>
        </w:rPr>
        <w:t xml:space="preserve"> </w:t>
      </w:r>
      <w:r>
        <w:rPr>
          <w:rFonts w:ascii="Times New Roman" w:hAnsi="Times New Roman"/>
          <w:sz w:val="24"/>
          <w:szCs w:val="24"/>
        </w:rPr>
        <w:t xml:space="preserve">konstatuoja, kad </w:t>
      </w:r>
      <w:r w:rsidRPr="007216D8">
        <w:rPr>
          <w:rFonts w:ascii="Times New Roman" w:hAnsi="Times New Roman"/>
          <w:sz w:val="24"/>
          <w:szCs w:val="24"/>
        </w:rPr>
        <w:t xml:space="preserve">nagrinėjamoje byloje </w:t>
      </w:r>
      <w:r w:rsidRPr="00F14131">
        <w:rPr>
          <w:rFonts w:ascii="Times New Roman" w:hAnsi="Times New Roman"/>
          <w:sz w:val="24"/>
          <w:szCs w:val="24"/>
        </w:rPr>
        <w:t>kasaciniam teismui nekyla klausimų dėl Europos Sąjungos teisės normų aiškinimo,</w:t>
      </w:r>
      <w:r>
        <w:rPr>
          <w:rFonts w:ascii="Times New Roman" w:hAnsi="Times New Roman"/>
          <w:sz w:val="24"/>
          <w:szCs w:val="24"/>
        </w:rPr>
        <w:t xml:space="preserve"> </w:t>
      </w:r>
      <w:r w:rsidRPr="007216D8">
        <w:rPr>
          <w:rFonts w:ascii="Times New Roman" w:hAnsi="Times New Roman"/>
          <w:sz w:val="24"/>
          <w:szCs w:val="24"/>
        </w:rPr>
        <w:t xml:space="preserve">siekiant išspręsti bylą, atitinkamai nekyla ir kasacinio teismo pareiga kreiptis į ESTT dėl </w:t>
      </w:r>
      <w:proofErr w:type="spellStart"/>
      <w:r w:rsidRPr="007216D8">
        <w:rPr>
          <w:rFonts w:ascii="Times New Roman" w:hAnsi="Times New Roman"/>
          <w:sz w:val="24"/>
          <w:szCs w:val="24"/>
        </w:rPr>
        <w:t>prejudicinio</w:t>
      </w:r>
      <w:proofErr w:type="spellEnd"/>
      <w:r w:rsidRPr="007216D8">
        <w:rPr>
          <w:rFonts w:ascii="Times New Roman" w:hAnsi="Times New Roman"/>
          <w:sz w:val="24"/>
          <w:szCs w:val="24"/>
        </w:rPr>
        <w:t xml:space="preserve"> sprendimo </w:t>
      </w:r>
      <w:r w:rsidRPr="007A6296">
        <w:rPr>
          <w:rFonts w:ascii="Times New Roman" w:hAnsi="Times New Roman"/>
          <w:sz w:val="24"/>
          <w:szCs w:val="24"/>
        </w:rPr>
        <w:t>priėmimo, todėl atsakovės prašymas dėl tokio kreipimosi atmestinas.</w:t>
      </w:r>
    </w:p>
    <w:p w14:paraId="1A43B6DD" w14:textId="77777777" w:rsidR="00387ABE" w:rsidRPr="002170BC" w:rsidRDefault="00387ABE" w:rsidP="00387ABE">
      <w:pPr>
        <w:tabs>
          <w:tab w:val="left" w:pos="851"/>
          <w:tab w:val="left" w:pos="993"/>
          <w:tab w:val="left" w:pos="1134"/>
        </w:tabs>
        <w:spacing w:before="100" w:beforeAutospacing="1" w:after="120"/>
        <w:ind w:left="357"/>
        <w:jc w:val="both"/>
        <w:rPr>
          <w:i/>
          <w:iCs/>
        </w:rPr>
      </w:pPr>
    </w:p>
    <w:p w14:paraId="32CAFA8D" w14:textId="77777777" w:rsidR="00387ABE" w:rsidRDefault="00387ABE" w:rsidP="00387ABE">
      <w:pPr>
        <w:pStyle w:val="Sraopastraipa"/>
        <w:spacing w:after="120" w:line="240" w:lineRule="auto"/>
        <w:contextualSpacing w:val="0"/>
        <w:jc w:val="both"/>
        <w:rPr>
          <w:rFonts w:ascii="Times New Roman" w:hAnsi="Times New Roman"/>
          <w:i/>
          <w:sz w:val="24"/>
          <w:szCs w:val="24"/>
        </w:rPr>
      </w:pPr>
      <w:r w:rsidRPr="00A50A59">
        <w:rPr>
          <w:rFonts w:ascii="Times New Roman" w:hAnsi="Times New Roman"/>
          <w:i/>
          <w:sz w:val="24"/>
          <w:szCs w:val="24"/>
        </w:rPr>
        <w:t xml:space="preserve">Dėl </w:t>
      </w:r>
      <w:r>
        <w:rPr>
          <w:rFonts w:ascii="Times New Roman" w:hAnsi="Times New Roman"/>
          <w:i/>
          <w:sz w:val="24"/>
          <w:szCs w:val="24"/>
        </w:rPr>
        <w:t>bylos procesinės baigties</w:t>
      </w:r>
    </w:p>
    <w:p w14:paraId="2FFACAE4" w14:textId="77777777" w:rsidR="00387ABE" w:rsidRPr="00593CA5" w:rsidRDefault="00387ABE" w:rsidP="00387ABE">
      <w:pPr>
        <w:pStyle w:val="Sraopastraipa"/>
        <w:tabs>
          <w:tab w:val="left" w:pos="567"/>
        </w:tabs>
        <w:spacing w:after="120" w:line="240" w:lineRule="auto"/>
        <w:ind w:left="360"/>
        <w:contextualSpacing w:val="0"/>
        <w:jc w:val="both"/>
        <w:rPr>
          <w:rFonts w:ascii="Times New Roman" w:eastAsia="Calibri" w:hAnsi="Times New Roman"/>
          <w:sz w:val="24"/>
          <w:szCs w:val="24"/>
          <w:lang w:eastAsia="en-US"/>
        </w:rPr>
      </w:pPr>
    </w:p>
    <w:p w14:paraId="4346543C" w14:textId="77777777" w:rsidR="00387ABE" w:rsidRDefault="00387ABE" w:rsidP="00387ABE">
      <w:pPr>
        <w:pStyle w:val="Sraopastraipa"/>
        <w:numPr>
          <w:ilvl w:val="0"/>
          <w:numId w:val="1"/>
        </w:numPr>
        <w:tabs>
          <w:tab w:val="left" w:pos="567"/>
        </w:tabs>
        <w:spacing w:after="120" w:line="240" w:lineRule="auto"/>
        <w:contextualSpacing w:val="0"/>
        <w:jc w:val="both"/>
        <w:rPr>
          <w:rFonts w:ascii="Times New Roman" w:eastAsia="Calibri" w:hAnsi="Times New Roman"/>
          <w:sz w:val="24"/>
          <w:szCs w:val="24"/>
          <w:lang w:eastAsia="en-US"/>
        </w:rPr>
      </w:pPr>
      <w:r w:rsidRPr="00356D31">
        <w:rPr>
          <w:rFonts w:ascii="Times New Roman" w:eastAsia="Calibri" w:hAnsi="Times New Roman"/>
          <w:sz w:val="24"/>
          <w:szCs w:val="24"/>
          <w:lang w:eastAsia="en-US"/>
        </w:rPr>
        <w:t>Remdamasi</w:t>
      </w:r>
      <w:r>
        <w:rPr>
          <w:rFonts w:ascii="Times New Roman" w:eastAsia="Calibri" w:hAnsi="Times New Roman"/>
          <w:sz w:val="24"/>
          <w:szCs w:val="24"/>
          <w:lang w:eastAsia="en-US"/>
        </w:rPr>
        <w:t xml:space="preserve"> tuo, kas </w:t>
      </w:r>
      <w:r w:rsidRPr="00356D31">
        <w:rPr>
          <w:rFonts w:ascii="Times New Roman" w:eastAsia="Calibri" w:hAnsi="Times New Roman"/>
          <w:sz w:val="24"/>
          <w:szCs w:val="24"/>
          <w:lang w:eastAsia="en-US"/>
        </w:rPr>
        <w:t>išdėstyta, teisėjų kolegija konstatuoja, kad kasacini</w:t>
      </w:r>
      <w:r>
        <w:rPr>
          <w:rFonts w:ascii="Times New Roman" w:eastAsia="Calibri" w:hAnsi="Times New Roman"/>
          <w:sz w:val="24"/>
          <w:szCs w:val="24"/>
          <w:lang w:eastAsia="en-US"/>
        </w:rPr>
        <w:t>o</w:t>
      </w:r>
      <w:r w:rsidRPr="00356D31">
        <w:rPr>
          <w:rFonts w:ascii="Times New Roman" w:eastAsia="Calibri" w:hAnsi="Times New Roman"/>
          <w:sz w:val="24"/>
          <w:szCs w:val="24"/>
          <w:lang w:eastAsia="en-US"/>
        </w:rPr>
        <w:t xml:space="preserve"> skund</w:t>
      </w:r>
      <w:r>
        <w:rPr>
          <w:rFonts w:ascii="Times New Roman" w:eastAsia="Calibri" w:hAnsi="Times New Roman"/>
          <w:sz w:val="24"/>
          <w:szCs w:val="24"/>
          <w:lang w:eastAsia="en-US"/>
        </w:rPr>
        <w:t>o</w:t>
      </w:r>
      <w:r w:rsidRPr="00356D31">
        <w:rPr>
          <w:rFonts w:ascii="Times New Roman" w:eastAsia="Calibri" w:hAnsi="Times New Roman"/>
          <w:sz w:val="24"/>
          <w:szCs w:val="24"/>
          <w:lang w:eastAsia="en-US"/>
        </w:rPr>
        <w:t xml:space="preserve"> argumentai nesudaro teisinio pagrindo keisti ar naikinti apeliacinės instancijos teismo </w:t>
      </w:r>
      <w:r>
        <w:rPr>
          <w:rFonts w:ascii="Times New Roman" w:eastAsia="Calibri" w:hAnsi="Times New Roman"/>
          <w:sz w:val="24"/>
          <w:szCs w:val="24"/>
          <w:lang w:eastAsia="en-US"/>
        </w:rPr>
        <w:t>sprendimą,</w:t>
      </w:r>
      <w:r w:rsidRPr="00356D31">
        <w:rPr>
          <w:rFonts w:ascii="Times New Roman" w:eastAsia="Calibri" w:hAnsi="Times New Roman"/>
          <w:sz w:val="24"/>
          <w:szCs w:val="24"/>
          <w:lang w:eastAsia="en-US"/>
        </w:rPr>
        <w:t xml:space="preserve"> </w:t>
      </w:r>
      <w:r>
        <w:rPr>
          <w:rFonts w:ascii="Times New Roman" w:eastAsia="Calibri" w:hAnsi="Times New Roman"/>
          <w:sz w:val="24"/>
          <w:szCs w:val="24"/>
          <w:lang w:eastAsia="en-US"/>
        </w:rPr>
        <w:t>todėl jis</w:t>
      </w:r>
      <w:r w:rsidRPr="00356D31">
        <w:rPr>
          <w:rFonts w:ascii="Times New Roman" w:eastAsia="Calibri" w:hAnsi="Times New Roman"/>
          <w:sz w:val="24"/>
          <w:szCs w:val="24"/>
          <w:lang w:eastAsia="en-US"/>
        </w:rPr>
        <w:t xml:space="preserve"> paliktina</w:t>
      </w:r>
      <w:r>
        <w:rPr>
          <w:rFonts w:ascii="Times New Roman" w:eastAsia="Calibri" w:hAnsi="Times New Roman"/>
          <w:sz w:val="24"/>
          <w:szCs w:val="24"/>
          <w:lang w:eastAsia="en-US"/>
        </w:rPr>
        <w:t>s</w:t>
      </w:r>
      <w:r w:rsidRPr="00356D31">
        <w:rPr>
          <w:rFonts w:ascii="Times New Roman" w:eastAsia="Calibri" w:hAnsi="Times New Roman"/>
          <w:sz w:val="24"/>
          <w:szCs w:val="24"/>
          <w:lang w:eastAsia="en-US"/>
        </w:rPr>
        <w:t xml:space="preserve"> nepakeista</w:t>
      </w:r>
      <w:r>
        <w:rPr>
          <w:rFonts w:ascii="Times New Roman" w:eastAsia="Calibri" w:hAnsi="Times New Roman"/>
          <w:sz w:val="24"/>
          <w:szCs w:val="24"/>
          <w:lang w:eastAsia="en-US"/>
        </w:rPr>
        <w:t>s</w:t>
      </w:r>
      <w:r w:rsidRPr="00356D31">
        <w:rPr>
          <w:rFonts w:ascii="Times New Roman" w:eastAsia="Calibri" w:hAnsi="Times New Roman"/>
          <w:sz w:val="24"/>
          <w:szCs w:val="24"/>
          <w:lang w:eastAsia="en-US"/>
        </w:rPr>
        <w:t xml:space="preserve"> (CPK 359 straipsnio 1 dalies 1 punktas).</w:t>
      </w:r>
      <w:r>
        <w:rPr>
          <w:rFonts w:ascii="Times New Roman" w:eastAsia="Calibri" w:hAnsi="Times New Roman"/>
          <w:sz w:val="24"/>
          <w:szCs w:val="24"/>
          <w:lang w:eastAsia="en-US"/>
        </w:rPr>
        <w:t xml:space="preserve"> </w:t>
      </w:r>
    </w:p>
    <w:p w14:paraId="7C1A5F9B" w14:textId="77777777" w:rsidR="00387ABE" w:rsidRDefault="00387ABE" w:rsidP="00387ABE">
      <w:pPr>
        <w:tabs>
          <w:tab w:val="left" w:pos="567"/>
        </w:tabs>
        <w:spacing w:after="120"/>
        <w:jc w:val="both"/>
        <w:rPr>
          <w:rFonts w:eastAsia="Calibri"/>
          <w:lang w:eastAsia="en-US"/>
        </w:rPr>
      </w:pPr>
    </w:p>
    <w:p w14:paraId="1AD2A709" w14:textId="77777777" w:rsidR="00387ABE" w:rsidRPr="002D7B19" w:rsidRDefault="00387ABE" w:rsidP="00387ABE">
      <w:pPr>
        <w:tabs>
          <w:tab w:val="left" w:pos="567"/>
        </w:tabs>
        <w:spacing w:after="120"/>
        <w:ind w:firstLine="709"/>
        <w:jc w:val="both"/>
        <w:rPr>
          <w:rFonts w:eastAsia="Calibri"/>
          <w:i/>
          <w:iCs/>
          <w:lang w:eastAsia="en-US"/>
        </w:rPr>
      </w:pPr>
      <w:r w:rsidRPr="002D7B19">
        <w:rPr>
          <w:rFonts w:eastAsia="Calibri"/>
          <w:i/>
          <w:iCs/>
          <w:lang w:eastAsia="en-US"/>
        </w:rPr>
        <w:t>Dėl bylinėjimosi išlaidų</w:t>
      </w:r>
    </w:p>
    <w:p w14:paraId="1E5EC323" w14:textId="77777777" w:rsidR="00387ABE" w:rsidRPr="002D7B19" w:rsidRDefault="00387ABE" w:rsidP="00387ABE">
      <w:pPr>
        <w:tabs>
          <w:tab w:val="left" w:pos="567"/>
        </w:tabs>
        <w:spacing w:after="120"/>
        <w:jc w:val="both"/>
        <w:rPr>
          <w:rFonts w:eastAsia="Calibri"/>
          <w:lang w:eastAsia="en-US"/>
        </w:rPr>
      </w:pPr>
    </w:p>
    <w:p w14:paraId="3470D867" w14:textId="77777777" w:rsidR="00387ABE" w:rsidRPr="002D7B19" w:rsidRDefault="00387ABE" w:rsidP="00387ABE">
      <w:pPr>
        <w:pStyle w:val="Sraopastraipa"/>
        <w:numPr>
          <w:ilvl w:val="0"/>
          <w:numId w:val="1"/>
        </w:numPr>
        <w:tabs>
          <w:tab w:val="left" w:pos="567"/>
        </w:tabs>
        <w:spacing w:after="120" w:line="240" w:lineRule="auto"/>
        <w:contextualSpacing w:val="0"/>
        <w:jc w:val="both"/>
        <w:rPr>
          <w:rFonts w:ascii="Times New Roman" w:eastAsia="Calibri" w:hAnsi="Times New Roman"/>
          <w:sz w:val="24"/>
          <w:szCs w:val="24"/>
          <w:lang w:eastAsia="en-US"/>
        </w:rPr>
      </w:pPr>
      <w:r w:rsidRPr="002D7B19">
        <w:rPr>
          <w:rFonts w:ascii="Times New Roman" w:hAnsi="Times New Roman"/>
          <w:sz w:val="24"/>
          <w:szCs w:val="24"/>
        </w:rPr>
        <w:t xml:space="preserve">Vadovaujantis CPK 98 straipsnio 1 dalimi, </w:t>
      </w:r>
      <w:r>
        <w:rPr>
          <w:rFonts w:ascii="Times New Roman" w:hAnsi="Times New Roman"/>
          <w:sz w:val="24"/>
          <w:szCs w:val="24"/>
        </w:rPr>
        <w:t xml:space="preserve">atsakovės </w:t>
      </w:r>
      <w:r w:rsidRPr="002D7B19">
        <w:rPr>
          <w:rFonts w:ascii="Times New Roman" w:hAnsi="Times New Roman"/>
          <w:sz w:val="24"/>
          <w:szCs w:val="24"/>
        </w:rPr>
        <w:t xml:space="preserve">kasacinio skundo netenkinus, teisę į kasaciniame teisme patirtų bylinėjimosi išlaidų atlyginimą įgijo </w:t>
      </w:r>
      <w:r>
        <w:rPr>
          <w:rFonts w:ascii="Times New Roman" w:hAnsi="Times New Roman"/>
          <w:sz w:val="24"/>
          <w:szCs w:val="24"/>
        </w:rPr>
        <w:t>ieškovas</w:t>
      </w:r>
      <w:r w:rsidRPr="002D7B19">
        <w:rPr>
          <w:rFonts w:ascii="Times New Roman" w:hAnsi="Times New Roman"/>
          <w:sz w:val="24"/>
          <w:szCs w:val="24"/>
        </w:rPr>
        <w:t xml:space="preserve">. </w:t>
      </w:r>
      <w:r>
        <w:rPr>
          <w:rFonts w:ascii="Times New Roman" w:hAnsi="Times New Roman"/>
          <w:sz w:val="24"/>
          <w:szCs w:val="24"/>
        </w:rPr>
        <w:t xml:space="preserve">Ieškovas </w:t>
      </w:r>
      <w:r w:rsidRPr="002D7B19">
        <w:rPr>
          <w:rFonts w:ascii="Times New Roman" w:hAnsi="Times New Roman"/>
          <w:sz w:val="24"/>
          <w:szCs w:val="24"/>
        </w:rPr>
        <w:t xml:space="preserve">prašo priteisti  </w:t>
      </w:r>
      <w:r>
        <w:rPr>
          <w:rFonts w:ascii="Times New Roman" w:hAnsi="Times New Roman"/>
          <w:sz w:val="24"/>
          <w:szCs w:val="24"/>
        </w:rPr>
        <w:t>500</w:t>
      </w:r>
      <w:r w:rsidRPr="002D7B19">
        <w:rPr>
          <w:rFonts w:ascii="Times New Roman" w:hAnsi="Times New Roman"/>
          <w:sz w:val="24"/>
          <w:szCs w:val="24"/>
        </w:rPr>
        <w:t xml:space="preserve"> Eur bylinėjimosi išlaidų, patirtų kasaciniame teisme už atsiliepimo į kasacinį skundą parengimą, atlyginimo. Teisėjų kolegija konstatuoja, kad šių bylinėjimosi išlaidų dydis neviršija Rekomendacijų dėl civilinėse bylose priteistino užmokesčio už advokato ar advokato padėjėjo teikiamą pagalbą nustatyto maksimalaus dydžio, patvirtintų Lietuvos Respublikos teisingumo </w:t>
      </w:r>
      <w:r w:rsidRPr="002D7B19">
        <w:rPr>
          <w:rFonts w:ascii="Times New Roman" w:hAnsi="Times New Roman"/>
          <w:sz w:val="24"/>
          <w:szCs w:val="24"/>
        </w:rPr>
        <w:lastRenderedPageBreak/>
        <w:t xml:space="preserve">ministro 2004 m. balandžio 2 d. įsakymu Nr. 1R-85 ir Lietuvos advokatų tarybos 2004 m. kovo 26 d. nutarimu (redakcija, </w:t>
      </w:r>
      <w:r>
        <w:rPr>
          <w:rFonts w:ascii="Times New Roman" w:hAnsi="Times New Roman"/>
          <w:sz w:val="24"/>
          <w:szCs w:val="24"/>
        </w:rPr>
        <w:t>įsi</w:t>
      </w:r>
      <w:r w:rsidRPr="002D7B19">
        <w:rPr>
          <w:rFonts w:ascii="Times New Roman" w:hAnsi="Times New Roman"/>
          <w:sz w:val="24"/>
          <w:szCs w:val="24"/>
        </w:rPr>
        <w:t>galioj</w:t>
      </w:r>
      <w:r>
        <w:rPr>
          <w:rFonts w:ascii="Times New Roman" w:hAnsi="Times New Roman"/>
          <w:sz w:val="24"/>
          <w:szCs w:val="24"/>
        </w:rPr>
        <w:t>usi</w:t>
      </w:r>
      <w:r w:rsidRPr="002D7B19">
        <w:rPr>
          <w:rFonts w:ascii="Times New Roman" w:hAnsi="Times New Roman"/>
          <w:sz w:val="24"/>
          <w:szCs w:val="24"/>
        </w:rPr>
        <w:t xml:space="preserve"> nuo 2015 m. kovo 20 d.), 7 ir 8.14 punktuose nurodytų dydžių, todėl </w:t>
      </w:r>
      <w:r>
        <w:rPr>
          <w:rFonts w:ascii="Times New Roman" w:hAnsi="Times New Roman"/>
          <w:sz w:val="24"/>
          <w:szCs w:val="24"/>
        </w:rPr>
        <w:t xml:space="preserve">ieškovui </w:t>
      </w:r>
      <w:r w:rsidRPr="002D7B19">
        <w:rPr>
          <w:rFonts w:ascii="Times New Roman" w:hAnsi="Times New Roman"/>
          <w:sz w:val="24"/>
          <w:szCs w:val="24"/>
        </w:rPr>
        <w:t xml:space="preserve">iš </w:t>
      </w:r>
      <w:r>
        <w:rPr>
          <w:rFonts w:ascii="Times New Roman" w:hAnsi="Times New Roman"/>
          <w:sz w:val="24"/>
          <w:szCs w:val="24"/>
        </w:rPr>
        <w:t xml:space="preserve">atsakovės </w:t>
      </w:r>
      <w:r w:rsidRPr="002D7B19">
        <w:rPr>
          <w:rFonts w:ascii="Times New Roman" w:hAnsi="Times New Roman"/>
          <w:sz w:val="24"/>
          <w:szCs w:val="24"/>
        </w:rPr>
        <w:t xml:space="preserve">priteistinas </w:t>
      </w:r>
      <w:r>
        <w:rPr>
          <w:rFonts w:ascii="Times New Roman" w:hAnsi="Times New Roman"/>
          <w:sz w:val="24"/>
          <w:szCs w:val="24"/>
        </w:rPr>
        <w:t>500</w:t>
      </w:r>
      <w:r w:rsidRPr="002D7B19">
        <w:rPr>
          <w:rFonts w:ascii="Times New Roman" w:hAnsi="Times New Roman"/>
          <w:sz w:val="24"/>
          <w:szCs w:val="24"/>
        </w:rPr>
        <w:t> Eur bylinėjimosi išlaidų, patirtų kasaciniame teisme, atlyginimas.</w:t>
      </w:r>
    </w:p>
    <w:p w14:paraId="682AB438" w14:textId="77777777" w:rsidR="00387ABE" w:rsidRPr="00686ABD" w:rsidRDefault="00387ABE" w:rsidP="00387ABE">
      <w:pPr>
        <w:pStyle w:val="Sraopastraipa"/>
        <w:spacing w:after="120" w:line="240" w:lineRule="auto"/>
        <w:ind w:left="360"/>
        <w:contextualSpacing w:val="0"/>
        <w:jc w:val="both"/>
        <w:rPr>
          <w:rFonts w:ascii="Times New Roman" w:hAnsi="Times New Roman"/>
          <w:sz w:val="24"/>
          <w:szCs w:val="24"/>
        </w:rPr>
      </w:pPr>
    </w:p>
    <w:p w14:paraId="4950A927" w14:textId="77777777" w:rsidR="00387ABE" w:rsidRPr="00686ABD" w:rsidRDefault="00387ABE" w:rsidP="00387ABE">
      <w:pPr>
        <w:ind w:firstLine="709"/>
        <w:jc w:val="both"/>
      </w:pPr>
      <w:r w:rsidRPr="00686ABD">
        <w:t xml:space="preserve">Lietuvos Aukščiausiojo Teismo Civilinių bylų skyriaus teisėjų kolegija, vadovaudamasi Lietuvos Respublikos civilinio proceso kodekso 359 straipsnio 1 </w:t>
      </w:r>
      <w:r w:rsidRPr="00F53A55">
        <w:t>dalies 1 punktu,</w:t>
      </w:r>
      <w:r w:rsidRPr="00686ABD">
        <w:t xml:space="preserve"> 362 straipsnio 1 dalimi,</w:t>
      </w:r>
    </w:p>
    <w:p w14:paraId="36760AB8" w14:textId="77777777" w:rsidR="00387ABE" w:rsidRPr="00686ABD" w:rsidRDefault="00387ABE" w:rsidP="00387ABE">
      <w:pPr>
        <w:jc w:val="both"/>
      </w:pPr>
    </w:p>
    <w:p w14:paraId="69860E9B" w14:textId="77777777" w:rsidR="00387ABE" w:rsidRPr="00686ABD" w:rsidRDefault="00387ABE" w:rsidP="00387ABE">
      <w:pPr>
        <w:jc w:val="both"/>
      </w:pPr>
      <w:r w:rsidRPr="00686ABD">
        <w:t>n u t a r i a :</w:t>
      </w:r>
    </w:p>
    <w:p w14:paraId="56EB4160" w14:textId="77777777" w:rsidR="00387ABE" w:rsidRDefault="00387ABE" w:rsidP="00387ABE">
      <w:pPr>
        <w:tabs>
          <w:tab w:val="left" w:pos="432"/>
          <w:tab w:val="left" w:pos="993"/>
        </w:tabs>
        <w:ind w:firstLine="709"/>
        <w:jc w:val="both"/>
      </w:pPr>
    </w:p>
    <w:p w14:paraId="1A37DD63" w14:textId="77777777" w:rsidR="00387ABE" w:rsidRPr="00686ABD" w:rsidRDefault="00387ABE" w:rsidP="00387ABE">
      <w:pPr>
        <w:tabs>
          <w:tab w:val="left" w:pos="432"/>
          <w:tab w:val="left" w:pos="993"/>
        </w:tabs>
        <w:ind w:firstLine="709"/>
        <w:jc w:val="both"/>
      </w:pPr>
      <w:r w:rsidRPr="00F53A55">
        <w:t>Šiaulių apygardos teismo Civilinių bylų skyriaus teisėjų kolegij</w:t>
      </w:r>
      <w:r>
        <w:t xml:space="preserve">os </w:t>
      </w:r>
      <w:r w:rsidRPr="00F53A55">
        <w:t>2023 m. rugsėjo 13 d. sprendim</w:t>
      </w:r>
      <w:r>
        <w:t>ą palikti nepakeistą.</w:t>
      </w:r>
    </w:p>
    <w:p w14:paraId="6C34ECD0" w14:textId="77777777" w:rsidR="00387ABE" w:rsidRDefault="00387ABE" w:rsidP="00387ABE">
      <w:pPr>
        <w:tabs>
          <w:tab w:val="left" w:pos="851"/>
          <w:tab w:val="left" w:pos="993"/>
        </w:tabs>
        <w:ind w:firstLine="709"/>
        <w:jc w:val="both"/>
      </w:pPr>
      <w:r>
        <w:t>Priteisti</w:t>
      </w:r>
      <w:r w:rsidRPr="002D7B19">
        <w:t xml:space="preserve"> ieškovui </w:t>
      </w:r>
      <w:r>
        <w:t>„</w:t>
      </w:r>
      <w:r w:rsidRPr="002D7B19">
        <w:t xml:space="preserve">AAS BTA Baltic </w:t>
      </w:r>
      <w:proofErr w:type="spellStart"/>
      <w:r w:rsidRPr="002D7B19">
        <w:t>Insurance</w:t>
      </w:r>
      <w:proofErr w:type="spellEnd"/>
      <w:r w:rsidRPr="002D7B19">
        <w:t xml:space="preserve"> Company“, Lietuvos Respublikoje veikiančiam per </w:t>
      </w:r>
      <w:r>
        <w:t>„</w:t>
      </w:r>
      <w:r w:rsidRPr="002D7B19">
        <w:t xml:space="preserve">AAS BTA Baltic </w:t>
      </w:r>
      <w:proofErr w:type="spellStart"/>
      <w:r w:rsidRPr="002D7B19">
        <w:t>Insurance</w:t>
      </w:r>
      <w:proofErr w:type="spellEnd"/>
      <w:r w:rsidRPr="002D7B19">
        <w:t xml:space="preserve"> Company“ filialą Lietuvoje</w:t>
      </w:r>
      <w:r>
        <w:t xml:space="preserve"> (j. a. k. </w:t>
      </w:r>
      <w:r w:rsidRPr="002D7B19">
        <w:t>300665654</w:t>
      </w:r>
      <w:r>
        <w:t>)</w:t>
      </w:r>
      <w:r w:rsidRPr="002D7B19">
        <w:t>, iš atsakovės uždarosios akcinės bendrovės „Sausumos transportas“</w:t>
      </w:r>
      <w:r>
        <w:t xml:space="preserve"> (j. a. k. </w:t>
      </w:r>
      <w:r w:rsidRPr="002D7B19">
        <w:t>181351531</w:t>
      </w:r>
      <w:r>
        <w:t>)</w:t>
      </w:r>
      <w:r w:rsidRPr="002D7B19">
        <w:t xml:space="preserve"> </w:t>
      </w:r>
      <w:r>
        <w:t>500</w:t>
      </w:r>
      <w:r w:rsidRPr="002D7B19">
        <w:t xml:space="preserve"> (penki</w:t>
      </w:r>
      <w:r>
        <w:t>s</w:t>
      </w:r>
      <w:r w:rsidRPr="002D7B19">
        <w:t xml:space="preserve"> šimt</w:t>
      </w:r>
      <w:r>
        <w:t>us) Eur</w:t>
      </w:r>
      <w:r w:rsidRPr="002D7B19">
        <w:t xml:space="preserve"> bylinėjimosi išlaid</w:t>
      </w:r>
      <w:r>
        <w:t>ų</w:t>
      </w:r>
      <w:r w:rsidRPr="002D7B19">
        <w:t>, patirt</w:t>
      </w:r>
      <w:r>
        <w:t>ų</w:t>
      </w:r>
      <w:r w:rsidRPr="002D7B19">
        <w:t xml:space="preserve"> </w:t>
      </w:r>
      <w:r>
        <w:t xml:space="preserve">kasaciniame </w:t>
      </w:r>
      <w:r w:rsidRPr="002D7B19">
        <w:t>teisme</w:t>
      </w:r>
      <w:r>
        <w:t>, atlyginimo</w:t>
      </w:r>
      <w:r w:rsidRPr="002D7B19">
        <w:t>.</w:t>
      </w:r>
    </w:p>
    <w:p w14:paraId="456DDD33" w14:textId="77777777" w:rsidR="00387ABE" w:rsidRPr="00686ABD" w:rsidRDefault="00387ABE" w:rsidP="00387ABE">
      <w:pPr>
        <w:tabs>
          <w:tab w:val="left" w:pos="851"/>
          <w:tab w:val="left" w:pos="993"/>
        </w:tabs>
        <w:ind w:firstLine="709"/>
        <w:jc w:val="both"/>
      </w:pPr>
      <w:r w:rsidRPr="00686ABD">
        <w:t>Ši Lietuvos Aukščiausiojo Teismo nutartis yra galutinė, neskundžiama ir įsiteisėja nuo priėmimo dienos.</w:t>
      </w:r>
    </w:p>
    <w:p w14:paraId="22CBCE43" w14:textId="77777777" w:rsidR="00387ABE" w:rsidRDefault="00387ABE" w:rsidP="00627B72">
      <w:pPr>
        <w:rPr>
          <w:rFonts w:ascii="Calibri" w:eastAsia="Calibri" w:hAnsi="Calibri"/>
          <w:sz w:val="22"/>
          <w:szCs w:val="22"/>
          <w:lang w:eastAsia="en-US"/>
        </w:rPr>
      </w:pPr>
    </w:p>
    <w:p w14:paraId="2619C873" w14:textId="77777777" w:rsidR="00387ABE" w:rsidRPr="00686ABD" w:rsidRDefault="00387ABE" w:rsidP="00627B72">
      <w:pPr>
        <w:rPr>
          <w:rFonts w:ascii="Calibri" w:eastAsia="Calibri" w:hAnsi="Calibri"/>
          <w:sz w:val="22"/>
          <w:szCs w:val="22"/>
          <w:lang w:eastAsia="en-US"/>
        </w:rPr>
      </w:pPr>
    </w:p>
    <w:p w14:paraId="7FB4A6EB" w14:textId="77777777" w:rsidR="00387ABE" w:rsidRPr="007A6296" w:rsidRDefault="00387ABE" w:rsidP="00627B72">
      <w:pPr>
        <w:jc w:val="both"/>
      </w:pPr>
      <w:r w:rsidRPr="00686ABD">
        <w:t>Teisėjai</w:t>
      </w:r>
      <w:r w:rsidRPr="00686ABD">
        <w:tab/>
      </w:r>
      <w:r w:rsidRPr="00686ABD">
        <w:tab/>
      </w:r>
      <w:r w:rsidRPr="00686ABD">
        <w:tab/>
      </w:r>
      <w:r w:rsidRPr="00686ABD">
        <w:tab/>
      </w:r>
      <w:r w:rsidRPr="00686ABD">
        <w:tab/>
      </w:r>
      <w:r w:rsidRPr="007A6296">
        <w:t xml:space="preserve">Algirdas </w:t>
      </w:r>
      <w:proofErr w:type="spellStart"/>
      <w:r w:rsidRPr="007A6296">
        <w:t>Taminskas</w:t>
      </w:r>
      <w:proofErr w:type="spellEnd"/>
    </w:p>
    <w:p w14:paraId="5074899E" w14:textId="77777777" w:rsidR="00387ABE" w:rsidRPr="007A6296" w:rsidRDefault="00387ABE" w:rsidP="00627B72">
      <w:pPr>
        <w:jc w:val="both"/>
      </w:pPr>
    </w:p>
    <w:p w14:paraId="21D0632B" w14:textId="77777777" w:rsidR="00387ABE" w:rsidRPr="007A6296" w:rsidRDefault="00387ABE" w:rsidP="00627B72">
      <w:pPr>
        <w:ind w:left="5184" w:firstLine="1296"/>
        <w:jc w:val="both"/>
      </w:pPr>
      <w:r w:rsidRPr="007A6296">
        <w:t xml:space="preserve">Agnė </w:t>
      </w:r>
      <w:proofErr w:type="spellStart"/>
      <w:r w:rsidRPr="007A6296">
        <w:t>Tikniūtė</w:t>
      </w:r>
      <w:proofErr w:type="spellEnd"/>
    </w:p>
    <w:p w14:paraId="52792A42" w14:textId="77777777" w:rsidR="00387ABE" w:rsidRPr="007A6296" w:rsidRDefault="00387ABE" w:rsidP="00627B72">
      <w:pPr>
        <w:ind w:left="5184" w:firstLine="1296"/>
        <w:jc w:val="both"/>
      </w:pPr>
    </w:p>
    <w:p w14:paraId="0D570451" w14:textId="77777777" w:rsidR="00387ABE" w:rsidRDefault="00387ABE" w:rsidP="00627B72">
      <w:pPr>
        <w:ind w:left="5184" w:firstLine="1296"/>
        <w:jc w:val="both"/>
      </w:pPr>
      <w:r w:rsidRPr="007A6296">
        <w:t>Dalia Vasarienė</w:t>
      </w:r>
    </w:p>
    <w:p w14:paraId="55D5053C" w14:textId="129196AB" w:rsidR="0069616B" w:rsidRDefault="0069616B" w:rsidP="00627B72">
      <w:pPr>
        <w:tabs>
          <w:tab w:val="left" w:pos="851"/>
          <w:tab w:val="left" w:pos="993"/>
          <w:tab w:val="left" w:pos="1134"/>
        </w:tabs>
        <w:jc w:val="both"/>
        <w:rPr>
          <w:i/>
          <w:iCs/>
        </w:rPr>
      </w:pPr>
    </w:p>
    <w:p w14:paraId="79DB4981" w14:textId="52BC0336" w:rsidR="00D032C7" w:rsidRDefault="0069616B" w:rsidP="00387ABE">
      <w:pPr>
        <w:tabs>
          <w:tab w:val="left" w:pos="851"/>
          <w:tab w:val="left" w:pos="993"/>
          <w:tab w:val="left" w:pos="1134"/>
        </w:tabs>
        <w:spacing w:after="120"/>
        <w:jc w:val="both"/>
      </w:pPr>
      <w:r>
        <w:tab/>
      </w:r>
    </w:p>
    <w:sectPr w:rsidR="00D032C7" w:rsidSect="00C81D1B">
      <w:headerReference w:type="defaul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2C592" w14:textId="77777777" w:rsidR="00C81D1B" w:rsidRDefault="00C81D1B" w:rsidP="006030DD">
      <w:r>
        <w:separator/>
      </w:r>
    </w:p>
  </w:endnote>
  <w:endnote w:type="continuationSeparator" w:id="0">
    <w:p w14:paraId="754C6A34" w14:textId="77777777" w:rsidR="00C81D1B" w:rsidRDefault="00C81D1B"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EUAlbertina">
    <w:altName w:val="EU Albertina"/>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17F69" w14:textId="77777777" w:rsidR="00C81D1B" w:rsidRDefault="00C81D1B" w:rsidP="006030DD">
      <w:r>
        <w:separator/>
      </w:r>
    </w:p>
  </w:footnote>
  <w:footnote w:type="continuationSeparator" w:id="0">
    <w:p w14:paraId="733A64F0" w14:textId="77777777" w:rsidR="00C81D1B" w:rsidRDefault="00C81D1B"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59F9" w14:textId="3B4AFFA8" w:rsidR="009463BE" w:rsidRDefault="009463BE" w:rsidP="00050457">
    <w:pPr>
      <w:pStyle w:val="Antrats"/>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2"/>
        </w:tabs>
        <w:ind w:left="857" w:hanging="432"/>
      </w:pPr>
      <w:rPr>
        <w:rFonts w:ascii="Times New Roman" w:hAnsi="Times New Roman" w:cs="Times New Roman" w:hint="default"/>
        <w:i w:val="0"/>
        <w:sz w:val="24"/>
        <w:szCs w:val="24"/>
      </w:rPr>
    </w:lvl>
    <w:lvl w:ilvl="2">
      <w:start w:val="1"/>
      <w:numFmt w:val="decimal"/>
      <w:lvlText w:val="%1.%2.%3."/>
      <w:lvlJc w:val="left"/>
      <w:pPr>
        <w:ind w:left="206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7"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8485268"/>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2"/>
        </w:tabs>
        <w:ind w:left="857" w:hanging="432"/>
      </w:pPr>
      <w:rPr>
        <w:rFonts w:ascii="Times New Roman" w:hAnsi="Times New Roman" w:cs="Times New Roman" w:hint="default"/>
        <w:i w:val="0"/>
        <w:sz w:val="24"/>
        <w:szCs w:val="24"/>
      </w:rPr>
    </w:lvl>
    <w:lvl w:ilvl="2">
      <w:start w:val="1"/>
      <w:numFmt w:val="decimal"/>
      <w:lvlText w:val="%1.%2.%3."/>
      <w:lvlJc w:val="left"/>
      <w:pPr>
        <w:ind w:left="206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B6544D1"/>
    <w:multiLevelType w:val="multilevel"/>
    <w:tmpl w:val="F3162302"/>
    <w:lvl w:ilvl="0">
      <w:start w:val="1"/>
      <w:numFmt w:val="decimal"/>
      <w:lvlText w:val="%1."/>
      <w:lvlJc w:val="left"/>
      <w:pPr>
        <w:ind w:left="720" w:hanging="360"/>
      </w:pPr>
      <w:rPr>
        <w:rFonts w:hint="default"/>
      </w:rPr>
    </w:lvl>
    <w:lvl w:ilvl="1">
      <w:start w:val="1"/>
      <w:numFmt w:val="decimal"/>
      <w:isLgl/>
      <w:lvlText w:val="%1.%2."/>
      <w:lvlJc w:val="left"/>
      <w:pPr>
        <w:ind w:left="1182" w:hanging="61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6"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3"/>
  </w:num>
  <w:num w:numId="2" w16cid:durableId="603225437">
    <w:abstractNumId w:val="16"/>
  </w:num>
  <w:num w:numId="3" w16cid:durableId="711266755">
    <w:abstractNumId w:val="0"/>
  </w:num>
  <w:num w:numId="4" w16cid:durableId="1161040474">
    <w:abstractNumId w:val="1"/>
  </w:num>
  <w:num w:numId="5" w16cid:durableId="1095126488">
    <w:abstractNumId w:val="8"/>
  </w:num>
  <w:num w:numId="6" w16cid:durableId="32655939">
    <w:abstractNumId w:val="15"/>
  </w:num>
  <w:num w:numId="7" w16cid:durableId="983001567">
    <w:abstractNumId w:val="6"/>
  </w:num>
  <w:num w:numId="8" w16cid:durableId="983050599">
    <w:abstractNumId w:val="7"/>
  </w:num>
  <w:num w:numId="9" w16cid:durableId="1291785569">
    <w:abstractNumId w:val="10"/>
  </w:num>
  <w:num w:numId="10" w16cid:durableId="14693586">
    <w:abstractNumId w:val="9"/>
  </w:num>
  <w:num w:numId="11" w16cid:durableId="996419163">
    <w:abstractNumId w:val="5"/>
  </w:num>
  <w:num w:numId="12" w16cid:durableId="1908495035">
    <w:abstractNumId w:val="2"/>
  </w:num>
  <w:num w:numId="13" w16cid:durableId="1238007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11"/>
  </w:num>
  <w:num w:numId="15" w16cid:durableId="1216698432">
    <w:abstractNumId w:val="14"/>
  </w:num>
  <w:num w:numId="16" w16cid:durableId="1035539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4"/>
  </w:num>
  <w:num w:numId="18" w16cid:durableId="576598697">
    <w:abstractNumId w:val="13"/>
  </w:num>
  <w:num w:numId="19" w16cid:durableId="884676449">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D73"/>
    <w:rsid w:val="00003FC7"/>
    <w:rsid w:val="0000404B"/>
    <w:rsid w:val="000042D5"/>
    <w:rsid w:val="000043F0"/>
    <w:rsid w:val="000046A7"/>
    <w:rsid w:val="00004DCF"/>
    <w:rsid w:val="00005208"/>
    <w:rsid w:val="00005519"/>
    <w:rsid w:val="000057FB"/>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932"/>
    <w:rsid w:val="00014D4E"/>
    <w:rsid w:val="00015040"/>
    <w:rsid w:val="00015138"/>
    <w:rsid w:val="000151BB"/>
    <w:rsid w:val="00015289"/>
    <w:rsid w:val="00015295"/>
    <w:rsid w:val="000153AA"/>
    <w:rsid w:val="000157EE"/>
    <w:rsid w:val="00015A82"/>
    <w:rsid w:val="00015B18"/>
    <w:rsid w:val="00015BC8"/>
    <w:rsid w:val="00015C31"/>
    <w:rsid w:val="00015EDD"/>
    <w:rsid w:val="00015FA9"/>
    <w:rsid w:val="00016309"/>
    <w:rsid w:val="000166A6"/>
    <w:rsid w:val="000169B5"/>
    <w:rsid w:val="00017074"/>
    <w:rsid w:val="0001750D"/>
    <w:rsid w:val="00017B82"/>
    <w:rsid w:val="00017C3D"/>
    <w:rsid w:val="00017F48"/>
    <w:rsid w:val="00017FA9"/>
    <w:rsid w:val="000204A2"/>
    <w:rsid w:val="000204E6"/>
    <w:rsid w:val="00020C4C"/>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478"/>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86A"/>
    <w:rsid w:val="00034AB5"/>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AE"/>
    <w:rsid w:val="00056795"/>
    <w:rsid w:val="0005682B"/>
    <w:rsid w:val="0005755A"/>
    <w:rsid w:val="00057CE9"/>
    <w:rsid w:val="00057DB6"/>
    <w:rsid w:val="000600D9"/>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37B"/>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296E"/>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C1C"/>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C84"/>
    <w:rsid w:val="00095EA4"/>
    <w:rsid w:val="000960FE"/>
    <w:rsid w:val="000961DA"/>
    <w:rsid w:val="00096400"/>
    <w:rsid w:val="00096CEB"/>
    <w:rsid w:val="00096EBD"/>
    <w:rsid w:val="00097085"/>
    <w:rsid w:val="000970DC"/>
    <w:rsid w:val="0009710E"/>
    <w:rsid w:val="0009715A"/>
    <w:rsid w:val="000973D6"/>
    <w:rsid w:val="000975C8"/>
    <w:rsid w:val="00097820"/>
    <w:rsid w:val="000978D0"/>
    <w:rsid w:val="000979BA"/>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694"/>
    <w:rsid w:val="000B2987"/>
    <w:rsid w:val="000B2C7E"/>
    <w:rsid w:val="000B2EA3"/>
    <w:rsid w:val="000B2F6E"/>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34E3"/>
    <w:rsid w:val="000C35D9"/>
    <w:rsid w:val="000C364A"/>
    <w:rsid w:val="000C3670"/>
    <w:rsid w:val="000C3752"/>
    <w:rsid w:val="000C3AE3"/>
    <w:rsid w:val="000C3B27"/>
    <w:rsid w:val="000C3B8A"/>
    <w:rsid w:val="000C3E44"/>
    <w:rsid w:val="000C3F44"/>
    <w:rsid w:val="000C4159"/>
    <w:rsid w:val="000C4219"/>
    <w:rsid w:val="000C424D"/>
    <w:rsid w:val="000C47CE"/>
    <w:rsid w:val="000C4A76"/>
    <w:rsid w:val="000C50D0"/>
    <w:rsid w:val="000C538E"/>
    <w:rsid w:val="000C5A13"/>
    <w:rsid w:val="000C5C48"/>
    <w:rsid w:val="000C5D19"/>
    <w:rsid w:val="000C5E28"/>
    <w:rsid w:val="000C616E"/>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69E"/>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5A3"/>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913"/>
    <w:rsid w:val="000F0063"/>
    <w:rsid w:val="000F034C"/>
    <w:rsid w:val="000F0360"/>
    <w:rsid w:val="000F0417"/>
    <w:rsid w:val="000F056D"/>
    <w:rsid w:val="000F0743"/>
    <w:rsid w:val="000F0937"/>
    <w:rsid w:val="000F09FD"/>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776"/>
    <w:rsid w:val="00103DE2"/>
    <w:rsid w:val="001042AA"/>
    <w:rsid w:val="001045A7"/>
    <w:rsid w:val="00104BD1"/>
    <w:rsid w:val="001050B4"/>
    <w:rsid w:val="001050D3"/>
    <w:rsid w:val="00105362"/>
    <w:rsid w:val="00105408"/>
    <w:rsid w:val="001056E2"/>
    <w:rsid w:val="0010609C"/>
    <w:rsid w:val="001061F5"/>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2BF"/>
    <w:rsid w:val="00115438"/>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4D1F"/>
    <w:rsid w:val="001255E6"/>
    <w:rsid w:val="0012579D"/>
    <w:rsid w:val="00125817"/>
    <w:rsid w:val="00125991"/>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D7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E36"/>
    <w:rsid w:val="00133ED1"/>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F8F"/>
    <w:rsid w:val="00140BAC"/>
    <w:rsid w:val="00140FAC"/>
    <w:rsid w:val="0014101D"/>
    <w:rsid w:val="001411E4"/>
    <w:rsid w:val="001412DE"/>
    <w:rsid w:val="001414B1"/>
    <w:rsid w:val="0014207A"/>
    <w:rsid w:val="001421AF"/>
    <w:rsid w:val="001421F9"/>
    <w:rsid w:val="00142333"/>
    <w:rsid w:val="00142337"/>
    <w:rsid w:val="00142439"/>
    <w:rsid w:val="001426B5"/>
    <w:rsid w:val="001427ED"/>
    <w:rsid w:val="00142A22"/>
    <w:rsid w:val="001430FD"/>
    <w:rsid w:val="00143238"/>
    <w:rsid w:val="0014340F"/>
    <w:rsid w:val="0014360D"/>
    <w:rsid w:val="00145DF0"/>
    <w:rsid w:val="001463E2"/>
    <w:rsid w:val="00151A58"/>
    <w:rsid w:val="0015202D"/>
    <w:rsid w:val="00152A07"/>
    <w:rsid w:val="0015325D"/>
    <w:rsid w:val="00153361"/>
    <w:rsid w:val="00153501"/>
    <w:rsid w:val="00154227"/>
    <w:rsid w:val="00155A76"/>
    <w:rsid w:val="00155E96"/>
    <w:rsid w:val="00155FB8"/>
    <w:rsid w:val="00157102"/>
    <w:rsid w:val="00160762"/>
    <w:rsid w:val="0016322F"/>
    <w:rsid w:val="00163C38"/>
    <w:rsid w:val="00164A30"/>
    <w:rsid w:val="00166EBA"/>
    <w:rsid w:val="001679A6"/>
    <w:rsid w:val="001679B3"/>
    <w:rsid w:val="00172DD9"/>
    <w:rsid w:val="00174438"/>
    <w:rsid w:val="00182622"/>
    <w:rsid w:val="00184C16"/>
    <w:rsid w:val="0018524F"/>
    <w:rsid w:val="00185F44"/>
    <w:rsid w:val="001978B4"/>
    <w:rsid w:val="001A18A8"/>
    <w:rsid w:val="001A1B6D"/>
    <w:rsid w:val="001A1E4D"/>
    <w:rsid w:val="001A409B"/>
    <w:rsid w:val="001A46E7"/>
    <w:rsid w:val="001A57C4"/>
    <w:rsid w:val="001A5956"/>
    <w:rsid w:val="001A5B9A"/>
    <w:rsid w:val="001A6841"/>
    <w:rsid w:val="001B1E6E"/>
    <w:rsid w:val="001B6475"/>
    <w:rsid w:val="001B69A1"/>
    <w:rsid w:val="001C3256"/>
    <w:rsid w:val="001C56C5"/>
    <w:rsid w:val="001C6E67"/>
    <w:rsid w:val="001D3265"/>
    <w:rsid w:val="001D33CD"/>
    <w:rsid w:val="001D5178"/>
    <w:rsid w:val="001D564E"/>
    <w:rsid w:val="001D5F31"/>
    <w:rsid w:val="001E0A46"/>
    <w:rsid w:val="001E2691"/>
    <w:rsid w:val="001E2F99"/>
    <w:rsid w:val="001E5390"/>
    <w:rsid w:val="001E640B"/>
    <w:rsid w:val="001E7CBD"/>
    <w:rsid w:val="001F16B4"/>
    <w:rsid w:val="001F2BFC"/>
    <w:rsid w:val="001F2FE6"/>
    <w:rsid w:val="001F72E9"/>
    <w:rsid w:val="001F73DF"/>
    <w:rsid w:val="0020566A"/>
    <w:rsid w:val="00206AB5"/>
    <w:rsid w:val="00214AC2"/>
    <w:rsid w:val="002170BC"/>
    <w:rsid w:val="0022031E"/>
    <w:rsid w:val="002234B9"/>
    <w:rsid w:val="0022455B"/>
    <w:rsid w:val="00224A22"/>
    <w:rsid w:val="00230C4F"/>
    <w:rsid w:val="00232222"/>
    <w:rsid w:val="00232557"/>
    <w:rsid w:val="00233AA5"/>
    <w:rsid w:val="00234CFF"/>
    <w:rsid w:val="00237EE9"/>
    <w:rsid w:val="002408B6"/>
    <w:rsid w:val="002410E2"/>
    <w:rsid w:val="0024198A"/>
    <w:rsid w:val="0024377C"/>
    <w:rsid w:val="00254E73"/>
    <w:rsid w:val="00264ABB"/>
    <w:rsid w:val="00264BD1"/>
    <w:rsid w:val="0026635E"/>
    <w:rsid w:val="002758DD"/>
    <w:rsid w:val="00280215"/>
    <w:rsid w:val="00280772"/>
    <w:rsid w:val="00283BD3"/>
    <w:rsid w:val="0028751B"/>
    <w:rsid w:val="00290EBC"/>
    <w:rsid w:val="002912A7"/>
    <w:rsid w:val="00292762"/>
    <w:rsid w:val="00292FD3"/>
    <w:rsid w:val="00294075"/>
    <w:rsid w:val="0029464B"/>
    <w:rsid w:val="002950F4"/>
    <w:rsid w:val="002953A8"/>
    <w:rsid w:val="00295A75"/>
    <w:rsid w:val="00297C78"/>
    <w:rsid w:val="002A5B38"/>
    <w:rsid w:val="002B0520"/>
    <w:rsid w:val="002C295B"/>
    <w:rsid w:val="002C2DC4"/>
    <w:rsid w:val="002C785C"/>
    <w:rsid w:val="002C797B"/>
    <w:rsid w:val="002D14F1"/>
    <w:rsid w:val="002D18A9"/>
    <w:rsid w:val="002D38CF"/>
    <w:rsid w:val="002D3F6B"/>
    <w:rsid w:val="002D7B19"/>
    <w:rsid w:val="002E00E3"/>
    <w:rsid w:val="002E67DC"/>
    <w:rsid w:val="002E74E0"/>
    <w:rsid w:val="002F558C"/>
    <w:rsid w:val="002F60B0"/>
    <w:rsid w:val="002F7358"/>
    <w:rsid w:val="003006D0"/>
    <w:rsid w:val="00300ED0"/>
    <w:rsid w:val="003017AD"/>
    <w:rsid w:val="003030C2"/>
    <w:rsid w:val="00303C74"/>
    <w:rsid w:val="00304D4F"/>
    <w:rsid w:val="00305342"/>
    <w:rsid w:val="00305FFA"/>
    <w:rsid w:val="003102F5"/>
    <w:rsid w:val="00311500"/>
    <w:rsid w:val="0031214F"/>
    <w:rsid w:val="00312291"/>
    <w:rsid w:val="00313901"/>
    <w:rsid w:val="00320FF7"/>
    <w:rsid w:val="00321256"/>
    <w:rsid w:val="00322500"/>
    <w:rsid w:val="00322707"/>
    <w:rsid w:val="0032385A"/>
    <w:rsid w:val="00326CDE"/>
    <w:rsid w:val="0033005A"/>
    <w:rsid w:val="00331746"/>
    <w:rsid w:val="00332258"/>
    <w:rsid w:val="00334B71"/>
    <w:rsid w:val="003357CD"/>
    <w:rsid w:val="00335A52"/>
    <w:rsid w:val="003362BB"/>
    <w:rsid w:val="00342F9F"/>
    <w:rsid w:val="00343E7E"/>
    <w:rsid w:val="00347758"/>
    <w:rsid w:val="003521FA"/>
    <w:rsid w:val="00352B28"/>
    <w:rsid w:val="003568D9"/>
    <w:rsid w:val="00360028"/>
    <w:rsid w:val="00364C49"/>
    <w:rsid w:val="0037058D"/>
    <w:rsid w:val="003745D0"/>
    <w:rsid w:val="003758DB"/>
    <w:rsid w:val="003811C4"/>
    <w:rsid w:val="00381C2F"/>
    <w:rsid w:val="00384878"/>
    <w:rsid w:val="00387ABE"/>
    <w:rsid w:val="00390F40"/>
    <w:rsid w:val="00391D29"/>
    <w:rsid w:val="003924C2"/>
    <w:rsid w:val="0039285E"/>
    <w:rsid w:val="00392D1F"/>
    <w:rsid w:val="0039399A"/>
    <w:rsid w:val="00393E36"/>
    <w:rsid w:val="003951B5"/>
    <w:rsid w:val="00396844"/>
    <w:rsid w:val="00396EF1"/>
    <w:rsid w:val="0039752D"/>
    <w:rsid w:val="00397EA9"/>
    <w:rsid w:val="003A0BEA"/>
    <w:rsid w:val="003A5782"/>
    <w:rsid w:val="003A590C"/>
    <w:rsid w:val="003A599C"/>
    <w:rsid w:val="003A70B2"/>
    <w:rsid w:val="003A7C4C"/>
    <w:rsid w:val="003B3477"/>
    <w:rsid w:val="003B3C2F"/>
    <w:rsid w:val="003B431A"/>
    <w:rsid w:val="003C38FF"/>
    <w:rsid w:val="003C5031"/>
    <w:rsid w:val="003C75E7"/>
    <w:rsid w:val="003D2748"/>
    <w:rsid w:val="003D2BFA"/>
    <w:rsid w:val="003D3BF1"/>
    <w:rsid w:val="003D4A16"/>
    <w:rsid w:val="003D594D"/>
    <w:rsid w:val="003E08D7"/>
    <w:rsid w:val="003E401D"/>
    <w:rsid w:val="003E5C10"/>
    <w:rsid w:val="003E6FCF"/>
    <w:rsid w:val="003F158B"/>
    <w:rsid w:val="003F1C65"/>
    <w:rsid w:val="003F55CA"/>
    <w:rsid w:val="003F5E2B"/>
    <w:rsid w:val="00401CF4"/>
    <w:rsid w:val="00401D98"/>
    <w:rsid w:val="00401DD9"/>
    <w:rsid w:val="00410F48"/>
    <w:rsid w:val="00414595"/>
    <w:rsid w:val="00414AB3"/>
    <w:rsid w:val="00424970"/>
    <w:rsid w:val="00425A75"/>
    <w:rsid w:val="00427DA4"/>
    <w:rsid w:val="00431EBC"/>
    <w:rsid w:val="00434461"/>
    <w:rsid w:val="00434AAA"/>
    <w:rsid w:val="004371C0"/>
    <w:rsid w:val="004402D3"/>
    <w:rsid w:val="0044137D"/>
    <w:rsid w:val="00441881"/>
    <w:rsid w:val="00443245"/>
    <w:rsid w:val="004433F1"/>
    <w:rsid w:val="00444F98"/>
    <w:rsid w:val="004476C6"/>
    <w:rsid w:val="00455E1F"/>
    <w:rsid w:val="00463939"/>
    <w:rsid w:val="004640BF"/>
    <w:rsid w:val="00467901"/>
    <w:rsid w:val="00471967"/>
    <w:rsid w:val="0047196E"/>
    <w:rsid w:val="004730AC"/>
    <w:rsid w:val="00473E7C"/>
    <w:rsid w:val="00475C1B"/>
    <w:rsid w:val="004774E2"/>
    <w:rsid w:val="00480A55"/>
    <w:rsid w:val="00487A3E"/>
    <w:rsid w:val="00487FC6"/>
    <w:rsid w:val="004910E9"/>
    <w:rsid w:val="00491CA4"/>
    <w:rsid w:val="00494781"/>
    <w:rsid w:val="00495706"/>
    <w:rsid w:val="004A15AA"/>
    <w:rsid w:val="004A727F"/>
    <w:rsid w:val="004B15FB"/>
    <w:rsid w:val="004B2765"/>
    <w:rsid w:val="004B7BC4"/>
    <w:rsid w:val="004C0DA5"/>
    <w:rsid w:val="004C5599"/>
    <w:rsid w:val="004C59D0"/>
    <w:rsid w:val="004C6B40"/>
    <w:rsid w:val="004C6CF7"/>
    <w:rsid w:val="004D08AE"/>
    <w:rsid w:val="004D1F2D"/>
    <w:rsid w:val="004D6F18"/>
    <w:rsid w:val="004E10F6"/>
    <w:rsid w:val="004E15FF"/>
    <w:rsid w:val="004E1DAA"/>
    <w:rsid w:val="004E2751"/>
    <w:rsid w:val="004E4383"/>
    <w:rsid w:val="004E4AD9"/>
    <w:rsid w:val="004E65EF"/>
    <w:rsid w:val="004F1345"/>
    <w:rsid w:val="004F2E3A"/>
    <w:rsid w:val="004F3169"/>
    <w:rsid w:val="004F6034"/>
    <w:rsid w:val="004F68B8"/>
    <w:rsid w:val="004F792B"/>
    <w:rsid w:val="004F7FC6"/>
    <w:rsid w:val="005006D8"/>
    <w:rsid w:val="00503661"/>
    <w:rsid w:val="0050485D"/>
    <w:rsid w:val="0051220D"/>
    <w:rsid w:val="005129E6"/>
    <w:rsid w:val="0051394C"/>
    <w:rsid w:val="00522F96"/>
    <w:rsid w:val="00523804"/>
    <w:rsid w:val="00531BBD"/>
    <w:rsid w:val="00532ADB"/>
    <w:rsid w:val="0053315E"/>
    <w:rsid w:val="00542083"/>
    <w:rsid w:val="005432C4"/>
    <w:rsid w:val="00544244"/>
    <w:rsid w:val="005444F5"/>
    <w:rsid w:val="00556C1D"/>
    <w:rsid w:val="00556F8E"/>
    <w:rsid w:val="005606B8"/>
    <w:rsid w:val="0056160D"/>
    <w:rsid w:val="00564174"/>
    <w:rsid w:val="00567BAC"/>
    <w:rsid w:val="005708CE"/>
    <w:rsid w:val="00572A20"/>
    <w:rsid w:val="00572AED"/>
    <w:rsid w:val="00573575"/>
    <w:rsid w:val="00573D46"/>
    <w:rsid w:val="00574483"/>
    <w:rsid w:val="00574771"/>
    <w:rsid w:val="005802BA"/>
    <w:rsid w:val="005814CF"/>
    <w:rsid w:val="005819C6"/>
    <w:rsid w:val="00582461"/>
    <w:rsid w:val="005834FA"/>
    <w:rsid w:val="00584E68"/>
    <w:rsid w:val="00586569"/>
    <w:rsid w:val="0058680B"/>
    <w:rsid w:val="00591B93"/>
    <w:rsid w:val="0059215E"/>
    <w:rsid w:val="00592304"/>
    <w:rsid w:val="0059726E"/>
    <w:rsid w:val="005A190E"/>
    <w:rsid w:val="005A3864"/>
    <w:rsid w:val="005A5193"/>
    <w:rsid w:val="005A6DA7"/>
    <w:rsid w:val="005B0A9C"/>
    <w:rsid w:val="005B0B75"/>
    <w:rsid w:val="005B0C75"/>
    <w:rsid w:val="005B3E64"/>
    <w:rsid w:val="005C19C8"/>
    <w:rsid w:val="005C2DB9"/>
    <w:rsid w:val="005D1E9F"/>
    <w:rsid w:val="005D26AB"/>
    <w:rsid w:val="005D3CCF"/>
    <w:rsid w:val="005D4BA3"/>
    <w:rsid w:val="005D506A"/>
    <w:rsid w:val="005D5C29"/>
    <w:rsid w:val="005D7225"/>
    <w:rsid w:val="005D7E92"/>
    <w:rsid w:val="005E1D96"/>
    <w:rsid w:val="005E2E04"/>
    <w:rsid w:val="005E38F4"/>
    <w:rsid w:val="005E7A6F"/>
    <w:rsid w:val="005F0040"/>
    <w:rsid w:val="005F063A"/>
    <w:rsid w:val="005F07BF"/>
    <w:rsid w:val="005F37D9"/>
    <w:rsid w:val="005F5E74"/>
    <w:rsid w:val="005F6B32"/>
    <w:rsid w:val="005F6DFF"/>
    <w:rsid w:val="0060258D"/>
    <w:rsid w:val="00602F45"/>
    <w:rsid w:val="006030DD"/>
    <w:rsid w:val="0060486E"/>
    <w:rsid w:val="00606330"/>
    <w:rsid w:val="00606F47"/>
    <w:rsid w:val="00614ED7"/>
    <w:rsid w:val="00615BE0"/>
    <w:rsid w:val="00622626"/>
    <w:rsid w:val="00622B68"/>
    <w:rsid w:val="0062627D"/>
    <w:rsid w:val="0062660C"/>
    <w:rsid w:val="00627B72"/>
    <w:rsid w:val="006324A5"/>
    <w:rsid w:val="00637FE9"/>
    <w:rsid w:val="00641DCF"/>
    <w:rsid w:val="006428B4"/>
    <w:rsid w:val="006450ED"/>
    <w:rsid w:val="00650C38"/>
    <w:rsid w:val="00650F13"/>
    <w:rsid w:val="00652876"/>
    <w:rsid w:val="00655F4F"/>
    <w:rsid w:val="00657C3D"/>
    <w:rsid w:val="00660F31"/>
    <w:rsid w:val="0066142D"/>
    <w:rsid w:val="00663247"/>
    <w:rsid w:val="00663AA5"/>
    <w:rsid w:val="006661EF"/>
    <w:rsid w:val="006665AB"/>
    <w:rsid w:val="00667078"/>
    <w:rsid w:val="006734C6"/>
    <w:rsid w:val="006769EC"/>
    <w:rsid w:val="00677585"/>
    <w:rsid w:val="00677920"/>
    <w:rsid w:val="006800C6"/>
    <w:rsid w:val="006813EF"/>
    <w:rsid w:val="00682533"/>
    <w:rsid w:val="006830DA"/>
    <w:rsid w:val="00686ABD"/>
    <w:rsid w:val="00690B48"/>
    <w:rsid w:val="00691285"/>
    <w:rsid w:val="006924C3"/>
    <w:rsid w:val="00695FC9"/>
    <w:rsid w:val="0069612A"/>
    <w:rsid w:val="0069616B"/>
    <w:rsid w:val="00696835"/>
    <w:rsid w:val="00697233"/>
    <w:rsid w:val="00697B6C"/>
    <w:rsid w:val="006A37D9"/>
    <w:rsid w:val="006A50C8"/>
    <w:rsid w:val="006A5CAB"/>
    <w:rsid w:val="006B161D"/>
    <w:rsid w:val="006B3A5D"/>
    <w:rsid w:val="006C0657"/>
    <w:rsid w:val="006C0EA5"/>
    <w:rsid w:val="006C11EC"/>
    <w:rsid w:val="006C227F"/>
    <w:rsid w:val="006C333E"/>
    <w:rsid w:val="006C3E02"/>
    <w:rsid w:val="006C4C48"/>
    <w:rsid w:val="006D17ED"/>
    <w:rsid w:val="006D3125"/>
    <w:rsid w:val="006D4B76"/>
    <w:rsid w:val="006E6492"/>
    <w:rsid w:val="007008D2"/>
    <w:rsid w:val="0070203C"/>
    <w:rsid w:val="007030CE"/>
    <w:rsid w:val="00704C34"/>
    <w:rsid w:val="00705AEF"/>
    <w:rsid w:val="0071189D"/>
    <w:rsid w:val="00712087"/>
    <w:rsid w:val="00713870"/>
    <w:rsid w:val="00715519"/>
    <w:rsid w:val="00715E43"/>
    <w:rsid w:val="00715FED"/>
    <w:rsid w:val="007162C9"/>
    <w:rsid w:val="00716E07"/>
    <w:rsid w:val="0072159B"/>
    <w:rsid w:val="007216D8"/>
    <w:rsid w:val="007223F0"/>
    <w:rsid w:val="00724953"/>
    <w:rsid w:val="00737227"/>
    <w:rsid w:val="007426BD"/>
    <w:rsid w:val="00742DDD"/>
    <w:rsid w:val="007465BD"/>
    <w:rsid w:val="007469C2"/>
    <w:rsid w:val="007477EE"/>
    <w:rsid w:val="00747F72"/>
    <w:rsid w:val="0075024B"/>
    <w:rsid w:val="00751F97"/>
    <w:rsid w:val="00753A44"/>
    <w:rsid w:val="0075530F"/>
    <w:rsid w:val="00760C2F"/>
    <w:rsid w:val="0076420E"/>
    <w:rsid w:val="007660F7"/>
    <w:rsid w:val="00773FFB"/>
    <w:rsid w:val="007747E0"/>
    <w:rsid w:val="00776ED7"/>
    <w:rsid w:val="007821D6"/>
    <w:rsid w:val="007828F2"/>
    <w:rsid w:val="0078479D"/>
    <w:rsid w:val="00793F2B"/>
    <w:rsid w:val="00796E0F"/>
    <w:rsid w:val="007A043D"/>
    <w:rsid w:val="007A0BD7"/>
    <w:rsid w:val="007A43C5"/>
    <w:rsid w:val="007A6296"/>
    <w:rsid w:val="007B3788"/>
    <w:rsid w:val="007B62CC"/>
    <w:rsid w:val="007B726D"/>
    <w:rsid w:val="007B7B8E"/>
    <w:rsid w:val="007C0A8B"/>
    <w:rsid w:val="007C1CCB"/>
    <w:rsid w:val="007C7EC7"/>
    <w:rsid w:val="007D13B7"/>
    <w:rsid w:val="007D2B36"/>
    <w:rsid w:val="007D3A35"/>
    <w:rsid w:val="007D4AC2"/>
    <w:rsid w:val="007D4CFF"/>
    <w:rsid w:val="007D61C0"/>
    <w:rsid w:val="007D6CF6"/>
    <w:rsid w:val="007D6E10"/>
    <w:rsid w:val="007D77DB"/>
    <w:rsid w:val="007E0091"/>
    <w:rsid w:val="007E0DDE"/>
    <w:rsid w:val="007E55A5"/>
    <w:rsid w:val="007F18E8"/>
    <w:rsid w:val="007F1C6D"/>
    <w:rsid w:val="007F40AD"/>
    <w:rsid w:val="007F5C38"/>
    <w:rsid w:val="00801D9E"/>
    <w:rsid w:val="00802255"/>
    <w:rsid w:val="0080365D"/>
    <w:rsid w:val="008068F2"/>
    <w:rsid w:val="00806CA4"/>
    <w:rsid w:val="00815BFC"/>
    <w:rsid w:val="0082045C"/>
    <w:rsid w:val="00822402"/>
    <w:rsid w:val="00836A04"/>
    <w:rsid w:val="00841F2D"/>
    <w:rsid w:val="0084318D"/>
    <w:rsid w:val="00846ADE"/>
    <w:rsid w:val="00847FB2"/>
    <w:rsid w:val="00850137"/>
    <w:rsid w:val="0085339D"/>
    <w:rsid w:val="00854A89"/>
    <w:rsid w:val="00862B46"/>
    <w:rsid w:val="00863ECA"/>
    <w:rsid w:val="00872E68"/>
    <w:rsid w:val="008741A6"/>
    <w:rsid w:val="00876A83"/>
    <w:rsid w:val="00881A8A"/>
    <w:rsid w:val="008838C6"/>
    <w:rsid w:val="00884EEC"/>
    <w:rsid w:val="008860AE"/>
    <w:rsid w:val="00887BA0"/>
    <w:rsid w:val="008902BC"/>
    <w:rsid w:val="008905A6"/>
    <w:rsid w:val="00890F67"/>
    <w:rsid w:val="008912F0"/>
    <w:rsid w:val="00893EC5"/>
    <w:rsid w:val="00894694"/>
    <w:rsid w:val="00894EAA"/>
    <w:rsid w:val="00895A04"/>
    <w:rsid w:val="00895C27"/>
    <w:rsid w:val="008A05EE"/>
    <w:rsid w:val="008A4168"/>
    <w:rsid w:val="008A44B6"/>
    <w:rsid w:val="008A5C9D"/>
    <w:rsid w:val="008A6D37"/>
    <w:rsid w:val="008B4C96"/>
    <w:rsid w:val="008B6277"/>
    <w:rsid w:val="008B753B"/>
    <w:rsid w:val="008B77AF"/>
    <w:rsid w:val="008C10A7"/>
    <w:rsid w:val="008C427D"/>
    <w:rsid w:val="008C43EF"/>
    <w:rsid w:val="008C6BE2"/>
    <w:rsid w:val="008D1563"/>
    <w:rsid w:val="008D46B6"/>
    <w:rsid w:val="008D6E36"/>
    <w:rsid w:val="008D7B82"/>
    <w:rsid w:val="008E2480"/>
    <w:rsid w:val="008E6FC0"/>
    <w:rsid w:val="008E7BB6"/>
    <w:rsid w:val="008F1191"/>
    <w:rsid w:val="008F2293"/>
    <w:rsid w:val="008F260B"/>
    <w:rsid w:val="008F56DA"/>
    <w:rsid w:val="00902339"/>
    <w:rsid w:val="009064F7"/>
    <w:rsid w:val="009071DE"/>
    <w:rsid w:val="00907441"/>
    <w:rsid w:val="009122E5"/>
    <w:rsid w:val="009305AD"/>
    <w:rsid w:val="00944860"/>
    <w:rsid w:val="009463BE"/>
    <w:rsid w:val="00946492"/>
    <w:rsid w:val="0095348A"/>
    <w:rsid w:val="00957AA3"/>
    <w:rsid w:val="00961926"/>
    <w:rsid w:val="00962B47"/>
    <w:rsid w:val="00962B8A"/>
    <w:rsid w:val="009644F4"/>
    <w:rsid w:val="00967859"/>
    <w:rsid w:val="00973B44"/>
    <w:rsid w:val="00974244"/>
    <w:rsid w:val="00976A27"/>
    <w:rsid w:val="009817E3"/>
    <w:rsid w:val="009830D4"/>
    <w:rsid w:val="009850B7"/>
    <w:rsid w:val="0098757A"/>
    <w:rsid w:val="00992AE9"/>
    <w:rsid w:val="009943D1"/>
    <w:rsid w:val="009956B6"/>
    <w:rsid w:val="00995F80"/>
    <w:rsid w:val="00996E6F"/>
    <w:rsid w:val="00997E04"/>
    <w:rsid w:val="009A4DBC"/>
    <w:rsid w:val="009B063F"/>
    <w:rsid w:val="009B159F"/>
    <w:rsid w:val="009B430D"/>
    <w:rsid w:val="009B46A6"/>
    <w:rsid w:val="009B6C75"/>
    <w:rsid w:val="009C09B0"/>
    <w:rsid w:val="009C0F94"/>
    <w:rsid w:val="009C1FC3"/>
    <w:rsid w:val="009C336E"/>
    <w:rsid w:val="009C5A59"/>
    <w:rsid w:val="009C7FA5"/>
    <w:rsid w:val="009D0D30"/>
    <w:rsid w:val="009D579B"/>
    <w:rsid w:val="009D74E5"/>
    <w:rsid w:val="009E31E0"/>
    <w:rsid w:val="009E582B"/>
    <w:rsid w:val="009E5BC8"/>
    <w:rsid w:val="009F3B3F"/>
    <w:rsid w:val="009F4624"/>
    <w:rsid w:val="009F5AD4"/>
    <w:rsid w:val="00A00E62"/>
    <w:rsid w:val="00A03A47"/>
    <w:rsid w:val="00A03EE0"/>
    <w:rsid w:val="00A05237"/>
    <w:rsid w:val="00A12969"/>
    <w:rsid w:val="00A156D0"/>
    <w:rsid w:val="00A174BA"/>
    <w:rsid w:val="00A212FC"/>
    <w:rsid w:val="00A21DF2"/>
    <w:rsid w:val="00A22003"/>
    <w:rsid w:val="00A22DBB"/>
    <w:rsid w:val="00A252A6"/>
    <w:rsid w:val="00A26ABD"/>
    <w:rsid w:val="00A32BD1"/>
    <w:rsid w:val="00A4056A"/>
    <w:rsid w:val="00A40B83"/>
    <w:rsid w:val="00A41C09"/>
    <w:rsid w:val="00A44650"/>
    <w:rsid w:val="00A44C17"/>
    <w:rsid w:val="00A519A7"/>
    <w:rsid w:val="00A538A3"/>
    <w:rsid w:val="00A57C15"/>
    <w:rsid w:val="00A600EF"/>
    <w:rsid w:val="00A63C7E"/>
    <w:rsid w:val="00A702D3"/>
    <w:rsid w:val="00A70D41"/>
    <w:rsid w:val="00A72396"/>
    <w:rsid w:val="00A74240"/>
    <w:rsid w:val="00A745B7"/>
    <w:rsid w:val="00A74A1E"/>
    <w:rsid w:val="00A82F3F"/>
    <w:rsid w:val="00A84D94"/>
    <w:rsid w:val="00A913F1"/>
    <w:rsid w:val="00A97FDC"/>
    <w:rsid w:val="00AA4E89"/>
    <w:rsid w:val="00AA566B"/>
    <w:rsid w:val="00AA67CE"/>
    <w:rsid w:val="00AB10F7"/>
    <w:rsid w:val="00AB1767"/>
    <w:rsid w:val="00AB64E5"/>
    <w:rsid w:val="00AC2648"/>
    <w:rsid w:val="00AC2F7F"/>
    <w:rsid w:val="00AC5156"/>
    <w:rsid w:val="00AC6F37"/>
    <w:rsid w:val="00AC74EF"/>
    <w:rsid w:val="00AD071A"/>
    <w:rsid w:val="00AD5644"/>
    <w:rsid w:val="00AD6966"/>
    <w:rsid w:val="00AE3AB7"/>
    <w:rsid w:val="00AE5196"/>
    <w:rsid w:val="00AF22A8"/>
    <w:rsid w:val="00AF2E68"/>
    <w:rsid w:val="00AF3490"/>
    <w:rsid w:val="00B05845"/>
    <w:rsid w:val="00B1172E"/>
    <w:rsid w:val="00B11A28"/>
    <w:rsid w:val="00B13499"/>
    <w:rsid w:val="00B14036"/>
    <w:rsid w:val="00B17496"/>
    <w:rsid w:val="00B20893"/>
    <w:rsid w:val="00B2504C"/>
    <w:rsid w:val="00B27550"/>
    <w:rsid w:val="00B309C4"/>
    <w:rsid w:val="00B36D15"/>
    <w:rsid w:val="00B40482"/>
    <w:rsid w:val="00B407E1"/>
    <w:rsid w:val="00B42120"/>
    <w:rsid w:val="00B4362C"/>
    <w:rsid w:val="00B43CAB"/>
    <w:rsid w:val="00B44466"/>
    <w:rsid w:val="00B44CC7"/>
    <w:rsid w:val="00B5197F"/>
    <w:rsid w:val="00B51CC8"/>
    <w:rsid w:val="00B54BF5"/>
    <w:rsid w:val="00B5621A"/>
    <w:rsid w:val="00B57D4E"/>
    <w:rsid w:val="00B618AB"/>
    <w:rsid w:val="00B65723"/>
    <w:rsid w:val="00B66653"/>
    <w:rsid w:val="00B67903"/>
    <w:rsid w:val="00B71C8B"/>
    <w:rsid w:val="00B757C8"/>
    <w:rsid w:val="00B777AE"/>
    <w:rsid w:val="00B809F2"/>
    <w:rsid w:val="00B80D43"/>
    <w:rsid w:val="00B81929"/>
    <w:rsid w:val="00B81DC0"/>
    <w:rsid w:val="00B84157"/>
    <w:rsid w:val="00B87A41"/>
    <w:rsid w:val="00B90BB4"/>
    <w:rsid w:val="00B9496A"/>
    <w:rsid w:val="00B949EB"/>
    <w:rsid w:val="00B94A28"/>
    <w:rsid w:val="00B94B32"/>
    <w:rsid w:val="00BA67E6"/>
    <w:rsid w:val="00BB111F"/>
    <w:rsid w:val="00BB2C1F"/>
    <w:rsid w:val="00BB629A"/>
    <w:rsid w:val="00BC19C7"/>
    <w:rsid w:val="00BC1DA7"/>
    <w:rsid w:val="00BC4D55"/>
    <w:rsid w:val="00BC5D99"/>
    <w:rsid w:val="00BD06E9"/>
    <w:rsid w:val="00BD081C"/>
    <w:rsid w:val="00BD0C15"/>
    <w:rsid w:val="00BD3381"/>
    <w:rsid w:val="00BD35FE"/>
    <w:rsid w:val="00BD42B4"/>
    <w:rsid w:val="00BD66B6"/>
    <w:rsid w:val="00BE0013"/>
    <w:rsid w:val="00BE2149"/>
    <w:rsid w:val="00BE2403"/>
    <w:rsid w:val="00BE2C95"/>
    <w:rsid w:val="00BE3C8D"/>
    <w:rsid w:val="00BE474F"/>
    <w:rsid w:val="00BE5109"/>
    <w:rsid w:val="00BE565D"/>
    <w:rsid w:val="00BE56D7"/>
    <w:rsid w:val="00BE5E98"/>
    <w:rsid w:val="00BE68B2"/>
    <w:rsid w:val="00BF26BF"/>
    <w:rsid w:val="00BF4513"/>
    <w:rsid w:val="00BF4763"/>
    <w:rsid w:val="00BF6897"/>
    <w:rsid w:val="00C002D1"/>
    <w:rsid w:val="00C01E1E"/>
    <w:rsid w:val="00C04FC3"/>
    <w:rsid w:val="00C130AC"/>
    <w:rsid w:val="00C1467A"/>
    <w:rsid w:val="00C1572D"/>
    <w:rsid w:val="00C17EB1"/>
    <w:rsid w:val="00C2115A"/>
    <w:rsid w:val="00C22BF9"/>
    <w:rsid w:val="00C26887"/>
    <w:rsid w:val="00C2739B"/>
    <w:rsid w:val="00C2743A"/>
    <w:rsid w:val="00C305A3"/>
    <w:rsid w:val="00C32CF4"/>
    <w:rsid w:val="00C35DD8"/>
    <w:rsid w:val="00C37B69"/>
    <w:rsid w:val="00C405B5"/>
    <w:rsid w:val="00C408DE"/>
    <w:rsid w:val="00C436B7"/>
    <w:rsid w:val="00C44127"/>
    <w:rsid w:val="00C46823"/>
    <w:rsid w:val="00C46912"/>
    <w:rsid w:val="00C50CC0"/>
    <w:rsid w:val="00C51AC1"/>
    <w:rsid w:val="00C5277A"/>
    <w:rsid w:val="00C54B75"/>
    <w:rsid w:val="00C57DD2"/>
    <w:rsid w:val="00C629EC"/>
    <w:rsid w:val="00C636FE"/>
    <w:rsid w:val="00C639F8"/>
    <w:rsid w:val="00C65E80"/>
    <w:rsid w:val="00C711D6"/>
    <w:rsid w:val="00C71523"/>
    <w:rsid w:val="00C73B2B"/>
    <w:rsid w:val="00C742A1"/>
    <w:rsid w:val="00C7531A"/>
    <w:rsid w:val="00C80C5D"/>
    <w:rsid w:val="00C81D1B"/>
    <w:rsid w:val="00C82D29"/>
    <w:rsid w:val="00C904E7"/>
    <w:rsid w:val="00C91B9D"/>
    <w:rsid w:val="00C93399"/>
    <w:rsid w:val="00C947EB"/>
    <w:rsid w:val="00C950D9"/>
    <w:rsid w:val="00C96E95"/>
    <w:rsid w:val="00CA23CD"/>
    <w:rsid w:val="00CA2869"/>
    <w:rsid w:val="00CA7CD0"/>
    <w:rsid w:val="00CB1686"/>
    <w:rsid w:val="00CB16E8"/>
    <w:rsid w:val="00CB251E"/>
    <w:rsid w:val="00CB3E6C"/>
    <w:rsid w:val="00CC6BEC"/>
    <w:rsid w:val="00CD02DD"/>
    <w:rsid w:val="00CD5723"/>
    <w:rsid w:val="00CD5FDB"/>
    <w:rsid w:val="00CE2A1A"/>
    <w:rsid w:val="00CE580F"/>
    <w:rsid w:val="00CF0198"/>
    <w:rsid w:val="00CF1D97"/>
    <w:rsid w:val="00CF28A4"/>
    <w:rsid w:val="00CF668E"/>
    <w:rsid w:val="00D01B6E"/>
    <w:rsid w:val="00D032C7"/>
    <w:rsid w:val="00D04C96"/>
    <w:rsid w:val="00D063FE"/>
    <w:rsid w:val="00D072B9"/>
    <w:rsid w:val="00D10B8D"/>
    <w:rsid w:val="00D141BE"/>
    <w:rsid w:val="00D17828"/>
    <w:rsid w:val="00D23096"/>
    <w:rsid w:val="00D2390E"/>
    <w:rsid w:val="00D30C5F"/>
    <w:rsid w:val="00D31627"/>
    <w:rsid w:val="00D34F08"/>
    <w:rsid w:val="00D36E44"/>
    <w:rsid w:val="00D4206B"/>
    <w:rsid w:val="00D43536"/>
    <w:rsid w:val="00D4518F"/>
    <w:rsid w:val="00D466E5"/>
    <w:rsid w:val="00D50CF5"/>
    <w:rsid w:val="00D528B0"/>
    <w:rsid w:val="00D651B9"/>
    <w:rsid w:val="00D66653"/>
    <w:rsid w:val="00D71429"/>
    <w:rsid w:val="00D73208"/>
    <w:rsid w:val="00D7610E"/>
    <w:rsid w:val="00D76F87"/>
    <w:rsid w:val="00D77CF1"/>
    <w:rsid w:val="00D817A5"/>
    <w:rsid w:val="00D833AE"/>
    <w:rsid w:val="00D83726"/>
    <w:rsid w:val="00D837BF"/>
    <w:rsid w:val="00D83FF6"/>
    <w:rsid w:val="00D85709"/>
    <w:rsid w:val="00D94920"/>
    <w:rsid w:val="00DA35B4"/>
    <w:rsid w:val="00DA781B"/>
    <w:rsid w:val="00DB1BE9"/>
    <w:rsid w:val="00DB266C"/>
    <w:rsid w:val="00DB2A8E"/>
    <w:rsid w:val="00DB7E32"/>
    <w:rsid w:val="00DC5B11"/>
    <w:rsid w:val="00DC6601"/>
    <w:rsid w:val="00DC79C2"/>
    <w:rsid w:val="00DD05D6"/>
    <w:rsid w:val="00DD0AA6"/>
    <w:rsid w:val="00DD2473"/>
    <w:rsid w:val="00DD50C5"/>
    <w:rsid w:val="00DE03D1"/>
    <w:rsid w:val="00DE31C5"/>
    <w:rsid w:val="00DE3AA7"/>
    <w:rsid w:val="00DE71EF"/>
    <w:rsid w:val="00DF0D97"/>
    <w:rsid w:val="00DF23D8"/>
    <w:rsid w:val="00DF2EE5"/>
    <w:rsid w:val="00DF54C0"/>
    <w:rsid w:val="00DF56B8"/>
    <w:rsid w:val="00E00128"/>
    <w:rsid w:val="00E006EB"/>
    <w:rsid w:val="00E00F7D"/>
    <w:rsid w:val="00E01743"/>
    <w:rsid w:val="00E01AB7"/>
    <w:rsid w:val="00E06FAB"/>
    <w:rsid w:val="00E0733F"/>
    <w:rsid w:val="00E10969"/>
    <w:rsid w:val="00E10D73"/>
    <w:rsid w:val="00E10DB8"/>
    <w:rsid w:val="00E113D4"/>
    <w:rsid w:val="00E11B8D"/>
    <w:rsid w:val="00E12BEB"/>
    <w:rsid w:val="00E15452"/>
    <w:rsid w:val="00E16306"/>
    <w:rsid w:val="00E2697F"/>
    <w:rsid w:val="00E34489"/>
    <w:rsid w:val="00E34AA0"/>
    <w:rsid w:val="00E35ED9"/>
    <w:rsid w:val="00E40218"/>
    <w:rsid w:val="00E42B22"/>
    <w:rsid w:val="00E4365A"/>
    <w:rsid w:val="00E43A47"/>
    <w:rsid w:val="00E4697F"/>
    <w:rsid w:val="00E478FA"/>
    <w:rsid w:val="00E52409"/>
    <w:rsid w:val="00E57120"/>
    <w:rsid w:val="00E5791B"/>
    <w:rsid w:val="00E57C48"/>
    <w:rsid w:val="00E61FAA"/>
    <w:rsid w:val="00E6333C"/>
    <w:rsid w:val="00E662A7"/>
    <w:rsid w:val="00E66B45"/>
    <w:rsid w:val="00E7024A"/>
    <w:rsid w:val="00E71FEC"/>
    <w:rsid w:val="00E7495D"/>
    <w:rsid w:val="00E753C6"/>
    <w:rsid w:val="00E768B2"/>
    <w:rsid w:val="00E76B5C"/>
    <w:rsid w:val="00E77B80"/>
    <w:rsid w:val="00E84532"/>
    <w:rsid w:val="00E86B8D"/>
    <w:rsid w:val="00E87DEE"/>
    <w:rsid w:val="00E91B04"/>
    <w:rsid w:val="00E92CBE"/>
    <w:rsid w:val="00E93711"/>
    <w:rsid w:val="00E95FA6"/>
    <w:rsid w:val="00EA1D1C"/>
    <w:rsid w:val="00EA3E40"/>
    <w:rsid w:val="00EA5CA7"/>
    <w:rsid w:val="00EB1D32"/>
    <w:rsid w:val="00EB233B"/>
    <w:rsid w:val="00EB2ACE"/>
    <w:rsid w:val="00EC0E0D"/>
    <w:rsid w:val="00EC3A5E"/>
    <w:rsid w:val="00EC7206"/>
    <w:rsid w:val="00ED1652"/>
    <w:rsid w:val="00ED2697"/>
    <w:rsid w:val="00ED5586"/>
    <w:rsid w:val="00EE2C8B"/>
    <w:rsid w:val="00EE3A53"/>
    <w:rsid w:val="00EE4030"/>
    <w:rsid w:val="00EE7161"/>
    <w:rsid w:val="00EE7412"/>
    <w:rsid w:val="00EF0B2F"/>
    <w:rsid w:val="00EF10FE"/>
    <w:rsid w:val="00EF2747"/>
    <w:rsid w:val="00EF2FCC"/>
    <w:rsid w:val="00EF4750"/>
    <w:rsid w:val="00EF77B5"/>
    <w:rsid w:val="00F02839"/>
    <w:rsid w:val="00F04B86"/>
    <w:rsid w:val="00F0570E"/>
    <w:rsid w:val="00F075DC"/>
    <w:rsid w:val="00F104E4"/>
    <w:rsid w:val="00F114EC"/>
    <w:rsid w:val="00F14131"/>
    <w:rsid w:val="00F170A5"/>
    <w:rsid w:val="00F170B7"/>
    <w:rsid w:val="00F218A4"/>
    <w:rsid w:val="00F2232F"/>
    <w:rsid w:val="00F26E07"/>
    <w:rsid w:val="00F32409"/>
    <w:rsid w:val="00F362FA"/>
    <w:rsid w:val="00F426D8"/>
    <w:rsid w:val="00F4341A"/>
    <w:rsid w:val="00F503FE"/>
    <w:rsid w:val="00F52FC9"/>
    <w:rsid w:val="00F53A55"/>
    <w:rsid w:val="00F57996"/>
    <w:rsid w:val="00F606DB"/>
    <w:rsid w:val="00F614DC"/>
    <w:rsid w:val="00F65299"/>
    <w:rsid w:val="00F660C1"/>
    <w:rsid w:val="00F66E5B"/>
    <w:rsid w:val="00F70626"/>
    <w:rsid w:val="00F71D15"/>
    <w:rsid w:val="00F7595D"/>
    <w:rsid w:val="00F80A8F"/>
    <w:rsid w:val="00F83204"/>
    <w:rsid w:val="00F83E2E"/>
    <w:rsid w:val="00F868D5"/>
    <w:rsid w:val="00F86977"/>
    <w:rsid w:val="00F909A2"/>
    <w:rsid w:val="00F9121E"/>
    <w:rsid w:val="00F93DEC"/>
    <w:rsid w:val="00F94B49"/>
    <w:rsid w:val="00F95350"/>
    <w:rsid w:val="00F97F00"/>
    <w:rsid w:val="00FA2AC4"/>
    <w:rsid w:val="00FA416F"/>
    <w:rsid w:val="00FA654A"/>
    <w:rsid w:val="00FA6CA8"/>
    <w:rsid w:val="00FB1345"/>
    <w:rsid w:val="00FB2902"/>
    <w:rsid w:val="00FB351E"/>
    <w:rsid w:val="00FB4ABD"/>
    <w:rsid w:val="00FB515C"/>
    <w:rsid w:val="00FB6E19"/>
    <w:rsid w:val="00FB72BD"/>
    <w:rsid w:val="00FC0FD7"/>
    <w:rsid w:val="00FC2D2D"/>
    <w:rsid w:val="00FC6223"/>
    <w:rsid w:val="00FC7E3E"/>
    <w:rsid w:val="00FD010B"/>
    <w:rsid w:val="00FD0994"/>
    <w:rsid w:val="00FD0A85"/>
    <w:rsid w:val="00FD14CB"/>
    <w:rsid w:val="00FD575C"/>
    <w:rsid w:val="00FE0F4B"/>
    <w:rsid w:val="00FE30DD"/>
    <w:rsid w:val="00FE38FD"/>
    <w:rsid w:val="00FE3F2E"/>
    <w:rsid w:val="00FE4BC1"/>
    <w:rsid w:val="00FE5131"/>
    <w:rsid w:val="00FE5EF0"/>
    <w:rsid w:val="00FE6BFC"/>
    <w:rsid w:val="00FE6DBF"/>
    <w:rsid w:val="00FF2335"/>
    <w:rsid w:val="00FF4268"/>
    <w:rsid w:val="00FF70D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2F9A"/>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styleId="Neapdorotaspaminjimas">
    <w:name w:val="Unresolved Mention"/>
    <w:basedOn w:val="Numatytasispastraiposriftas"/>
    <w:uiPriority w:val="99"/>
    <w:semiHidden/>
    <w:unhideWhenUsed/>
    <w:rsid w:val="00957AA3"/>
    <w:rPr>
      <w:color w:val="605E5C"/>
      <w:shd w:val="clear" w:color="auto" w:fill="E1DFDD"/>
    </w:rPr>
  </w:style>
  <w:style w:type="paragraph" w:customStyle="1" w:styleId="CM4">
    <w:name w:val="CM4"/>
    <w:basedOn w:val="prastasis"/>
    <w:next w:val="prastasis"/>
    <w:uiPriority w:val="99"/>
    <w:rsid w:val="0069616B"/>
    <w:pPr>
      <w:autoSpaceDE w:val="0"/>
      <w:autoSpaceDN w:val="0"/>
      <w:adjustRightInd w:val="0"/>
    </w:pPr>
    <w:rPr>
      <w:rFonts w:ascii="EUAlbertina" w:eastAsiaTheme="minorHAnsi" w:hAnsi="EUAlbertina"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1204">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71053831">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2860469">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5631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a/7755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21127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folex.lt/ta/77554" TargetMode="External"/><Relationship Id="rId4" Type="http://schemas.openxmlformats.org/officeDocument/2006/relationships/settings" Target="settings.xml"/><Relationship Id="rId9" Type="http://schemas.openxmlformats.org/officeDocument/2006/relationships/hyperlink" Target="https://www.infolex.lt/ta/563172" TargetMode="External"/><Relationship Id="rId14" Type="http://schemas.openxmlformats.org/officeDocument/2006/relationships/hyperlink" Target="https://www.infolex.lt/tp/204050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26252</Words>
  <Characters>14964</Characters>
  <Application>Microsoft Office Word</Application>
  <DocSecurity>0</DocSecurity>
  <Lines>124</Lines>
  <Paragraphs>82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Šarūnė Jakucevičienė</cp:lastModifiedBy>
  <cp:revision>3</cp:revision>
  <cp:lastPrinted>2024-03-04T11:46:00Z</cp:lastPrinted>
  <dcterms:created xsi:type="dcterms:W3CDTF">2024-04-10T10:10:00Z</dcterms:created>
  <dcterms:modified xsi:type="dcterms:W3CDTF">2024-04-11T06:46:00Z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ies>
</file>