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14E7" w14:textId="41DE6F70" w:rsidR="00123EE2" w:rsidRPr="00235CC9" w:rsidRDefault="00A80C8A">
      <w:pPr>
        <w:ind w:left="5103"/>
      </w:pPr>
      <w:r w:rsidRPr="00235CC9">
        <w:t>Civilinė byla Nr. </w:t>
      </w:r>
      <w:r w:rsidR="00224288" w:rsidRPr="00235CC9">
        <w:t>e3K-3-56-378/2025</w:t>
      </w:r>
    </w:p>
    <w:p w14:paraId="3B499CF6" w14:textId="466C363F" w:rsidR="00123EE2" w:rsidRPr="00235CC9" w:rsidRDefault="00A80C8A">
      <w:pPr>
        <w:ind w:left="5103"/>
        <w:rPr>
          <w:bCs/>
        </w:rPr>
      </w:pPr>
      <w:r w:rsidRPr="00235CC9">
        <w:t>Teisminio proceso Nr.</w:t>
      </w:r>
      <w:r w:rsidRPr="00235CC9">
        <w:rPr>
          <w:rFonts w:eastAsia="Calibri"/>
        </w:rPr>
        <w:t> </w:t>
      </w:r>
      <w:r w:rsidR="00224288" w:rsidRPr="00235CC9">
        <w:rPr>
          <w:rFonts w:eastAsia="Calibri"/>
        </w:rPr>
        <w:t>2-68-3-02394-2023-4</w:t>
      </w:r>
    </w:p>
    <w:p w14:paraId="1217684E" w14:textId="0D77CE22" w:rsidR="00123EE2" w:rsidRPr="00235CC9" w:rsidRDefault="00A80C8A">
      <w:pPr>
        <w:ind w:left="5103"/>
      </w:pPr>
      <w:r w:rsidRPr="00235CC9">
        <w:t>Procesinio sprendimo kategorij</w:t>
      </w:r>
      <w:r w:rsidR="00756D24" w:rsidRPr="00235CC9">
        <w:t>os:</w:t>
      </w:r>
      <w:r w:rsidR="006D2A9A" w:rsidRPr="00235CC9">
        <w:t xml:space="preserve"> </w:t>
      </w:r>
      <w:r w:rsidR="00371940" w:rsidRPr="00371940">
        <w:t>2.6.8.2</w:t>
      </w:r>
      <w:r w:rsidR="00371940">
        <w:t xml:space="preserve">; </w:t>
      </w:r>
      <w:r w:rsidR="00371940" w:rsidRPr="00371940">
        <w:t>3.3.1.11</w:t>
      </w:r>
    </w:p>
    <w:p w14:paraId="27093122" w14:textId="481203D2" w:rsidR="00123EE2" w:rsidRDefault="00B87E4C" w:rsidP="00B87E4C">
      <w:pPr>
        <w:jc w:val="right"/>
      </w:pPr>
      <w:r>
        <w:t xml:space="preserve"> (S) </w:t>
      </w:r>
    </w:p>
    <w:p w14:paraId="2FD51017" w14:textId="77777777" w:rsidR="00B87E4C" w:rsidRPr="00235CC9" w:rsidRDefault="00B87E4C">
      <w:pPr>
        <w:jc w:val="right"/>
      </w:pPr>
    </w:p>
    <w:p w14:paraId="26AEB30E" w14:textId="30BB8BE9" w:rsidR="00123EE2" w:rsidRPr="00235CC9" w:rsidRDefault="00235CC9">
      <w:pPr>
        <w:jc w:val="center"/>
      </w:pPr>
      <w:r w:rsidRPr="00235CC9">
        <w:rPr>
          <w:noProof/>
        </w:rPr>
        <w:drawing>
          <wp:inline distT="0" distB="0" distL="0" distR="0" wp14:anchorId="7DFF3958" wp14:editId="2FB0E7DB">
            <wp:extent cx="670560" cy="701040"/>
            <wp:effectExtent l="0" t="0" r="0" b="3810"/>
            <wp:docPr id="168074178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 cy="701040"/>
                    </a:xfrm>
                    <a:prstGeom prst="rect">
                      <a:avLst/>
                    </a:prstGeom>
                    <a:noFill/>
                  </pic:spPr>
                </pic:pic>
              </a:graphicData>
            </a:graphic>
          </wp:inline>
        </w:drawing>
      </w:r>
    </w:p>
    <w:p w14:paraId="1717E16D" w14:textId="77777777" w:rsidR="00123EE2" w:rsidRPr="00235CC9" w:rsidRDefault="00123EE2">
      <w:pPr>
        <w:jc w:val="center"/>
      </w:pPr>
    </w:p>
    <w:p w14:paraId="0A2FD510" w14:textId="77777777" w:rsidR="00123EE2" w:rsidRPr="00235CC9" w:rsidRDefault="00A80C8A">
      <w:pPr>
        <w:keepNext/>
        <w:jc w:val="center"/>
        <w:outlineLvl w:val="0"/>
        <w:rPr>
          <w:b/>
          <w:bCs/>
        </w:rPr>
      </w:pPr>
      <w:r w:rsidRPr="00235CC9">
        <w:rPr>
          <w:b/>
          <w:bCs/>
        </w:rPr>
        <w:t>LIETUVOS AUKŠČIAUSIASIS TEISMAS</w:t>
      </w:r>
    </w:p>
    <w:p w14:paraId="680D7EB5" w14:textId="77777777" w:rsidR="00123EE2" w:rsidRPr="00235CC9" w:rsidRDefault="00123EE2">
      <w:pPr>
        <w:keepNext/>
        <w:outlineLvl w:val="0"/>
        <w:rPr>
          <w:b/>
          <w:bCs/>
        </w:rPr>
      </w:pPr>
    </w:p>
    <w:p w14:paraId="68C2D2EC" w14:textId="77777777" w:rsidR="00123EE2" w:rsidRPr="00235CC9" w:rsidRDefault="00A80C8A">
      <w:pPr>
        <w:keepNext/>
        <w:jc w:val="center"/>
        <w:outlineLvl w:val="0"/>
        <w:rPr>
          <w:b/>
          <w:bCs/>
        </w:rPr>
      </w:pPr>
      <w:r w:rsidRPr="00235CC9">
        <w:rPr>
          <w:b/>
          <w:bCs/>
        </w:rPr>
        <w:t>N U T A R T I S</w:t>
      </w:r>
    </w:p>
    <w:p w14:paraId="15229A87" w14:textId="77777777" w:rsidR="00123EE2" w:rsidRPr="00235CC9" w:rsidRDefault="00A80C8A">
      <w:pPr>
        <w:keepNext/>
        <w:jc w:val="center"/>
        <w:outlineLvl w:val="1"/>
      </w:pPr>
      <w:r w:rsidRPr="00235CC9">
        <w:t>LIETUVOS RESPUBLIKOS VARDU</w:t>
      </w:r>
    </w:p>
    <w:p w14:paraId="6B8EEB02" w14:textId="77777777" w:rsidR="00123EE2" w:rsidRPr="00235CC9" w:rsidRDefault="00123EE2"/>
    <w:p w14:paraId="64DA8DE1" w14:textId="0A57ACC0" w:rsidR="00123EE2" w:rsidRPr="00235CC9" w:rsidRDefault="00A80C8A">
      <w:pPr>
        <w:keepNext/>
        <w:jc w:val="center"/>
        <w:outlineLvl w:val="0"/>
        <w:rPr>
          <w:bCs/>
        </w:rPr>
      </w:pPr>
      <w:r w:rsidRPr="00235CC9">
        <w:rPr>
          <w:bCs/>
        </w:rPr>
        <w:t>20</w:t>
      </w:r>
      <w:r w:rsidR="00D02EB5" w:rsidRPr="00235CC9">
        <w:rPr>
          <w:bCs/>
        </w:rPr>
        <w:t>2</w:t>
      </w:r>
      <w:r w:rsidR="000300A7" w:rsidRPr="00235CC9">
        <w:rPr>
          <w:bCs/>
        </w:rPr>
        <w:t>5</w:t>
      </w:r>
      <w:r w:rsidRPr="00235CC9">
        <w:rPr>
          <w:bCs/>
        </w:rPr>
        <w:t xml:space="preserve"> m. </w:t>
      </w:r>
      <w:r w:rsidR="00187845" w:rsidRPr="00235CC9">
        <w:rPr>
          <w:bCs/>
        </w:rPr>
        <w:t>kovo 20</w:t>
      </w:r>
      <w:r w:rsidRPr="00235CC9">
        <w:rPr>
          <w:bCs/>
        </w:rPr>
        <w:t xml:space="preserve"> d.</w:t>
      </w:r>
    </w:p>
    <w:p w14:paraId="2F81EF25" w14:textId="77777777" w:rsidR="00123EE2" w:rsidRPr="00235CC9" w:rsidRDefault="00A80C8A">
      <w:pPr>
        <w:jc w:val="center"/>
      </w:pPr>
      <w:r w:rsidRPr="00235CC9">
        <w:t>Vilnius</w:t>
      </w:r>
    </w:p>
    <w:p w14:paraId="26C02254" w14:textId="77777777" w:rsidR="00123EE2" w:rsidRPr="00235CC9" w:rsidRDefault="00123EE2"/>
    <w:p w14:paraId="33F1B9B9" w14:textId="36636AC9" w:rsidR="00123EE2" w:rsidRPr="00235CC9" w:rsidRDefault="00A80C8A">
      <w:pPr>
        <w:ind w:firstLine="720"/>
        <w:jc w:val="both"/>
      </w:pPr>
      <w:r w:rsidRPr="00235CC9">
        <w:t xml:space="preserve">Lietuvos Aukščiausiojo Teismo Civilinių bylų skyriaus teisėjų kolegija, susidedanti iš teisėjų </w:t>
      </w:r>
      <w:r w:rsidR="00224288" w:rsidRPr="00235CC9">
        <w:t xml:space="preserve">Godos </w:t>
      </w:r>
      <w:proofErr w:type="spellStart"/>
      <w:r w:rsidR="00224288" w:rsidRPr="00235CC9">
        <w:t>Ambrasaitės-Balynienės</w:t>
      </w:r>
      <w:proofErr w:type="spellEnd"/>
      <w:r w:rsidR="00224288" w:rsidRPr="00235CC9">
        <w:t xml:space="preserve">, Gražinos </w:t>
      </w:r>
      <w:proofErr w:type="spellStart"/>
      <w:r w:rsidR="00224288" w:rsidRPr="00235CC9">
        <w:t>Davidonienės</w:t>
      </w:r>
      <w:proofErr w:type="spellEnd"/>
      <w:r w:rsidR="00224288" w:rsidRPr="00235CC9">
        <w:t xml:space="preserve"> (pranešėja) ir Artūro </w:t>
      </w:r>
      <w:proofErr w:type="spellStart"/>
      <w:r w:rsidR="00224288" w:rsidRPr="00235CC9">
        <w:t>Driuko</w:t>
      </w:r>
      <w:proofErr w:type="spellEnd"/>
      <w:r w:rsidR="00224288" w:rsidRPr="00235CC9">
        <w:t xml:space="preserve"> (teisėjų kolegijos pirmininkas),</w:t>
      </w:r>
    </w:p>
    <w:p w14:paraId="5B6EB370" w14:textId="4DFBE6B8" w:rsidR="00123EE2" w:rsidRPr="00235CC9" w:rsidRDefault="00A80C8A">
      <w:pPr>
        <w:ind w:firstLine="720"/>
        <w:jc w:val="both"/>
      </w:pPr>
      <w:r w:rsidRPr="00235CC9">
        <w:t xml:space="preserve">teismo posėdyje kasacine rašytinio proceso tvarka išnagrinėjo civilinę bylą pagal </w:t>
      </w:r>
      <w:bookmarkStart w:id="0" w:name="_Hlk190173879"/>
      <w:r w:rsidR="00224288" w:rsidRPr="00235CC9">
        <w:rPr>
          <w:b/>
        </w:rPr>
        <w:t>ieškovės</w:t>
      </w:r>
      <w:r w:rsidR="000300A7" w:rsidRPr="00235CC9">
        <w:rPr>
          <w:b/>
        </w:rPr>
        <w:t xml:space="preserve"> </w:t>
      </w:r>
      <w:r w:rsidR="00224288" w:rsidRPr="00235CC9">
        <w:rPr>
          <w:b/>
        </w:rPr>
        <w:t>uždarosios akcinės bendrovės „</w:t>
      </w:r>
      <w:proofErr w:type="spellStart"/>
      <w:r w:rsidR="00224288" w:rsidRPr="00235CC9">
        <w:rPr>
          <w:b/>
        </w:rPr>
        <w:t>Vašuokėnų</w:t>
      </w:r>
      <w:proofErr w:type="spellEnd"/>
      <w:r w:rsidR="00224288" w:rsidRPr="00235CC9">
        <w:rPr>
          <w:b/>
        </w:rPr>
        <w:t xml:space="preserve"> vėjas“</w:t>
      </w:r>
      <w:r w:rsidRPr="00235CC9">
        <w:t xml:space="preserve"> kasacinį skundą dėl </w:t>
      </w:r>
      <w:r w:rsidR="00224288" w:rsidRPr="00235CC9">
        <w:t>Vilniaus</w:t>
      </w:r>
      <w:r w:rsidR="000300A7" w:rsidRPr="00235CC9">
        <w:t xml:space="preserve"> apygardos</w:t>
      </w:r>
      <w:r w:rsidR="00FC71F7" w:rsidRPr="00235CC9">
        <w:t xml:space="preserve"> teismo</w:t>
      </w:r>
      <w:r w:rsidR="00756D24" w:rsidRPr="00235CC9">
        <w:t xml:space="preserve"> Civilinių bylų skyriaus teisėjų kolegijos</w:t>
      </w:r>
      <w:r w:rsidR="001E75CD" w:rsidRPr="00235CC9">
        <w:t xml:space="preserve"> </w:t>
      </w:r>
      <w:r w:rsidR="001A298F" w:rsidRPr="00235CC9">
        <w:t>202</w:t>
      </w:r>
      <w:r w:rsidR="00AB6803" w:rsidRPr="00235CC9">
        <w:t>4</w:t>
      </w:r>
      <w:r w:rsidR="001A298F" w:rsidRPr="00235CC9">
        <w:t xml:space="preserve"> m. </w:t>
      </w:r>
      <w:r w:rsidR="000300A7" w:rsidRPr="00235CC9">
        <w:t xml:space="preserve">rugsėjo </w:t>
      </w:r>
      <w:r w:rsidR="00224288" w:rsidRPr="00235CC9">
        <w:t>24</w:t>
      </w:r>
      <w:r w:rsidR="001A298F" w:rsidRPr="00235CC9">
        <w:t xml:space="preserve"> d. nutarties</w:t>
      </w:r>
      <w:r w:rsidRPr="00235CC9">
        <w:t xml:space="preserve"> peržiūrėjimo </w:t>
      </w:r>
      <w:bookmarkEnd w:id="0"/>
      <w:r w:rsidRPr="00235CC9">
        <w:t xml:space="preserve">civilinėje byloje </w:t>
      </w:r>
      <w:r w:rsidR="00224288" w:rsidRPr="00235CC9">
        <w:t xml:space="preserve">pagal </w:t>
      </w:r>
      <w:bookmarkStart w:id="1" w:name="_Hlk190173973"/>
      <w:r w:rsidR="00224288" w:rsidRPr="00235CC9">
        <w:t>ieškovės uždarosios akcinės bendrovės „</w:t>
      </w:r>
      <w:proofErr w:type="spellStart"/>
      <w:r w:rsidR="00224288" w:rsidRPr="00235CC9">
        <w:t>Vašuokėnų</w:t>
      </w:r>
      <w:proofErr w:type="spellEnd"/>
      <w:r w:rsidR="00224288" w:rsidRPr="00235CC9">
        <w:t xml:space="preserve"> vėjas“ ieškinį atsakovei akcinei bendrovei LI</w:t>
      </w:r>
      <w:r w:rsidR="001C7A4F" w:rsidRPr="00235CC9">
        <w:t>T</w:t>
      </w:r>
      <w:r w:rsidR="00224288" w:rsidRPr="00235CC9">
        <w:t>GRID dėl įpareigojimo sudaryti elektros įrenginių prijungimo prie elektros tinklų ketinimų protokolą</w:t>
      </w:r>
      <w:bookmarkEnd w:id="1"/>
      <w:r w:rsidR="00224288" w:rsidRPr="00235CC9">
        <w:t>, išvadą teikianti institucija Valstybinė energetikos reguliavimo taryba</w:t>
      </w:r>
      <w:r w:rsidR="000300A7" w:rsidRPr="00235CC9">
        <w:t>.</w:t>
      </w:r>
    </w:p>
    <w:p w14:paraId="40E6C999" w14:textId="77777777" w:rsidR="00123EE2" w:rsidRPr="00235CC9" w:rsidRDefault="00123EE2" w:rsidP="001E75CD">
      <w:pPr>
        <w:jc w:val="both"/>
      </w:pPr>
    </w:p>
    <w:p w14:paraId="70D0BA5C" w14:textId="77777777" w:rsidR="00123EE2" w:rsidRPr="00235CC9" w:rsidRDefault="00A80C8A">
      <w:pPr>
        <w:ind w:firstLine="720"/>
        <w:jc w:val="both"/>
        <w:rPr>
          <w:b/>
          <w:bCs/>
        </w:rPr>
      </w:pPr>
      <w:r w:rsidRPr="00235CC9">
        <w:t xml:space="preserve">Teisėjų kolegija </w:t>
      </w:r>
    </w:p>
    <w:p w14:paraId="128A5C14" w14:textId="77777777" w:rsidR="00123EE2" w:rsidRPr="00235CC9" w:rsidRDefault="00123EE2" w:rsidP="001E75CD">
      <w:pPr>
        <w:jc w:val="both"/>
        <w:rPr>
          <w:b/>
          <w:bCs/>
        </w:rPr>
      </w:pPr>
    </w:p>
    <w:p w14:paraId="60FB1A18" w14:textId="77777777" w:rsidR="00123EE2" w:rsidRPr="00235CC9" w:rsidRDefault="00A80C8A">
      <w:pPr>
        <w:jc w:val="both"/>
      </w:pPr>
      <w:r w:rsidRPr="00235CC9">
        <w:t>n u s t a t ė :</w:t>
      </w:r>
    </w:p>
    <w:p w14:paraId="1C24F8B7" w14:textId="77777777" w:rsidR="00123EE2" w:rsidRPr="00235CC9" w:rsidRDefault="00123EE2" w:rsidP="001E75CD">
      <w:pPr>
        <w:jc w:val="both"/>
      </w:pPr>
    </w:p>
    <w:p w14:paraId="516650D5" w14:textId="77777777" w:rsidR="00123EE2" w:rsidRPr="00235CC9" w:rsidRDefault="00A80C8A">
      <w:pPr>
        <w:spacing w:after="120"/>
        <w:jc w:val="center"/>
      </w:pPr>
      <w:r w:rsidRPr="00235CC9">
        <w:t>I. Ginčo esmė</w:t>
      </w:r>
    </w:p>
    <w:p w14:paraId="5D37D8BD" w14:textId="77777777" w:rsidR="00123EE2" w:rsidRPr="00235CC9" w:rsidRDefault="00123EE2" w:rsidP="001E75CD">
      <w:pPr>
        <w:spacing w:after="120"/>
      </w:pPr>
    </w:p>
    <w:p w14:paraId="14376F4D" w14:textId="4BE0A803" w:rsidR="0033722A" w:rsidRPr="00B87E4C" w:rsidRDefault="00A80C8A" w:rsidP="001D745F">
      <w:pPr>
        <w:pStyle w:val="Sraopastraipa"/>
        <w:widowControl w:val="0"/>
        <w:numPr>
          <w:ilvl w:val="0"/>
          <w:numId w:val="36"/>
        </w:numPr>
        <w:tabs>
          <w:tab w:val="left" w:pos="426"/>
        </w:tabs>
        <w:suppressAutoHyphens/>
        <w:spacing w:after="120" w:line="240" w:lineRule="auto"/>
        <w:contextualSpacing w:val="0"/>
        <w:jc w:val="both"/>
        <w:rPr>
          <w:rFonts w:ascii="Times New Roman" w:hAnsi="Times New Roman"/>
          <w:color w:val="auto"/>
          <w:sz w:val="24"/>
          <w:szCs w:val="24"/>
          <w:lang w:eastAsia="en-US"/>
        </w:rPr>
      </w:pPr>
      <w:r w:rsidRPr="00F24380">
        <w:rPr>
          <w:rFonts w:ascii="Times New Roman" w:hAnsi="Times New Roman"/>
          <w:sz w:val="24"/>
          <w:szCs w:val="24"/>
        </w:rPr>
        <w:t>Kasacinėje byloje sprendžiama</w:t>
      </w:r>
      <w:r w:rsidR="00C45597" w:rsidRPr="00F24380">
        <w:rPr>
          <w:rFonts w:ascii="Times New Roman" w:hAnsi="Times New Roman"/>
          <w:sz w:val="24"/>
          <w:szCs w:val="24"/>
        </w:rPr>
        <w:t xml:space="preserve"> dėl</w:t>
      </w:r>
      <w:r w:rsidR="006D2A9A" w:rsidRPr="00F24380">
        <w:rPr>
          <w:rFonts w:ascii="Times New Roman" w:hAnsi="Times New Roman"/>
          <w:sz w:val="24"/>
          <w:szCs w:val="24"/>
        </w:rPr>
        <w:t xml:space="preserve"> </w:t>
      </w:r>
      <w:r w:rsidR="002C554D" w:rsidRPr="00F24380">
        <w:rPr>
          <w:rFonts w:ascii="Times New Roman" w:hAnsi="Times New Roman"/>
          <w:sz w:val="24"/>
          <w:szCs w:val="24"/>
        </w:rPr>
        <w:t xml:space="preserve">proceso teisės normų, reglamentuojančių </w:t>
      </w:r>
      <w:r w:rsidR="000300A7" w:rsidRPr="00F24380">
        <w:rPr>
          <w:rFonts w:ascii="Times New Roman" w:hAnsi="Times New Roman"/>
          <w:sz w:val="24"/>
          <w:szCs w:val="24"/>
        </w:rPr>
        <w:t>naujų įrodymų priėmimą</w:t>
      </w:r>
      <w:r w:rsidR="00224288" w:rsidRPr="00F24380">
        <w:rPr>
          <w:rFonts w:ascii="Times New Roman" w:hAnsi="Times New Roman"/>
          <w:sz w:val="24"/>
          <w:szCs w:val="24"/>
        </w:rPr>
        <w:t>, teismo precedentų horizontalųjį poveikį, materiali</w:t>
      </w:r>
      <w:r w:rsidR="001C7A4F" w:rsidRPr="00F24380">
        <w:rPr>
          <w:rFonts w:ascii="Times New Roman" w:hAnsi="Times New Roman"/>
          <w:sz w:val="24"/>
          <w:szCs w:val="24"/>
        </w:rPr>
        <w:t>osios</w:t>
      </w:r>
      <w:r w:rsidR="00224288" w:rsidRPr="00F24380">
        <w:rPr>
          <w:rFonts w:ascii="Times New Roman" w:hAnsi="Times New Roman"/>
          <w:sz w:val="24"/>
          <w:szCs w:val="24"/>
        </w:rPr>
        <w:t xml:space="preserve"> teisės normų, reglamentuojančių elektros energijos gamintojo pasinaudojimo elektros tinklais tvarką</w:t>
      </w:r>
      <w:r w:rsidR="00D33D05" w:rsidRPr="00F24380">
        <w:rPr>
          <w:rFonts w:ascii="Times New Roman" w:hAnsi="Times New Roman"/>
          <w:sz w:val="24"/>
          <w:szCs w:val="24"/>
        </w:rPr>
        <w:t>,</w:t>
      </w:r>
      <w:r w:rsidRPr="00235CC9">
        <w:rPr>
          <w:rFonts w:ascii="Times New Roman" w:hAnsi="Times New Roman"/>
          <w:sz w:val="24"/>
          <w:szCs w:val="24"/>
        </w:rPr>
        <w:t xml:space="preserve"> aiškinimo ir taikymo.</w:t>
      </w:r>
      <w:r w:rsidR="000300A7" w:rsidRPr="00235CC9">
        <w:rPr>
          <w:rFonts w:ascii="Times New Roman" w:hAnsi="Times New Roman"/>
          <w:sz w:val="24"/>
          <w:szCs w:val="24"/>
        </w:rPr>
        <w:t xml:space="preserve"> </w:t>
      </w:r>
      <w:bookmarkStart w:id="2" w:name="Buk_714"/>
    </w:p>
    <w:p w14:paraId="014C53F7" w14:textId="0FF0A6BD" w:rsidR="0033722A" w:rsidRPr="00B87E4C" w:rsidRDefault="0033722A" w:rsidP="001D745F">
      <w:pPr>
        <w:pStyle w:val="Sraopastraipa"/>
        <w:widowControl w:val="0"/>
        <w:numPr>
          <w:ilvl w:val="0"/>
          <w:numId w:val="36"/>
        </w:numPr>
        <w:tabs>
          <w:tab w:val="left" w:pos="426"/>
        </w:tabs>
        <w:suppressAutoHyphens/>
        <w:spacing w:after="120" w:line="240" w:lineRule="auto"/>
        <w:contextualSpacing w:val="0"/>
        <w:jc w:val="both"/>
        <w:rPr>
          <w:rFonts w:ascii="Times New Roman" w:hAnsi="Times New Roman"/>
          <w:color w:val="auto"/>
          <w:sz w:val="24"/>
          <w:szCs w:val="24"/>
          <w:lang w:eastAsia="en-US"/>
        </w:rPr>
      </w:pPr>
      <w:r w:rsidRPr="00B87E4C">
        <w:rPr>
          <w:rFonts w:ascii="Times New Roman" w:hAnsi="Times New Roman"/>
          <w:color w:val="auto"/>
          <w:sz w:val="24"/>
          <w:szCs w:val="24"/>
        </w:rPr>
        <w:t xml:space="preserve">Ieškovė </w:t>
      </w:r>
      <w:r w:rsidRPr="00B87E4C">
        <w:rPr>
          <w:rFonts w:ascii="Times New Roman" w:hAnsi="Times New Roman"/>
          <w:color w:val="auto"/>
          <w:sz w:val="24"/>
          <w:szCs w:val="24"/>
          <w:lang w:eastAsia="en-US"/>
        </w:rPr>
        <w:t>kreipėsi į teismą</w:t>
      </w:r>
      <w:r w:rsidR="00533771" w:rsidRPr="00B87E4C">
        <w:rPr>
          <w:rFonts w:ascii="Times New Roman" w:hAnsi="Times New Roman"/>
          <w:color w:val="auto"/>
          <w:sz w:val="24"/>
          <w:szCs w:val="24"/>
          <w:lang w:eastAsia="en-US"/>
        </w:rPr>
        <w:t>,</w:t>
      </w:r>
      <w:r w:rsidRPr="00B87E4C">
        <w:rPr>
          <w:rFonts w:ascii="Times New Roman" w:hAnsi="Times New Roman"/>
          <w:color w:val="auto"/>
          <w:sz w:val="24"/>
          <w:szCs w:val="24"/>
          <w:lang w:eastAsia="en-US"/>
        </w:rPr>
        <w:t xml:space="preserve"> su ieškiniu prašydama </w:t>
      </w:r>
      <w:bookmarkStart w:id="3" w:name="_Hlk192683494"/>
      <w:r w:rsidRPr="00B87E4C">
        <w:rPr>
          <w:rFonts w:ascii="Times New Roman" w:hAnsi="Times New Roman"/>
          <w:color w:val="auto"/>
          <w:sz w:val="24"/>
          <w:szCs w:val="24"/>
          <w:lang w:eastAsia="en-US"/>
        </w:rPr>
        <w:t xml:space="preserve">įpareigoti atsakovę po Lietuvos Respublikos elektros energetikos įstatymo (toliau – </w:t>
      </w:r>
      <w:r w:rsidR="0017069C" w:rsidRPr="00B87E4C">
        <w:rPr>
          <w:rFonts w:ascii="Times New Roman" w:hAnsi="Times New Roman"/>
          <w:color w:val="auto"/>
          <w:sz w:val="24"/>
          <w:szCs w:val="24"/>
          <w:lang w:eastAsia="en-US"/>
        </w:rPr>
        <w:t xml:space="preserve">ir </w:t>
      </w:r>
      <w:r w:rsidRPr="00B87E4C">
        <w:rPr>
          <w:rFonts w:ascii="Times New Roman" w:hAnsi="Times New Roman"/>
          <w:color w:val="auto"/>
          <w:sz w:val="24"/>
          <w:szCs w:val="24"/>
          <w:lang w:eastAsia="en-US"/>
        </w:rPr>
        <w:t>EEĮ) 73</w:t>
      </w:r>
      <w:r w:rsidRPr="00B87E4C">
        <w:rPr>
          <w:rFonts w:ascii="Times New Roman" w:hAnsi="Times New Roman"/>
          <w:color w:val="auto"/>
          <w:sz w:val="24"/>
          <w:szCs w:val="24"/>
          <w:vertAlign w:val="superscript"/>
          <w:lang w:eastAsia="en-US"/>
        </w:rPr>
        <w:t>2</w:t>
      </w:r>
      <w:r w:rsidRPr="00B87E4C">
        <w:rPr>
          <w:rFonts w:ascii="Times New Roman" w:hAnsi="Times New Roman"/>
          <w:color w:val="auto"/>
          <w:sz w:val="24"/>
          <w:szCs w:val="24"/>
          <w:lang w:eastAsia="en-US"/>
        </w:rPr>
        <w:t xml:space="preserve"> straipsnyje nurodytų procedūrų atlikimo sudaryti su ieškove </w:t>
      </w:r>
      <w:r w:rsidR="00B41215" w:rsidRPr="00B87E4C">
        <w:rPr>
          <w:rFonts w:ascii="Times New Roman" w:hAnsi="Times New Roman"/>
          <w:color w:val="auto"/>
          <w:sz w:val="24"/>
          <w:szCs w:val="24"/>
          <w:lang w:eastAsia="en-US"/>
        </w:rPr>
        <w:t xml:space="preserve">ketinimų protokolą </w:t>
      </w:r>
      <w:r w:rsidRPr="00B87E4C">
        <w:rPr>
          <w:rFonts w:ascii="Times New Roman" w:hAnsi="Times New Roman"/>
          <w:color w:val="auto"/>
          <w:sz w:val="24"/>
          <w:szCs w:val="24"/>
          <w:lang w:eastAsia="en-US"/>
        </w:rPr>
        <w:t xml:space="preserve">pagal Valstybinės energetikos reguliavimo tarybos (toliau – VERT) 2022 m. birželio 3 d. nutarimu </w:t>
      </w:r>
      <w:r w:rsidR="00533771" w:rsidRPr="00B87E4C">
        <w:rPr>
          <w:rFonts w:ascii="Times New Roman" w:hAnsi="Times New Roman"/>
          <w:color w:val="auto"/>
          <w:sz w:val="24"/>
          <w:szCs w:val="24"/>
          <w:lang w:eastAsia="en-US"/>
        </w:rPr>
        <w:t>Nr. </w:t>
      </w:r>
      <w:r w:rsidRPr="00B87E4C">
        <w:rPr>
          <w:rFonts w:ascii="Times New Roman" w:hAnsi="Times New Roman"/>
          <w:color w:val="auto"/>
          <w:sz w:val="24"/>
          <w:szCs w:val="24"/>
          <w:lang w:eastAsia="en-US"/>
        </w:rPr>
        <w:t>O3E-832 „Dėl LITGRID AB elektros energijos gamintojų pasinaudojimo elektros perdavimo tinklais tvarkos aprašo derinimo“ patvirtintą tipinę ketinimų protokolo formą ir 2022</w:t>
      </w:r>
      <w:r w:rsidR="00533771" w:rsidRPr="00B87E4C">
        <w:rPr>
          <w:rFonts w:ascii="Times New Roman" w:hAnsi="Times New Roman"/>
          <w:color w:val="auto"/>
          <w:sz w:val="24"/>
          <w:szCs w:val="24"/>
          <w:lang w:eastAsia="en-US"/>
        </w:rPr>
        <w:t> </w:t>
      </w:r>
      <w:r w:rsidRPr="00B87E4C">
        <w:rPr>
          <w:rFonts w:ascii="Times New Roman" w:hAnsi="Times New Roman"/>
          <w:color w:val="auto"/>
          <w:sz w:val="24"/>
          <w:szCs w:val="24"/>
          <w:lang w:eastAsia="en-US"/>
        </w:rPr>
        <w:t>m. rugpjūčio 4 d. išankstines prijungimo sąlygas Nr. 22SD-3318, kurios ieškovei išduotos atsakovės, 250 MW leistinos generuoti galios (250 MW įrengtosios galios) vėjo elektrin</w:t>
      </w:r>
      <w:r w:rsidR="00B41215" w:rsidRPr="00B87E4C">
        <w:rPr>
          <w:rFonts w:ascii="Times New Roman" w:hAnsi="Times New Roman"/>
          <w:color w:val="auto"/>
          <w:sz w:val="24"/>
          <w:szCs w:val="24"/>
          <w:lang w:eastAsia="en-US"/>
        </w:rPr>
        <w:t>ei prijungti</w:t>
      </w:r>
      <w:r w:rsidRPr="00B87E4C">
        <w:rPr>
          <w:rFonts w:ascii="Times New Roman" w:hAnsi="Times New Roman"/>
          <w:color w:val="auto"/>
          <w:sz w:val="24"/>
          <w:szCs w:val="24"/>
          <w:lang w:eastAsia="en-US"/>
        </w:rPr>
        <w:t xml:space="preserve"> prie 330 </w:t>
      </w:r>
      <w:proofErr w:type="spellStart"/>
      <w:r w:rsidRPr="00B87E4C">
        <w:rPr>
          <w:rFonts w:ascii="Times New Roman" w:hAnsi="Times New Roman"/>
          <w:color w:val="auto"/>
          <w:sz w:val="24"/>
          <w:szCs w:val="24"/>
          <w:lang w:eastAsia="en-US"/>
        </w:rPr>
        <w:t>kV</w:t>
      </w:r>
      <w:proofErr w:type="spellEnd"/>
      <w:r w:rsidRPr="00B87E4C">
        <w:rPr>
          <w:rFonts w:ascii="Times New Roman" w:hAnsi="Times New Roman"/>
          <w:color w:val="auto"/>
          <w:sz w:val="24"/>
          <w:szCs w:val="24"/>
          <w:lang w:eastAsia="en-US"/>
        </w:rPr>
        <w:t xml:space="preserve"> elektros linijos Utena–Panevėžys. </w:t>
      </w:r>
    </w:p>
    <w:bookmarkEnd w:id="3"/>
    <w:p w14:paraId="73FC8294" w14:textId="27AB7720" w:rsidR="00235CC9" w:rsidRPr="00B87E4C" w:rsidRDefault="0033722A" w:rsidP="001D745F">
      <w:pPr>
        <w:pStyle w:val="Sraopastraipa"/>
        <w:widowControl w:val="0"/>
        <w:numPr>
          <w:ilvl w:val="0"/>
          <w:numId w:val="36"/>
        </w:numPr>
        <w:tabs>
          <w:tab w:val="left" w:pos="426"/>
        </w:tabs>
        <w:suppressAutoHyphens/>
        <w:spacing w:after="120" w:line="240" w:lineRule="auto"/>
        <w:contextualSpacing w:val="0"/>
        <w:jc w:val="both"/>
        <w:rPr>
          <w:rFonts w:ascii="Times New Roman" w:hAnsi="Times New Roman"/>
          <w:color w:val="auto"/>
          <w:sz w:val="24"/>
          <w:szCs w:val="24"/>
          <w:lang w:eastAsia="en-US"/>
        </w:rPr>
      </w:pPr>
      <w:r w:rsidRPr="00B87E4C">
        <w:rPr>
          <w:rFonts w:ascii="Times New Roman" w:hAnsi="Times New Roman"/>
          <w:color w:val="auto"/>
          <w:sz w:val="24"/>
          <w:szCs w:val="24"/>
          <w:lang w:eastAsia="en-US"/>
        </w:rPr>
        <w:t xml:space="preserve">Ieškinyje nurodė, kad </w:t>
      </w:r>
      <w:r w:rsidR="00235CC9" w:rsidRPr="00B87E4C">
        <w:rPr>
          <w:rFonts w:ascii="Times New Roman" w:hAnsi="Times New Roman"/>
          <w:color w:val="auto"/>
          <w:sz w:val="24"/>
          <w:szCs w:val="24"/>
          <w:lang w:eastAsia="en-US"/>
        </w:rPr>
        <w:t>ji</w:t>
      </w:r>
      <w:r w:rsidRPr="00B87E4C">
        <w:rPr>
          <w:rFonts w:ascii="Times New Roman" w:hAnsi="Times New Roman"/>
          <w:color w:val="auto"/>
          <w:sz w:val="24"/>
          <w:szCs w:val="24"/>
          <w:lang w:eastAsia="en-US"/>
        </w:rPr>
        <w:t xml:space="preserve"> siekia tapti atsinaujinanč</w:t>
      </w:r>
      <w:r w:rsidR="0059342D" w:rsidRPr="00B87E4C">
        <w:rPr>
          <w:rFonts w:ascii="Times New Roman" w:hAnsi="Times New Roman"/>
          <w:color w:val="auto"/>
          <w:sz w:val="24"/>
          <w:szCs w:val="24"/>
          <w:lang w:eastAsia="en-US"/>
        </w:rPr>
        <w:t>ių išteklių</w:t>
      </w:r>
      <w:r w:rsidRPr="00B87E4C">
        <w:rPr>
          <w:rFonts w:ascii="Times New Roman" w:hAnsi="Times New Roman"/>
          <w:color w:val="auto"/>
          <w:sz w:val="24"/>
          <w:szCs w:val="24"/>
          <w:lang w:eastAsia="en-US"/>
        </w:rPr>
        <w:t xml:space="preserve"> energijos gamintoja. Kad galėtų </w:t>
      </w:r>
      <w:r w:rsidR="00533771" w:rsidRPr="00B87E4C">
        <w:rPr>
          <w:rFonts w:ascii="Times New Roman" w:hAnsi="Times New Roman"/>
          <w:color w:val="auto"/>
          <w:sz w:val="24"/>
          <w:szCs w:val="24"/>
          <w:lang w:eastAsia="en-US"/>
        </w:rPr>
        <w:t>plėto</w:t>
      </w:r>
      <w:r w:rsidRPr="00B87E4C">
        <w:rPr>
          <w:rFonts w:ascii="Times New Roman" w:hAnsi="Times New Roman"/>
          <w:color w:val="auto"/>
          <w:sz w:val="24"/>
          <w:szCs w:val="24"/>
          <w:lang w:eastAsia="en-US"/>
        </w:rPr>
        <w:t>ti atsinaujinanči</w:t>
      </w:r>
      <w:r w:rsidR="0059342D" w:rsidRPr="00B87E4C">
        <w:rPr>
          <w:rFonts w:ascii="Times New Roman" w:hAnsi="Times New Roman"/>
          <w:color w:val="auto"/>
          <w:sz w:val="24"/>
          <w:szCs w:val="24"/>
          <w:lang w:eastAsia="en-US"/>
        </w:rPr>
        <w:t>ų išteklių</w:t>
      </w:r>
      <w:r w:rsidRPr="00B87E4C">
        <w:rPr>
          <w:rFonts w:ascii="Times New Roman" w:hAnsi="Times New Roman"/>
          <w:color w:val="auto"/>
          <w:sz w:val="24"/>
          <w:szCs w:val="24"/>
          <w:lang w:eastAsia="en-US"/>
        </w:rPr>
        <w:t xml:space="preserve"> energijos elektrinių parkus, ieškovė privalo su atsakove pasirašyti ketinimų protokolą. Pastaruoju ieškovė įsipareigotų atlikti transformatorių pastotės projektavimo darbus, o atsakovė – prijungti elektrinių parką prie elektros tinklų. Tuo tikslu ieškovė 2022 m. </w:t>
      </w:r>
      <w:r w:rsidRPr="00B87E4C">
        <w:rPr>
          <w:rFonts w:ascii="Times New Roman" w:hAnsi="Times New Roman"/>
          <w:color w:val="auto"/>
          <w:sz w:val="24"/>
          <w:szCs w:val="24"/>
          <w:lang w:eastAsia="en-US"/>
        </w:rPr>
        <w:lastRenderedPageBreak/>
        <w:t>birželio 17</w:t>
      </w:r>
      <w:r w:rsidR="00533771" w:rsidRPr="00B87E4C">
        <w:rPr>
          <w:rFonts w:ascii="Times New Roman" w:hAnsi="Times New Roman"/>
          <w:color w:val="auto"/>
          <w:sz w:val="24"/>
          <w:szCs w:val="24"/>
          <w:lang w:eastAsia="en-US"/>
        </w:rPr>
        <w:t> </w:t>
      </w:r>
      <w:r w:rsidRPr="00B87E4C">
        <w:rPr>
          <w:rFonts w:ascii="Times New Roman" w:hAnsi="Times New Roman"/>
          <w:color w:val="auto"/>
          <w:sz w:val="24"/>
          <w:szCs w:val="24"/>
          <w:lang w:eastAsia="en-US"/>
        </w:rPr>
        <w:t>d. kreipėsi į atsakovę su prašymu išduoti išankstines prijungimo sąlygas 250 MW leistinos generuoti galios vėjo elektrin</w:t>
      </w:r>
      <w:r w:rsidR="00533771" w:rsidRPr="00B87E4C">
        <w:rPr>
          <w:rFonts w:ascii="Times New Roman" w:hAnsi="Times New Roman"/>
          <w:color w:val="auto"/>
          <w:sz w:val="24"/>
          <w:szCs w:val="24"/>
          <w:lang w:eastAsia="en-US"/>
        </w:rPr>
        <w:t>ei</w:t>
      </w:r>
      <w:r w:rsidRPr="00B87E4C">
        <w:rPr>
          <w:rFonts w:ascii="Times New Roman" w:hAnsi="Times New Roman"/>
          <w:color w:val="auto"/>
          <w:sz w:val="24"/>
          <w:szCs w:val="24"/>
          <w:lang w:eastAsia="en-US"/>
        </w:rPr>
        <w:t xml:space="preserve"> prijung</w:t>
      </w:r>
      <w:r w:rsidR="00533771" w:rsidRPr="00B87E4C">
        <w:rPr>
          <w:rFonts w:ascii="Times New Roman" w:hAnsi="Times New Roman"/>
          <w:color w:val="auto"/>
          <w:sz w:val="24"/>
          <w:szCs w:val="24"/>
          <w:lang w:eastAsia="en-US"/>
        </w:rPr>
        <w:t>t</w:t>
      </w:r>
      <w:r w:rsidRPr="00B87E4C">
        <w:rPr>
          <w:rFonts w:ascii="Times New Roman" w:hAnsi="Times New Roman"/>
          <w:color w:val="auto"/>
          <w:sz w:val="24"/>
          <w:szCs w:val="24"/>
          <w:lang w:eastAsia="en-US"/>
        </w:rPr>
        <w:t xml:space="preserve">i prie 330 </w:t>
      </w:r>
      <w:proofErr w:type="spellStart"/>
      <w:r w:rsidRPr="00B87E4C">
        <w:rPr>
          <w:rFonts w:ascii="Times New Roman" w:hAnsi="Times New Roman"/>
          <w:color w:val="auto"/>
          <w:sz w:val="24"/>
          <w:szCs w:val="24"/>
          <w:lang w:eastAsia="en-US"/>
        </w:rPr>
        <w:t>kV</w:t>
      </w:r>
      <w:proofErr w:type="spellEnd"/>
      <w:r w:rsidRPr="00B87E4C">
        <w:rPr>
          <w:rFonts w:ascii="Times New Roman" w:hAnsi="Times New Roman"/>
          <w:color w:val="auto"/>
          <w:sz w:val="24"/>
          <w:szCs w:val="24"/>
          <w:lang w:eastAsia="en-US"/>
        </w:rPr>
        <w:t xml:space="preserve"> elektros linijos Utena</w:t>
      </w:r>
      <w:r w:rsidR="00533771" w:rsidRPr="00B87E4C">
        <w:rPr>
          <w:rFonts w:ascii="Times New Roman" w:hAnsi="Times New Roman"/>
          <w:color w:val="auto"/>
          <w:sz w:val="24"/>
          <w:szCs w:val="24"/>
          <w:lang w:eastAsia="en-US"/>
        </w:rPr>
        <w:t>–</w:t>
      </w:r>
      <w:r w:rsidRPr="00B87E4C">
        <w:rPr>
          <w:rFonts w:ascii="Times New Roman" w:hAnsi="Times New Roman"/>
          <w:color w:val="auto"/>
          <w:sz w:val="24"/>
          <w:szCs w:val="24"/>
          <w:lang w:eastAsia="en-US"/>
        </w:rPr>
        <w:t>Panevėžys.</w:t>
      </w:r>
    </w:p>
    <w:p w14:paraId="30D1DA39" w14:textId="63C64355" w:rsidR="0033722A" w:rsidRPr="00B87E4C" w:rsidRDefault="0033722A" w:rsidP="001D745F">
      <w:pPr>
        <w:pStyle w:val="Sraopastraipa"/>
        <w:widowControl w:val="0"/>
        <w:numPr>
          <w:ilvl w:val="0"/>
          <w:numId w:val="36"/>
        </w:numPr>
        <w:tabs>
          <w:tab w:val="left" w:pos="426"/>
        </w:tabs>
        <w:suppressAutoHyphens/>
        <w:spacing w:after="120" w:line="240" w:lineRule="auto"/>
        <w:contextualSpacing w:val="0"/>
        <w:jc w:val="both"/>
        <w:rPr>
          <w:rFonts w:ascii="Times New Roman" w:hAnsi="Times New Roman"/>
          <w:color w:val="auto"/>
          <w:sz w:val="24"/>
          <w:szCs w:val="24"/>
          <w:lang w:eastAsia="en-US"/>
        </w:rPr>
      </w:pPr>
      <w:r w:rsidRPr="00B87E4C">
        <w:rPr>
          <w:rFonts w:ascii="Times New Roman" w:hAnsi="Times New Roman"/>
          <w:color w:val="auto"/>
          <w:sz w:val="24"/>
          <w:szCs w:val="24"/>
          <w:lang w:eastAsia="en-US"/>
        </w:rPr>
        <w:t>Išankstines sąlygas ieškovė gavo 2022 m. rugpjūčio 4 d. Įvertinusi vėjo elektrinės prijungimo prie elektros perdavimo tinklo sąlygas, ieškovė 2022 m. gruodžio 19 d. pateikė atsakovei prašymą pasirašyti ketinimų protokolą. Atsakovė 2023 m. sausio 13 d. atsisakė pasirašyti ketinimų protokolą</w:t>
      </w:r>
      <w:r w:rsidR="00533771" w:rsidRPr="00B87E4C">
        <w:rPr>
          <w:rFonts w:ascii="Times New Roman" w:hAnsi="Times New Roman"/>
          <w:color w:val="auto"/>
          <w:sz w:val="24"/>
          <w:szCs w:val="24"/>
          <w:lang w:eastAsia="en-US"/>
        </w:rPr>
        <w:t>,</w:t>
      </w:r>
      <w:r w:rsidRPr="00B87E4C">
        <w:rPr>
          <w:rFonts w:ascii="Times New Roman" w:hAnsi="Times New Roman"/>
          <w:color w:val="auto"/>
          <w:sz w:val="24"/>
          <w:szCs w:val="24"/>
          <w:lang w:eastAsia="en-US"/>
        </w:rPr>
        <w:t xml:space="preserve"> remdamasi tuo, jog nėra pakankamų elektros perdavimo tinklo pralaidumų ir ieškovės elektrin</w:t>
      </w:r>
      <w:r w:rsidR="00533771" w:rsidRPr="00B87E4C">
        <w:rPr>
          <w:rFonts w:ascii="Times New Roman" w:hAnsi="Times New Roman"/>
          <w:color w:val="auto"/>
          <w:sz w:val="24"/>
          <w:szCs w:val="24"/>
          <w:lang w:eastAsia="en-US"/>
        </w:rPr>
        <w:t>ėms</w:t>
      </w:r>
      <w:r w:rsidRPr="00B87E4C">
        <w:rPr>
          <w:rFonts w:ascii="Times New Roman" w:hAnsi="Times New Roman"/>
          <w:color w:val="auto"/>
          <w:sz w:val="24"/>
          <w:szCs w:val="24"/>
          <w:lang w:eastAsia="en-US"/>
        </w:rPr>
        <w:t xml:space="preserve"> prijung</w:t>
      </w:r>
      <w:r w:rsidR="00533771" w:rsidRPr="00B87E4C">
        <w:rPr>
          <w:rFonts w:ascii="Times New Roman" w:hAnsi="Times New Roman"/>
          <w:color w:val="auto"/>
          <w:sz w:val="24"/>
          <w:szCs w:val="24"/>
          <w:lang w:eastAsia="en-US"/>
        </w:rPr>
        <w:t>t</w:t>
      </w:r>
      <w:r w:rsidRPr="00B87E4C">
        <w:rPr>
          <w:rFonts w:ascii="Times New Roman" w:hAnsi="Times New Roman"/>
          <w:color w:val="auto"/>
          <w:sz w:val="24"/>
          <w:szCs w:val="24"/>
          <w:lang w:eastAsia="en-US"/>
        </w:rPr>
        <w:t>i reikalinga perdavimo tinklo plėtra, į kurią investicijos sudarytų apie 50</w:t>
      </w:r>
      <w:r w:rsidR="00533771" w:rsidRPr="00B87E4C">
        <w:rPr>
          <w:rFonts w:ascii="Times New Roman" w:hAnsi="Times New Roman"/>
          <w:color w:val="auto"/>
          <w:sz w:val="24"/>
          <w:szCs w:val="24"/>
          <w:lang w:eastAsia="en-US"/>
        </w:rPr>
        <w:t> </w:t>
      </w:r>
      <w:r w:rsidRPr="00B87E4C">
        <w:rPr>
          <w:rFonts w:ascii="Times New Roman" w:hAnsi="Times New Roman"/>
          <w:color w:val="auto"/>
          <w:sz w:val="24"/>
          <w:szCs w:val="24"/>
          <w:lang w:eastAsia="en-US"/>
        </w:rPr>
        <w:t>mln.</w:t>
      </w:r>
      <w:r w:rsidR="00533771" w:rsidRPr="00B87E4C">
        <w:rPr>
          <w:rFonts w:ascii="Times New Roman" w:hAnsi="Times New Roman"/>
          <w:color w:val="auto"/>
          <w:sz w:val="24"/>
          <w:szCs w:val="24"/>
          <w:lang w:eastAsia="en-US"/>
        </w:rPr>
        <w:t> </w:t>
      </w:r>
      <w:r w:rsidRPr="00B87E4C">
        <w:rPr>
          <w:rFonts w:ascii="Times New Roman" w:hAnsi="Times New Roman"/>
          <w:color w:val="auto"/>
          <w:sz w:val="24"/>
          <w:szCs w:val="24"/>
          <w:lang w:eastAsia="en-US"/>
        </w:rPr>
        <w:t xml:space="preserve">Eur. Toks atsakovės sprendimas yra nepagrįstas. Ketinimų protokolų ir prijungimo paslaugų sutartys atitinka viešosios sutarties požymius. Atsakovė privalo su kiekvienu gamintoju, </w:t>
      </w:r>
      <w:r w:rsidR="00533771" w:rsidRPr="00B87E4C">
        <w:rPr>
          <w:rFonts w:ascii="Times New Roman" w:hAnsi="Times New Roman"/>
          <w:color w:val="auto"/>
          <w:sz w:val="24"/>
          <w:szCs w:val="24"/>
          <w:lang w:eastAsia="en-US"/>
        </w:rPr>
        <w:t xml:space="preserve">kuris į ją kreipėsi ir kuris </w:t>
      </w:r>
      <w:r w:rsidRPr="00B87E4C">
        <w:rPr>
          <w:rFonts w:ascii="Times New Roman" w:hAnsi="Times New Roman"/>
          <w:color w:val="auto"/>
          <w:sz w:val="24"/>
          <w:szCs w:val="24"/>
          <w:lang w:eastAsia="en-US"/>
        </w:rPr>
        <w:t xml:space="preserve">atitinka teisės aktuose nustatytus reikalavimus, sudaryti tokius sandorius. Dėl to ieškovė turi teisę reikalauti, kad atsakovė sudarytų ketinimų protokolą su ieškove pagal atsakovės išduotas išankstines prijungimo sąlygas (Lietuvos Respublikos civilinio kodekso (toliau – CK) 6.184 straipsnio 4 dalis). Pagal VERT 2022 m. birželio 3 d. nutarimu </w:t>
      </w:r>
      <w:r w:rsidR="00533771" w:rsidRPr="00B87E4C">
        <w:rPr>
          <w:rFonts w:ascii="Times New Roman" w:hAnsi="Times New Roman"/>
          <w:color w:val="auto"/>
          <w:sz w:val="24"/>
          <w:szCs w:val="24"/>
          <w:lang w:eastAsia="en-US"/>
        </w:rPr>
        <w:t>Nr. </w:t>
      </w:r>
      <w:r w:rsidRPr="00B87E4C">
        <w:rPr>
          <w:rFonts w:ascii="Times New Roman" w:hAnsi="Times New Roman"/>
          <w:color w:val="auto"/>
          <w:sz w:val="24"/>
          <w:szCs w:val="24"/>
          <w:lang w:eastAsia="en-US"/>
        </w:rPr>
        <w:t xml:space="preserve">O3E-832 patvirtinto LITGRID AB elektros energijos gamintojų pasinaudojimo elektros tinklais tvarkos aprašo (toliau – 2022 PETA) 19 ir 20 punktus atsakovės teisė atsisakyti sudaryti ketinimų protokolą turi turėti labai aiškų pagrindimą. Atsakovės teisė atsisakyti sudaryti ketinimų protokolą negali būti grindžiama prielaidomis ar spėjimais, o turi būti pagrįsta faktais. Atsisakydama sudaryti ketinimų protokolą, atsakovė nenurodė jokių tinklo pralaidumo skaičiavimų. Ši informacija žinoma tik pačiai atsakovei. Išankstinių prijungimo sąlygų išdavimo metu ginčo linijoje buvo pakankamas pralaidumas ieškovės </w:t>
      </w:r>
      <w:r w:rsidR="00533771" w:rsidRPr="00B87E4C">
        <w:rPr>
          <w:rFonts w:ascii="Times New Roman" w:hAnsi="Times New Roman"/>
          <w:color w:val="auto"/>
          <w:sz w:val="24"/>
          <w:szCs w:val="24"/>
          <w:lang w:eastAsia="en-US"/>
        </w:rPr>
        <w:t>plėtoja</w:t>
      </w:r>
      <w:r w:rsidRPr="00B87E4C">
        <w:rPr>
          <w:rFonts w:ascii="Times New Roman" w:hAnsi="Times New Roman"/>
          <w:color w:val="auto"/>
          <w:sz w:val="24"/>
          <w:szCs w:val="24"/>
          <w:lang w:eastAsia="en-US"/>
        </w:rPr>
        <w:t>mam parkui prie perdavimo linijos</w:t>
      </w:r>
      <w:r w:rsidR="00E560BA" w:rsidRPr="00B87E4C">
        <w:rPr>
          <w:rFonts w:ascii="Times New Roman" w:hAnsi="Times New Roman"/>
          <w:color w:val="auto"/>
          <w:sz w:val="24"/>
          <w:szCs w:val="24"/>
          <w:lang w:eastAsia="en-US"/>
        </w:rPr>
        <w:t xml:space="preserve"> prijungti</w:t>
      </w:r>
      <w:r w:rsidRPr="00B87E4C">
        <w:rPr>
          <w:rFonts w:ascii="Times New Roman" w:hAnsi="Times New Roman"/>
          <w:color w:val="auto"/>
          <w:sz w:val="24"/>
          <w:szCs w:val="24"/>
          <w:lang w:eastAsia="en-US"/>
        </w:rPr>
        <w:t xml:space="preserve">. Specialiųjų žinių turinčio </w:t>
      </w:r>
      <w:bookmarkStart w:id="4" w:name="Buk_715"/>
      <w:r w:rsidR="00B87E4C" w:rsidRPr="00B87E4C">
        <w:rPr>
          <w:rFonts w:ascii="Times New Roman" w:hAnsi="Times New Roman"/>
          <w:color w:val="auto"/>
          <w:sz w:val="24"/>
          <w:szCs w:val="24"/>
          <w:lang w:eastAsia="en-US"/>
        </w:rPr>
        <w:t xml:space="preserve">V. S. </w:t>
      </w:r>
      <w:bookmarkEnd w:id="4"/>
      <w:r w:rsidRPr="00B87E4C">
        <w:rPr>
          <w:rFonts w:ascii="Times New Roman" w:hAnsi="Times New Roman"/>
          <w:color w:val="auto"/>
          <w:sz w:val="24"/>
          <w:szCs w:val="24"/>
          <w:lang w:eastAsia="en-US"/>
        </w:rPr>
        <w:t>vertinimu</w:t>
      </w:r>
      <w:r w:rsidR="00533771" w:rsidRPr="00B87E4C">
        <w:rPr>
          <w:rFonts w:ascii="Times New Roman" w:hAnsi="Times New Roman"/>
          <w:color w:val="auto"/>
          <w:sz w:val="24"/>
          <w:szCs w:val="24"/>
          <w:lang w:eastAsia="en-US"/>
        </w:rPr>
        <w:t>,</w:t>
      </w:r>
      <w:r w:rsidRPr="00B87E4C">
        <w:rPr>
          <w:rFonts w:ascii="Times New Roman" w:hAnsi="Times New Roman"/>
          <w:color w:val="auto"/>
          <w:sz w:val="24"/>
          <w:szCs w:val="24"/>
          <w:lang w:eastAsia="en-US"/>
        </w:rPr>
        <w:t xml:space="preserve"> ginčo linijos pralaidumas yra pakankamas 250 MW vėjo elektrinių park</w:t>
      </w:r>
      <w:r w:rsidR="00533771" w:rsidRPr="00B87E4C">
        <w:rPr>
          <w:rFonts w:ascii="Times New Roman" w:hAnsi="Times New Roman"/>
          <w:color w:val="auto"/>
          <w:sz w:val="24"/>
          <w:szCs w:val="24"/>
          <w:lang w:eastAsia="en-US"/>
        </w:rPr>
        <w:t>ui</w:t>
      </w:r>
      <w:r w:rsidRPr="00B87E4C">
        <w:rPr>
          <w:rFonts w:ascii="Times New Roman" w:hAnsi="Times New Roman"/>
          <w:color w:val="auto"/>
          <w:sz w:val="24"/>
          <w:szCs w:val="24"/>
          <w:lang w:eastAsia="en-US"/>
        </w:rPr>
        <w:t xml:space="preserve"> prijung</w:t>
      </w:r>
      <w:r w:rsidR="00533771" w:rsidRPr="00B87E4C">
        <w:rPr>
          <w:rFonts w:ascii="Times New Roman" w:hAnsi="Times New Roman"/>
          <w:color w:val="auto"/>
          <w:sz w:val="24"/>
          <w:szCs w:val="24"/>
          <w:lang w:eastAsia="en-US"/>
        </w:rPr>
        <w:t>t</w:t>
      </w:r>
      <w:r w:rsidRPr="00B87E4C">
        <w:rPr>
          <w:rFonts w:ascii="Times New Roman" w:hAnsi="Times New Roman"/>
          <w:color w:val="auto"/>
          <w:sz w:val="24"/>
          <w:szCs w:val="24"/>
          <w:lang w:eastAsia="en-US"/>
        </w:rPr>
        <w:t>i. Taigi nėra techninių kliūčių, kurios trukdytų prijungti ieškovės numatomą statyti vėjo elektrinių parką prie perdavimo tinklo. Nuo išankstinių prijungimo sąlygų išdavimo neatsirado aplinkybių, kurios tokią galimybę būtų panaikin</w:t>
      </w:r>
      <w:r w:rsidR="00533771" w:rsidRPr="00B87E4C">
        <w:rPr>
          <w:rFonts w:ascii="Times New Roman" w:hAnsi="Times New Roman"/>
          <w:color w:val="auto"/>
          <w:sz w:val="24"/>
          <w:szCs w:val="24"/>
          <w:lang w:eastAsia="en-US"/>
        </w:rPr>
        <w:t>usios</w:t>
      </w:r>
      <w:r w:rsidRPr="00B87E4C">
        <w:rPr>
          <w:rFonts w:ascii="Times New Roman" w:hAnsi="Times New Roman"/>
          <w:color w:val="auto"/>
          <w:sz w:val="24"/>
          <w:szCs w:val="24"/>
          <w:lang w:eastAsia="en-US"/>
        </w:rPr>
        <w:t xml:space="preserve"> ar pakeit</w:t>
      </w:r>
      <w:r w:rsidR="00533771" w:rsidRPr="00B87E4C">
        <w:rPr>
          <w:rFonts w:ascii="Times New Roman" w:hAnsi="Times New Roman"/>
          <w:color w:val="auto"/>
          <w:sz w:val="24"/>
          <w:szCs w:val="24"/>
          <w:lang w:eastAsia="en-US"/>
        </w:rPr>
        <w:t>usios</w:t>
      </w:r>
      <w:r w:rsidRPr="00B87E4C">
        <w:rPr>
          <w:rFonts w:ascii="Times New Roman" w:hAnsi="Times New Roman"/>
          <w:color w:val="auto"/>
          <w:sz w:val="24"/>
          <w:szCs w:val="24"/>
          <w:lang w:eastAsia="en-US"/>
        </w:rPr>
        <w:t xml:space="preserve">. </w:t>
      </w:r>
    </w:p>
    <w:bookmarkEnd w:id="2"/>
    <w:p w14:paraId="2583D1AF" w14:textId="77777777" w:rsidR="000300A7" w:rsidRPr="00235CC9" w:rsidRDefault="000300A7" w:rsidP="000300A7">
      <w:pPr>
        <w:pStyle w:val="Sraopastraipa"/>
        <w:spacing w:after="120" w:line="240" w:lineRule="auto"/>
        <w:ind w:left="357"/>
        <w:contextualSpacing w:val="0"/>
        <w:jc w:val="both"/>
        <w:rPr>
          <w:rFonts w:ascii="Times New Roman" w:hAnsi="Times New Roman"/>
          <w:sz w:val="24"/>
          <w:szCs w:val="24"/>
        </w:rPr>
      </w:pPr>
    </w:p>
    <w:p w14:paraId="79DBB707" w14:textId="77777777" w:rsidR="00123EE2" w:rsidRPr="00235CC9" w:rsidRDefault="00A80C8A">
      <w:pPr>
        <w:pStyle w:val="Sraopastraipa"/>
        <w:spacing w:after="120" w:line="240" w:lineRule="auto"/>
        <w:ind w:left="0"/>
        <w:contextualSpacing w:val="0"/>
        <w:jc w:val="center"/>
        <w:rPr>
          <w:rFonts w:ascii="Times New Roman" w:hAnsi="Times New Roman"/>
          <w:sz w:val="24"/>
          <w:szCs w:val="24"/>
        </w:rPr>
      </w:pPr>
      <w:r w:rsidRPr="00235CC9">
        <w:rPr>
          <w:rFonts w:ascii="Times New Roman" w:hAnsi="Times New Roman"/>
          <w:sz w:val="24"/>
          <w:szCs w:val="24"/>
        </w:rPr>
        <w:t>II. Pirmosios ir apeliacinės instancijos teismų procesinių sprendimų esmė</w:t>
      </w:r>
    </w:p>
    <w:p w14:paraId="7D098B90" w14:textId="77777777" w:rsidR="00123EE2" w:rsidRPr="00235CC9" w:rsidRDefault="00123EE2" w:rsidP="001E75CD">
      <w:pPr>
        <w:spacing w:after="120"/>
        <w:jc w:val="both"/>
      </w:pPr>
    </w:p>
    <w:p w14:paraId="1ED7E9A8" w14:textId="77777777" w:rsidR="00034F74" w:rsidRPr="00235CC9" w:rsidRDefault="00034F74" w:rsidP="00034F74">
      <w:pPr>
        <w:numPr>
          <w:ilvl w:val="0"/>
          <w:numId w:val="30"/>
        </w:numPr>
        <w:overflowPunct w:val="0"/>
        <w:autoSpaceDE w:val="0"/>
        <w:autoSpaceDN w:val="0"/>
        <w:adjustRightInd w:val="0"/>
        <w:spacing w:after="120"/>
        <w:ind w:right="-82"/>
        <w:jc w:val="both"/>
        <w:textAlignment w:val="baseline"/>
        <w:rPr>
          <w:color w:val="auto"/>
          <w:lang w:eastAsia="en-US"/>
        </w:rPr>
      </w:pPr>
      <w:bookmarkStart w:id="5" w:name="_Hlk190173930"/>
      <w:r w:rsidRPr="00235CC9">
        <w:rPr>
          <w:color w:val="auto"/>
          <w:lang w:eastAsia="en-US"/>
        </w:rPr>
        <w:t xml:space="preserve">Vilniaus miesto apylinkės teismas 2024 m. balandžio 18 d. sprendimu </w:t>
      </w:r>
      <w:bookmarkEnd w:id="5"/>
      <w:r w:rsidRPr="00235CC9">
        <w:rPr>
          <w:color w:val="auto"/>
          <w:lang w:eastAsia="en-US"/>
        </w:rPr>
        <w:t>ieškinį atmetė.</w:t>
      </w:r>
    </w:p>
    <w:p w14:paraId="652E2FF5" w14:textId="74E59DFF" w:rsidR="00034F74" w:rsidRPr="00235CC9" w:rsidRDefault="00034F74" w:rsidP="00034F74">
      <w:pPr>
        <w:numPr>
          <w:ilvl w:val="0"/>
          <w:numId w:val="30"/>
        </w:numPr>
        <w:overflowPunct w:val="0"/>
        <w:autoSpaceDE w:val="0"/>
        <w:autoSpaceDN w:val="0"/>
        <w:adjustRightInd w:val="0"/>
        <w:spacing w:after="120"/>
        <w:ind w:right="-82"/>
        <w:jc w:val="both"/>
        <w:textAlignment w:val="baseline"/>
        <w:rPr>
          <w:color w:val="auto"/>
          <w:lang w:eastAsia="en-US"/>
        </w:rPr>
      </w:pPr>
      <w:r w:rsidRPr="00235CC9">
        <w:rPr>
          <w:color w:val="auto"/>
          <w:lang w:eastAsia="en-US"/>
        </w:rPr>
        <w:t xml:space="preserve">Teismas pažymėjo, kad pralaidumų skaičiavimo taisyklė, pagrįsta </w:t>
      </w:r>
      <w:proofErr w:type="spellStart"/>
      <w:r w:rsidRPr="00235CC9">
        <w:rPr>
          <w:color w:val="auto"/>
          <w:lang w:eastAsia="en-US"/>
        </w:rPr>
        <w:t>nevienalaikiškumu</w:t>
      </w:r>
      <w:proofErr w:type="spellEnd"/>
      <w:r w:rsidRPr="00235CC9">
        <w:rPr>
          <w:color w:val="auto"/>
          <w:lang w:eastAsia="en-US"/>
        </w:rPr>
        <w:t xml:space="preserve">, buvo </w:t>
      </w:r>
      <w:r w:rsidR="00E91949">
        <w:rPr>
          <w:color w:val="auto"/>
          <w:lang w:eastAsia="en-US"/>
        </w:rPr>
        <w:t>įtvirtinta</w:t>
      </w:r>
      <w:r w:rsidRPr="00235CC9">
        <w:rPr>
          <w:color w:val="auto"/>
          <w:lang w:eastAsia="en-US"/>
        </w:rPr>
        <w:t xml:space="preserve"> tik 2023 PETA, kuri įsigaliojo 2023 m. kovo 6 d. Taigi tuo metu, kai ieškovė pareiškė atsakovei prašymą sudaryti ketinimų protokolą, pagal galiojusią pralaidumų rezervavimo tvarką, nustatytą 2022 PETA, atsakovė tinklo pralaidumą galėjo skaičiuoti tik iš bendro perdavimo tinklo pralaidumo atimdama prie tinklo jungiamų įrenginių leistiną generuoti galią. Byloje esanti teismo ekspertizės išvada pagrindžia, kad kai ieškovė pateikė prašymą sudaryti ketinimų protokolą, laisvas ir saugus pralaidumas vėjo elektrin</w:t>
      </w:r>
      <w:r w:rsidR="00533771">
        <w:rPr>
          <w:color w:val="auto"/>
          <w:lang w:eastAsia="en-US"/>
        </w:rPr>
        <w:t>ei</w:t>
      </w:r>
      <w:r w:rsidRPr="00235CC9">
        <w:rPr>
          <w:color w:val="auto"/>
          <w:lang w:eastAsia="en-US"/>
        </w:rPr>
        <w:t xml:space="preserve"> prijung</w:t>
      </w:r>
      <w:r w:rsidR="00533771">
        <w:rPr>
          <w:color w:val="auto"/>
          <w:lang w:eastAsia="en-US"/>
        </w:rPr>
        <w:t>t</w:t>
      </w:r>
      <w:r w:rsidRPr="00235CC9">
        <w:rPr>
          <w:color w:val="auto"/>
          <w:lang w:eastAsia="en-US"/>
        </w:rPr>
        <w:t xml:space="preserve">i prie 330 </w:t>
      </w:r>
      <w:proofErr w:type="spellStart"/>
      <w:r w:rsidRPr="00235CC9">
        <w:rPr>
          <w:color w:val="auto"/>
          <w:lang w:eastAsia="en-US"/>
        </w:rPr>
        <w:t>kV</w:t>
      </w:r>
      <w:proofErr w:type="spellEnd"/>
      <w:r w:rsidRPr="00235CC9">
        <w:rPr>
          <w:color w:val="auto"/>
          <w:lang w:eastAsia="en-US"/>
        </w:rPr>
        <w:t xml:space="preserve"> elektros linijos Utena–Panevėžys 2022 m. gruodžio 19 d. buvo 120 MW. O tai reiškia, kad egzistavo 2022 PETA 19</w:t>
      </w:r>
      <w:r w:rsidR="00533771">
        <w:rPr>
          <w:color w:val="auto"/>
          <w:lang w:eastAsia="en-US"/>
        </w:rPr>
        <w:t> </w:t>
      </w:r>
      <w:r w:rsidRPr="00235CC9">
        <w:rPr>
          <w:color w:val="auto"/>
          <w:lang w:eastAsia="en-US"/>
        </w:rPr>
        <w:t xml:space="preserve">punkte nurodytos priežastys, dėl kurių ieškovės elektrinė prie elektros tinklų pagal įmonei išduotas išankstines prijungimo sąlygas negalėjo būti prijungta. </w:t>
      </w:r>
    </w:p>
    <w:p w14:paraId="37F2B501" w14:textId="61955EDC" w:rsidR="00034F74" w:rsidRPr="00235CC9" w:rsidRDefault="00034F74" w:rsidP="00034F74">
      <w:pPr>
        <w:numPr>
          <w:ilvl w:val="0"/>
          <w:numId w:val="30"/>
        </w:numPr>
        <w:overflowPunct w:val="0"/>
        <w:autoSpaceDE w:val="0"/>
        <w:autoSpaceDN w:val="0"/>
        <w:adjustRightInd w:val="0"/>
        <w:spacing w:after="120"/>
        <w:ind w:right="-82"/>
        <w:jc w:val="both"/>
        <w:textAlignment w:val="baseline"/>
        <w:rPr>
          <w:color w:val="auto"/>
          <w:lang w:eastAsia="en-US"/>
        </w:rPr>
      </w:pPr>
      <w:r w:rsidRPr="00235CC9">
        <w:rPr>
          <w:color w:val="auto"/>
          <w:lang w:eastAsia="en-US"/>
        </w:rPr>
        <w:t xml:space="preserve">Iki 2023 PETA priėmimo nebuvo nustatytų visiems gamintojams taikytinų vienodų taisyklių, kaip ir kokia apimtimi turėtų būti ribojama prie elektros tinklo prijungtų saulės bei vėjo elektrinių galia. Vykdydama jai pavestas funkcijas, atsakovė, spręsdama dėl gamintojų elektros įrenginių prijungimo prie tinklo, turi užtikrinti sklandų, saugų ir patikimą elektros energijos tinklų funkcionavimą. Nesant nustatytų taisyklių, kaip skaičiuoti pralaidumus remiantis </w:t>
      </w:r>
      <w:proofErr w:type="spellStart"/>
      <w:r w:rsidRPr="00235CC9">
        <w:rPr>
          <w:color w:val="auto"/>
          <w:lang w:eastAsia="en-US"/>
        </w:rPr>
        <w:t>nevienalaikiškumu</w:t>
      </w:r>
      <w:proofErr w:type="spellEnd"/>
      <w:r w:rsidRPr="00235CC9">
        <w:rPr>
          <w:color w:val="auto"/>
          <w:lang w:eastAsia="en-US"/>
        </w:rPr>
        <w:t>, atsakovė nebūtų galėjusi užtikrinti paminėtų reikalavimų. Nėra ginčo, kad kiekvieno naujo elektros gamybos įrenginio prijungimas prie tinklo lemia papildomą tinklo apkrovą, o kartu didina tinklo skland</w:t>
      </w:r>
      <w:r w:rsidR="00533771">
        <w:rPr>
          <w:color w:val="auto"/>
          <w:lang w:eastAsia="en-US"/>
        </w:rPr>
        <w:t>aus</w:t>
      </w:r>
      <w:r w:rsidRPr="00235CC9">
        <w:rPr>
          <w:color w:val="auto"/>
          <w:lang w:eastAsia="en-US"/>
        </w:rPr>
        <w:t xml:space="preserve"> veikim</w:t>
      </w:r>
      <w:r w:rsidR="00533771">
        <w:rPr>
          <w:color w:val="auto"/>
          <w:lang w:eastAsia="en-US"/>
        </w:rPr>
        <w:t>o riziką</w:t>
      </w:r>
      <w:r w:rsidRPr="00235CC9">
        <w:rPr>
          <w:color w:val="auto"/>
          <w:lang w:eastAsia="en-US"/>
        </w:rPr>
        <w:t xml:space="preserve">. </w:t>
      </w:r>
    </w:p>
    <w:p w14:paraId="7516A986" w14:textId="7EDE3383" w:rsidR="00034F74" w:rsidRPr="00235CC9" w:rsidRDefault="00034F74" w:rsidP="00034F74">
      <w:pPr>
        <w:numPr>
          <w:ilvl w:val="0"/>
          <w:numId w:val="30"/>
        </w:numPr>
        <w:overflowPunct w:val="0"/>
        <w:autoSpaceDE w:val="0"/>
        <w:autoSpaceDN w:val="0"/>
        <w:adjustRightInd w:val="0"/>
        <w:spacing w:after="120"/>
        <w:ind w:right="-82"/>
        <w:jc w:val="both"/>
        <w:textAlignment w:val="baseline"/>
        <w:rPr>
          <w:color w:val="auto"/>
          <w:lang w:eastAsia="en-US"/>
        </w:rPr>
      </w:pPr>
      <w:r w:rsidRPr="00235CC9">
        <w:rPr>
          <w:color w:val="auto"/>
          <w:lang w:eastAsia="en-US"/>
        </w:rPr>
        <w:t>Tik 2023 PETA 26 punkte apibrėžtos galios ribojimo apimtys. Kol pastarosios nebuvo aiški</w:t>
      </w:r>
      <w:r w:rsidR="00533771">
        <w:rPr>
          <w:color w:val="auto"/>
          <w:lang w:eastAsia="en-US"/>
        </w:rPr>
        <w:t>ai</w:t>
      </w:r>
      <w:r w:rsidRPr="00235CC9">
        <w:rPr>
          <w:color w:val="auto"/>
          <w:lang w:eastAsia="en-US"/>
        </w:rPr>
        <w:t xml:space="preserve"> apibrėžtos, atsakovė negalėjo užtikrinti, kad visų gamintojų situacijos būtų vertinamos tapačiai, ir įvertinti, kokio masto ribojimai galėtų būti nustatyti, kad būtų užtikrintas elektros tinklo saugumas ir sklandus veikimas. Aplinkybė, kad ieškovei išduotose išankstin</w:t>
      </w:r>
      <w:r w:rsidR="009E0C11">
        <w:rPr>
          <w:color w:val="auto"/>
          <w:lang w:eastAsia="en-US"/>
        </w:rPr>
        <w:t>ėse</w:t>
      </w:r>
      <w:r w:rsidRPr="00235CC9">
        <w:rPr>
          <w:color w:val="auto"/>
          <w:lang w:eastAsia="en-US"/>
        </w:rPr>
        <w:t xml:space="preserve"> prijungimo sąlygose buvo nurodyta, jog vėjo elektrinės generuojama galia gali būti riboja</w:t>
      </w:r>
      <w:r w:rsidR="008112B5" w:rsidRPr="00235CC9">
        <w:rPr>
          <w:color w:val="auto"/>
          <w:lang w:eastAsia="en-US"/>
        </w:rPr>
        <w:t>ma</w:t>
      </w:r>
      <w:r w:rsidRPr="00235CC9">
        <w:rPr>
          <w:color w:val="auto"/>
          <w:lang w:eastAsia="en-US"/>
        </w:rPr>
        <w:t xml:space="preserve">, teisiškai yra nereikšminga, nes ši sąlyga nenustatė ribojimų apimties. </w:t>
      </w:r>
    </w:p>
    <w:p w14:paraId="0172626F" w14:textId="02749A0D" w:rsidR="00034F74" w:rsidRPr="00235CC9" w:rsidRDefault="008112B5" w:rsidP="00034F74">
      <w:pPr>
        <w:numPr>
          <w:ilvl w:val="0"/>
          <w:numId w:val="30"/>
        </w:numPr>
        <w:overflowPunct w:val="0"/>
        <w:autoSpaceDE w:val="0"/>
        <w:autoSpaceDN w:val="0"/>
        <w:adjustRightInd w:val="0"/>
        <w:spacing w:after="120"/>
        <w:ind w:right="-82"/>
        <w:jc w:val="both"/>
        <w:textAlignment w:val="baseline"/>
        <w:rPr>
          <w:color w:val="auto"/>
          <w:lang w:eastAsia="en-US"/>
        </w:rPr>
      </w:pPr>
      <w:r w:rsidRPr="00235CC9">
        <w:rPr>
          <w:color w:val="auto"/>
          <w:lang w:eastAsia="en-US"/>
        </w:rPr>
        <w:t>Teismas pritarė</w:t>
      </w:r>
      <w:r w:rsidR="00034F74" w:rsidRPr="00235CC9">
        <w:rPr>
          <w:color w:val="auto"/>
          <w:lang w:eastAsia="en-US"/>
        </w:rPr>
        <w:t xml:space="preserve"> ieškovės pozicijai, kad EEĮ 22 straipsnio 3 dalyje buvo nu</w:t>
      </w:r>
      <w:r w:rsidR="00E91949">
        <w:rPr>
          <w:color w:val="auto"/>
          <w:lang w:eastAsia="en-US"/>
        </w:rPr>
        <w:t>sta</w:t>
      </w:r>
      <w:r w:rsidR="00034F74" w:rsidRPr="00235CC9">
        <w:rPr>
          <w:color w:val="auto"/>
          <w:lang w:eastAsia="en-US"/>
        </w:rPr>
        <w:t>tyta, jog atsakovė neturi teisės atsisakyti prijungti gamintojų elektros energijos gamybos įrenginius prie elektros tinklų dėl ateityje galimo elektros tinklų pajėgumo apribojimo. Tačiau ši teisės norma nagrinėjamoje situacijoje nėra aktuali. Atsakovė atsisakė sudaryti ketinimų protokolą ne dėl galimo elektros tinklų pajėgumo apribojimo ateityje. Tokį sprendimą atsakovė priėmė dėl to, kad pagal 2022 PETA ginčo linijos pralaidumas buvo nepakankamas. Atsakovė negalėjo skaičiuoti pralaidumo</w:t>
      </w:r>
      <w:r w:rsidR="001740D9">
        <w:rPr>
          <w:color w:val="auto"/>
          <w:lang w:eastAsia="en-US"/>
        </w:rPr>
        <w:t>,</w:t>
      </w:r>
      <w:r w:rsidR="00034F74" w:rsidRPr="00235CC9">
        <w:rPr>
          <w:color w:val="auto"/>
          <w:lang w:eastAsia="en-US"/>
        </w:rPr>
        <w:t xml:space="preserve"> remdamasi </w:t>
      </w:r>
      <w:proofErr w:type="spellStart"/>
      <w:r w:rsidR="00034F74" w:rsidRPr="00235CC9">
        <w:rPr>
          <w:color w:val="auto"/>
          <w:lang w:eastAsia="en-US"/>
        </w:rPr>
        <w:t>nevienalaikiškumo</w:t>
      </w:r>
      <w:proofErr w:type="spellEnd"/>
      <w:r w:rsidR="00034F74" w:rsidRPr="00235CC9">
        <w:rPr>
          <w:color w:val="auto"/>
          <w:lang w:eastAsia="en-US"/>
        </w:rPr>
        <w:t xml:space="preserve"> taisykle, nes tam nebuvo ne tik teisinio pagrindo, bet, kaip galima spręsti iš atsakovės 2024 m. vasario 14 d. rašytiniuose paaiškinimuose išdėstytų atsikirtimų, buvo būtina techniškai pasirengti</w:t>
      </w:r>
      <w:r w:rsidR="00E560BA">
        <w:rPr>
          <w:color w:val="auto"/>
          <w:lang w:eastAsia="en-US"/>
        </w:rPr>
        <w:t xml:space="preserve"> taikyti tokią taisyklę</w:t>
      </w:r>
      <w:r w:rsidR="00034F74" w:rsidRPr="00235CC9">
        <w:rPr>
          <w:color w:val="auto"/>
          <w:lang w:eastAsia="en-US"/>
        </w:rPr>
        <w:t>. Jeigu atsakovė būtų skaičiavusi linijos pralaidumą</w:t>
      </w:r>
      <w:r w:rsidR="001740D9">
        <w:rPr>
          <w:color w:val="auto"/>
          <w:lang w:eastAsia="en-US"/>
        </w:rPr>
        <w:t>,</w:t>
      </w:r>
      <w:r w:rsidR="00034F74" w:rsidRPr="00235CC9">
        <w:rPr>
          <w:color w:val="auto"/>
          <w:lang w:eastAsia="en-US"/>
        </w:rPr>
        <w:t xml:space="preserve"> kaip to pageidauja ieškovė, </w:t>
      </w:r>
      <w:r w:rsidR="00E560BA">
        <w:rPr>
          <w:color w:val="auto"/>
          <w:lang w:eastAsia="en-US"/>
        </w:rPr>
        <w:t>ji</w:t>
      </w:r>
      <w:r w:rsidR="00034F74" w:rsidRPr="00235CC9">
        <w:rPr>
          <w:color w:val="auto"/>
          <w:lang w:eastAsia="en-US"/>
        </w:rPr>
        <w:t xml:space="preserve"> ne tik būtų nesilaikiusi 2022</w:t>
      </w:r>
      <w:r w:rsidR="001740D9">
        <w:rPr>
          <w:color w:val="auto"/>
          <w:lang w:eastAsia="en-US"/>
        </w:rPr>
        <w:t> </w:t>
      </w:r>
      <w:r w:rsidR="00034F74" w:rsidRPr="00235CC9">
        <w:rPr>
          <w:color w:val="auto"/>
          <w:lang w:eastAsia="en-US"/>
        </w:rPr>
        <w:t xml:space="preserve">PETA, tačiau, be kita ko, </w:t>
      </w:r>
      <w:r w:rsidR="00E560BA">
        <w:rPr>
          <w:color w:val="auto"/>
          <w:lang w:eastAsia="en-US"/>
        </w:rPr>
        <w:t xml:space="preserve">būtų ieškovei </w:t>
      </w:r>
      <w:r w:rsidR="00034F74" w:rsidRPr="00235CC9">
        <w:rPr>
          <w:color w:val="auto"/>
          <w:lang w:eastAsia="en-US"/>
        </w:rPr>
        <w:t xml:space="preserve">pritaikiusi individualias taisykles. O tokia situacija būtų akivaizdžiai prieštaravusi EEĮ 22 straipsnio 2 daliai. </w:t>
      </w:r>
    </w:p>
    <w:p w14:paraId="1C36ED68" w14:textId="7828CDD9" w:rsidR="00034F74" w:rsidRPr="00235CC9" w:rsidRDefault="00034F74" w:rsidP="00034F74">
      <w:pPr>
        <w:numPr>
          <w:ilvl w:val="0"/>
          <w:numId w:val="30"/>
        </w:numPr>
        <w:overflowPunct w:val="0"/>
        <w:autoSpaceDE w:val="0"/>
        <w:autoSpaceDN w:val="0"/>
        <w:adjustRightInd w:val="0"/>
        <w:spacing w:after="120"/>
        <w:ind w:right="-82"/>
        <w:jc w:val="both"/>
        <w:textAlignment w:val="baseline"/>
        <w:rPr>
          <w:color w:val="auto"/>
          <w:lang w:eastAsia="en-US"/>
        </w:rPr>
      </w:pPr>
      <w:r w:rsidRPr="00235CC9">
        <w:rPr>
          <w:color w:val="auto"/>
          <w:lang w:eastAsia="en-US"/>
        </w:rPr>
        <w:t>Teismas konstatavo, kad atsakovė, atsisakydama sudaryti su ieškove ketinimų protokolą, veikė pagal teisės aktuose nustatytus reikalavimus. Ieškinio reikalavimas yra nepagrįstas ir dėl to ieškinys atm</w:t>
      </w:r>
      <w:r w:rsidR="008112B5" w:rsidRPr="00235CC9">
        <w:rPr>
          <w:color w:val="auto"/>
          <w:lang w:eastAsia="en-US"/>
        </w:rPr>
        <w:t>estas</w:t>
      </w:r>
      <w:r w:rsidRPr="00235CC9">
        <w:rPr>
          <w:color w:val="auto"/>
          <w:lang w:eastAsia="en-US"/>
        </w:rPr>
        <w:t>. Ieškovei išduotos išankstinės prijungimo sąlygos negalėjo sukurti lūkesčio, kad ketinimų protokolą, jeigu ieškovė dėl to pareikš valią, atsakovė tikrai sudarys. Sąlygose aiškiai įvard</w:t>
      </w:r>
      <w:r w:rsidR="00E560BA">
        <w:rPr>
          <w:color w:val="auto"/>
          <w:lang w:eastAsia="en-US"/>
        </w:rPr>
        <w:t>y</w:t>
      </w:r>
      <w:r w:rsidRPr="00235CC9">
        <w:rPr>
          <w:color w:val="auto"/>
          <w:lang w:eastAsia="en-US"/>
        </w:rPr>
        <w:t>ta, kad sąlygų išdavimas nerezervuoja elektrinės galios pralaidumo elektros perdavimo tinkle. Atsakovė elektros tinklo pralaidumų rezervavimo klausimo negalėjo spręsti kitaip</w:t>
      </w:r>
      <w:r w:rsidR="001740D9">
        <w:rPr>
          <w:color w:val="auto"/>
          <w:lang w:eastAsia="en-US"/>
        </w:rPr>
        <w:t>,</w:t>
      </w:r>
      <w:r w:rsidRPr="00235CC9">
        <w:rPr>
          <w:color w:val="auto"/>
          <w:lang w:eastAsia="en-US"/>
        </w:rPr>
        <w:t xml:space="preserve"> nei buvo nustatyta 2022 PETA. Aplinkybė, kad nuo 2023 m. kovo 6 d. įsigaliojo 2023 PETA, </w:t>
      </w:r>
      <w:r w:rsidR="00E91949">
        <w:rPr>
          <w:color w:val="auto"/>
          <w:lang w:eastAsia="en-US"/>
        </w:rPr>
        <w:t>įtvirtinanti</w:t>
      </w:r>
      <w:r w:rsidRPr="00235CC9">
        <w:rPr>
          <w:color w:val="auto"/>
          <w:lang w:eastAsia="en-US"/>
        </w:rPr>
        <w:t xml:space="preserve"> pralaidumų skaičiavimą pagal vėjo ir saulės elektrinių generuojamos galios </w:t>
      </w:r>
      <w:proofErr w:type="spellStart"/>
      <w:r w:rsidRPr="00235CC9">
        <w:rPr>
          <w:color w:val="auto"/>
          <w:lang w:eastAsia="en-US"/>
        </w:rPr>
        <w:t>nevienalaikiškumą</w:t>
      </w:r>
      <w:proofErr w:type="spellEnd"/>
      <w:r w:rsidRPr="00235CC9">
        <w:rPr>
          <w:color w:val="auto"/>
          <w:lang w:eastAsia="en-US"/>
        </w:rPr>
        <w:t xml:space="preserve">, sprendžiant dėl ieškinio pagrįstumo, teisiškai yra nereikšminga. Atsakovės veiksmų teisėtumas gali būti vertinamas tik remiantis ieškovės prašymo sudaryti ketinimų protokolą </w:t>
      </w:r>
      <w:r w:rsidR="008112B5" w:rsidRPr="00235CC9">
        <w:rPr>
          <w:color w:val="auto"/>
          <w:lang w:eastAsia="en-US"/>
        </w:rPr>
        <w:t xml:space="preserve">metu </w:t>
      </w:r>
      <w:r w:rsidRPr="00235CC9">
        <w:rPr>
          <w:color w:val="auto"/>
          <w:lang w:eastAsia="en-US"/>
        </w:rPr>
        <w:t xml:space="preserve">galiojusiais teisės aktais. Teismo ekspertizės išvados patvirtina, kad, taikant technines ar organizacines generuojamos galios ribojimo priemones, ieškovės planuojama statyti 250 MW galios vėjo elektrinė galėtų būti prijunta prie 330 </w:t>
      </w:r>
      <w:proofErr w:type="spellStart"/>
      <w:r w:rsidRPr="00235CC9">
        <w:rPr>
          <w:color w:val="auto"/>
          <w:lang w:eastAsia="en-US"/>
        </w:rPr>
        <w:t>kV</w:t>
      </w:r>
      <w:proofErr w:type="spellEnd"/>
      <w:r w:rsidRPr="00235CC9">
        <w:rPr>
          <w:color w:val="auto"/>
          <w:lang w:eastAsia="en-US"/>
        </w:rPr>
        <w:t xml:space="preserve"> elektros linijos Utena–Panevėžys 2022 m. gruodžio 19</w:t>
      </w:r>
      <w:r w:rsidR="00E560BA">
        <w:rPr>
          <w:color w:val="auto"/>
          <w:lang w:eastAsia="en-US"/>
        </w:rPr>
        <w:t> </w:t>
      </w:r>
      <w:r w:rsidRPr="00235CC9">
        <w:rPr>
          <w:color w:val="auto"/>
          <w:lang w:eastAsia="en-US"/>
        </w:rPr>
        <w:t xml:space="preserve">d., nes linijos pralaidumas yra pakankamas. Tačiau su šiuo tikslu susijusią teisę ieškovė turėtų </w:t>
      </w:r>
      <w:r w:rsidR="001740D9">
        <w:rPr>
          <w:color w:val="auto"/>
          <w:lang w:eastAsia="en-US"/>
        </w:rPr>
        <w:t>įgyvendin</w:t>
      </w:r>
      <w:r w:rsidRPr="00235CC9">
        <w:rPr>
          <w:color w:val="auto"/>
          <w:lang w:eastAsia="en-US"/>
        </w:rPr>
        <w:t xml:space="preserve">ti iš naujo pagal 2023 PETA nuostatas. </w:t>
      </w:r>
    </w:p>
    <w:p w14:paraId="66DE9CBD" w14:textId="17766702" w:rsidR="00534E91" w:rsidRPr="00235CC9" w:rsidRDefault="008112B5" w:rsidP="00534E91">
      <w:pPr>
        <w:numPr>
          <w:ilvl w:val="0"/>
          <w:numId w:val="30"/>
        </w:numPr>
        <w:spacing w:after="120"/>
        <w:ind w:left="357" w:hanging="357"/>
        <w:jc w:val="both"/>
        <w:rPr>
          <w:color w:val="auto"/>
          <w:lang w:eastAsia="en-US"/>
        </w:rPr>
      </w:pPr>
      <w:r w:rsidRPr="00235CC9">
        <w:rPr>
          <w:color w:val="auto"/>
          <w:lang w:eastAsia="en-US"/>
        </w:rPr>
        <w:t>Vilniaus</w:t>
      </w:r>
      <w:r w:rsidR="00534E91" w:rsidRPr="00235CC9">
        <w:rPr>
          <w:color w:val="auto"/>
          <w:lang w:eastAsia="en-US"/>
        </w:rPr>
        <w:t xml:space="preserve"> apygardos teismo</w:t>
      </w:r>
      <w:r w:rsidR="00534E91" w:rsidRPr="00235CC9">
        <w:t xml:space="preserve"> Civilinių bylų skyriaus teisėjų kolegija, išnagrinėjusi bylą pagal ieškovės apeliacin</w:t>
      </w:r>
      <w:r w:rsidRPr="00235CC9">
        <w:t>į</w:t>
      </w:r>
      <w:r w:rsidR="00534E91" w:rsidRPr="00235CC9">
        <w:t xml:space="preserve"> skund</w:t>
      </w:r>
      <w:r w:rsidRPr="00235CC9">
        <w:t>ą</w:t>
      </w:r>
      <w:r w:rsidR="00534E91" w:rsidRPr="00235CC9">
        <w:t xml:space="preserve">, 2024 m. rugsėjo </w:t>
      </w:r>
      <w:r w:rsidRPr="00235CC9">
        <w:t>24</w:t>
      </w:r>
      <w:r w:rsidR="00534E91" w:rsidRPr="00235CC9">
        <w:t xml:space="preserve"> d. nutartimi paliko nepakeistą pirmosios instancijos teismo sprendimą. </w:t>
      </w:r>
    </w:p>
    <w:p w14:paraId="12086AC0" w14:textId="2A13CCBE" w:rsidR="00780B39" w:rsidRPr="00235CC9" w:rsidRDefault="00534E91" w:rsidP="00780B39">
      <w:pPr>
        <w:numPr>
          <w:ilvl w:val="0"/>
          <w:numId w:val="30"/>
        </w:numPr>
        <w:spacing w:after="120"/>
        <w:ind w:left="357" w:hanging="357"/>
        <w:jc w:val="both"/>
        <w:rPr>
          <w:color w:val="auto"/>
          <w:lang w:eastAsia="en-US"/>
        </w:rPr>
      </w:pPr>
      <w:r w:rsidRPr="00235CC9">
        <w:rPr>
          <w:color w:val="auto"/>
          <w:lang w:eastAsia="en-US"/>
        </w:rPr>
        <w:t>Apeliacinės instancijos teism</w:t>
      </w:r>
      <w:r w:rsidR="00120F90" w:rsidRPr="00235CC9">
        <w:rPr>
          <w:color w:val="auto"/>
          <w:lang w:eastAsia="en-US"/>
        </w:rPr>
        <w:t>o teisėjų kolegija</w:t>
      </w:r>
      <w:r w:rsidRPr="00235CC9">
        <w:rPr>
          <w:color w:val="auto"/>
          <w:lang w:eastAsia="en-US"/>
        </w:rPr>
        <w:t xml:space="preserve"> atsisakė priimti </w:t>
      </w:r>
      <w:r w:rsidR="00780B39" w:rsidRPr="00235CC9">
        <w:rPr>
          <w:color w:val="auto"/>
          <w:lang w:eastAsia="en-US"/>
        </w:rPr>
        <w:t>ieškovės rašytinius paaiškinimus, kadangi, pasibaigus apeliacinio skundo padavimo terminui, jį keisti ar papildyti naujais argumentais yra draudžiama (</w:t>
      </w:r>
      <w:r w:rsidR="001608CF" w:rsidRPr="001608CF">
        <w:rPr>
          <w:color w:val="auto"/>
          <w:lang w:eastAsia="en-US"/>
        </w:rPr>
        <w:t>Lietuvos Respublikos civilinio proceso kodekso (toliau – ir CPK)</w:t>
      </w:r>
      <w:r w:rsidR="00780B39" w:rsidRPr="00235CC9">
        <w:rPr>
          <w:color w:val="auto"/>
          <w:lang w:eastAsia="en-US"/>
        </w:rPr>
        <w:t xml:space="preserve"> 323 straipsnis). Tuo tarpu ieškovė savo rašytiniuose paaiškinimuose iš esmės siekia išplėsti apeliacinio skundo motyvus ir jį papildyti naujais argumentais.</w:t>
      </w:r>
    </w:p>
    <w:p w14:paraId="79507665" w14:textId="0664679A" w:rsidR="00780B39" w:rsidRPr="00235CC9" w:rsidRDefault="00120F90" w:rsidP="00571915">
      <w:pPr>
        <w:numPr>
          <w:ilvl w:val="0"/>
          <w:numId w:val="30"/>
        </w:numPr>
        <w:spacing w:after="120"/>
        <w:ind w:left="357" w:hanging="357"/>
        <w:jc w:val="both"/>
        <w:rPr>
          <w:color w:val="auto"/>
          <w:lang w:eastAsia="en-US"/>
        </w:rPr>
      </w:pPr>
      <w:r w:rsidRPr="00235CC9">
        <w:rPr>
          <w:color w:val="auto"/>
          <w:lang w:eastAsia="en-US"/>
        </w:rPr>
        <w:t xml:space="preserve">Kolegija pažymėjo, kad </w:t>
      </w:r>
      <w:r w:rsidR="00780B39" w:rsidRPr="00235CC9">
        <w:rPr>
          <w:color w:val="auto"/>
          <w:lang w:eastAsia="en-US"/>
        </w:rPr>
        <w:t>byloje tarp šalių kilęs ginčas</w:t>
      </w:r>
      <w:r w:rsidR="001740D9">
        <w:rPr>
          <w:color w:val="auto"/>
          <w:lang w:eastAsia="en-US"/>
        </w:rPr>
        <w:t>,</w:t>
      </w:r>
      <w:r w:rsidR="00780B39" w:rsidRPr="00235CC9">
        <w:rPr>
          <w:color w:val="auto"/>
          <w:lang w:eastAsia="en-US"/>
        </w:rPr>
        <w:t xml:space="preserve"> ar prašymo sudaryti ketinimų protokolą </w:t>
      </w:r>
      <w:r w:rsidR="001740D9">
        <w:rPr>
          <w:color w:val="auto"/>
          <w:lang w:eastAsia="en-US"/>
        </w:rPr>
        <w:t xml:space="preserve">pateikimo </w:t>
      </w:r>
      <w:r w:rsidR="00780B39" w:rsidRPr="00235CC9">
        <w:rPr>
          <w:color w:val="auto"/>
          <w:lang w:eastAsia="en-US"/>
        </w:rPr>
        <w:t xml:space="preserve">metu 330 </w:t>
      </w:r>
      <w:proofErr w:type="spellStart"/>
      <w:r w:rsidR="00780B39" w:rsidRPr="00235CC9">
        <w:rPr>
          <w:color w:val="auto"/>
          <w:lang w:eastAsia="en-US"/>
        </w:rPr>
        <w:t>kV</w:t>
      </w:r>
      <w:proofErr w:type="spellEnd"/>
      <w:r w:rsidR="00780B39" w:rsidRPr="00235CC9">
        <w:rPr>
          <w:color w:val="auto"/>
          <w:lang w:eastAsia="en-US"/>
        </w:rPr>
        <w:t xml:space="preserve"> elektros linijos Utena–Panevėžys elektros tinklų pralaidumas buvo pakankamas 250 MW leistinos generuoti galios vėjo elektrin</w:t>
      </w:r>
      <w:r w:rsidR="001740D9">
        <w:rPr>
          <w:color w:val="auto"/>
          <w:lang w:eastAsia="en-US"/>
        </w:rPr>
        <w:t>ei prijungti</w:t>
      </w:r>
      <w:r w:rsidR="00780B39" w:rsidRPr="00235CC9">
        <w:rPr>
          <w:color w:val="auto"/>
          <w:lang w:eastAsia="en-US"/>
        </w:rPr>
        <w:t xml:space="preserve">. Kolegija </w:t>
      </w:r>
      <w:r w:rsidR="001740D9">
        <w:rPr>
          <w:color w:val="auto"/>
          <w:lang w:eastAsia="en-US"/>
        </w:rPr>
        <w:t>pa</w:t>
      </w:r>
      <w:r w:rsidR="00780B39" w:rsidRPr="00235CC9">
        <w:rPr>
          <w:color w:val="auto"/>
          <w:lang w:eastAsia="en-US"/>
        </w:rPr>
        <w:t>darė išvadą, kad 2022 m. gruodžio 19 d. ieškovė prie linijos galėjo būti prijun</w:t>
      </w:r>
      <w:r w:rsidR="00210883">
        <w:rPr>
          <w:color w:val="auto"/>
          <w:lang w:eastAsia="en-US"/>
        </w:rPr>
        <w:t>g</w:t>
      </w:r>
      <w:r w:rsidR="00780B39" w:rsidRPr="00235CC9">
        <w:rPr>
          <w:color w:val="auto"/>
          <w:lang w:eastAsia="en-US"/>
        </w:rPr>
        <w:t xml:space="preserve">ta tik taikant </w:t>
      </w:r>
      <w:bookmarkStart w:id="6" w:name="_Hlk189232326"/>
      <w:r w:rsidR="00780B39" w:rsidRPr="00235CC9">
        <w:rPr>
          <w:color w:val="auto"/>
          <w:lang w:eastAsia="en-US"/>
        </w:rPr>
        <w:t>technines ar organizacines generuojamos galios ribojimo priemones</w:t>
      </w:r>
      <w:bookmarkEnd w:id="6"/>
      <w:r w:rsidR="00780B39" w:rsidRPr="00235CC9">
        <w:rPr>
          <w:color w:val="auto"/>
          <w:lang w:eastAsia="en-US"/>
        </w:rPr>
        <w:t xml:space="preserve">, tačiau pagal </w:t>
      </w:r>
      <w:r w:rsidR="00780B39" w:rsidRPr="00235CC9">
        <w:t xml:space="preserve">2022 PETA 93 punktą techninės ar organizacinės generuojamos galios ribojimo priemonės galėjo būti taikomos tik dėl objektyvių priežasčių (tinklo avarijos arba remonto darbų) arba dėl kitų techninių priežasčių, </w:t>
      </w:r>
      <w:r w:rsidR="001740D9">
        <w:t>ir</w:t>
      </w:r>
      <w:r w:rsidR="00780B39" w:rsidRPr="00235CC9">
        <w:t xml:space="preserve"> tik nediskriminaciniais pagrindais. Tik 2023 PETA buvo įtvirtinti papildomi ribojimai, būtini dėl saulės ir vėjo elektrinių generavimo sutapties, kuri</w:t>
      </w:r>
      <w:r w:rsidR="00E91949">
        <w:t xml:space="preserve">e nebuvo nustatyti </w:t>
      </w:r>
      <w:r w:rsidR="00780B39" w:rsidRPr="00235CC9">
        <w:t>2022 PETA. Be to, 2022</w:t>
      </w:r>
      <w:r w:rsidR="001740D9">
        <w:t> </w:t>
      </w:r>
      <w:r w:rsidR="00780B39" w:rsidRPr="00235CC9">
        <w:t>PETA apskritai ne</w:t>
      </w:r>
      <w:r w:rsidR="001740D9">
        <w:t>įtvirtino</w:t>
      </w:r>
      <w:r w:rsidR="00780B39" w:rsidRPr="00235CC9">
        <w:t xml:space="preserve"> pralaidumų skaičiavimų principo, t. y. konkretus tinklo pralaidumas buvo skirstomas visų prie tinklo jungiamų įrenginių leistiną generuoti galią atimant iš bendro perdavimo tinklo pralaidumo. Taigi, tam, kad atsakovė 2022 metais būtų galėjusi prijungti ieškovę prie tinklo pagal esamą galingumą</w:t>
      </w:r>
      <w:r w:rsidR="001740D9">
        <w:t>,</w:t>
      </w:r>
      <w:r w:rsidR="00780B39" w:rsidRPr="00235CC9">
        <w:t xml:space="preserve"> reikėjo papildomų techninių galimybių ir atitinkamo teisinio reguliavimo, kuris leistų atsakovei taikyti technines priemones, tačiau to nenu</w:t>
      </w:r>
      <w:r w:rsidR="00E91949">
        <w:t>statė</w:t>
      </w:r>
      <w:r w:rsidR="00780B39" w:rsidRPr="00235CC9">
        <w:t xml:space="preserve"> 2022 PETA.</w:t>
      </w:r>
    </w:p>
    <w:p w14:paraId="2E915C10" w14:textId="567CB8D6" w:rsidR="00780B39" w:rsidRPr="00235CC9" w:rsidRDefault="00780B39" w:rsidP="00571915">
      <w:pPr>
        <w:pStyle w:val="Sraopastraipa"/>
        <w:numPr>
          <w:ilvl w:val="0"/>
          <w:numId w:val="30"/>
        </w:numPr>
        <w:spacing w:line="240" w:lineRule="auto"/>
        <w:contextualSpacing w:val="0"/>
        <w:jc w:val="both"/>
        <w:rPr>
          <w:rFonts w:ascii="Times New Roman" w:hAnsi="Times New Roman"/>
          <w:color w:val="auto"/>
          <w:sz w:val="24"/>
          <w:szCs w:val="24"/>
          <w:lang w:eastAsia="en-US"/>
        </w:rPr>
      </w:pPr>
      <w:r w:rsidRPr="00235CC9">
        <w:rPr>
          <w:rFonts w:ascii="Times New Roman" w:hAnsi="Times New Roman"/>
          <w:color w:val="auto"/>
          <w:sz w:val="24"/>
          <w:szCs w:val="24"/>
          <w:lang w:eastAsia="en-US"/>
        </w:rPr>
        <w:t xml:space="preserve">Kolegija iš esmės pritarė pirmosios instancijos teismo išvadoms, kad </w:t>
      </w:r>
      <w:r w:rsidR="00571915" w:rsidRPr="00235CC9">
        <w:rPr>
          <w:rFonts w:ascii="Times New Roman" w:hAnsi="Times New Roman"/>
          <w:color w:val="auto"/>
          <w:sz w:val="24"/>
          <w:szCs w:val="24"/>
          <w:lang w:eastAsia="en-US"/>
        </w:rPr>
        <w:t>p</w:t>
      </w:r>
      <w:r w:rsidRPr="00235CC9">
        <w:rPr>
          <w:rFonts w:ascii="Times New Roman" w:hAnsi="Times New Roman"/>
          <w:color w:val="auto"/>
          <w:sz w:val="24"/>
          <w:szCs w:val="24"/>
          <w:lang w:eastAsia="en-US"/>
        </w:rPr>
        <w:t xml:space="preserve">ralaidumų skaičiavimo taisyklė, pagrįsta </w:t>
      </w:r>
      <w:proofErr w:type="spellStart"/>
      <w:r w:rsidRPr="00235CC9">
        <w:rPr>
          <w:rFonts w:ascii="Times New Roman" w:hAnsi="Times New Roman"/>
          <w:color w:val="auto"/>
          <w:sz w:val="24"/>
          <w:szCs w:val="24"/>
          <w:lang w:eastAsia="en-US"/>
        </w:rPr>
        <w:t>nevienalaikiškumu</w:t>
      </w:r>
      <w:proofErr w:type="spellEnd"/>
      <w:r w:rsidRPr="00235CC9">
        <w:rPr>
          <w:rFonts w:ascii="Times New Roman" w:hAnsi="Times New Roman"/>
          <w:color w:val="auto"/>
          <w:sz w:val="24"/>
          <w:szCs w:val="24"/>
          <w:lang w:eastAsia="en-US"/>
        </w:rPr>
        <w:t xml:space="preserve">, buvo </w:t>
      </w:r>
      <w:r w:rsidR="00E91949">
        <w:rPr>
          <w:rFonts w:ascii="Times New Roman" w:hAnsi="Times New Roman"/>
          <w:color w:val="auto"/>
          <w:sz w:val="24"/>
          <w:szCs w:val="24"/>
          <w:lang w:eastAsia="en-US"/>
        </w:rPr>
        <w:t>įtvirtinta</w:t>
      </w:r>
      <w:r w:rsidRPr="00235CC9">
        <w:rPr>
          <w:rFonts w:ascii="Times New Roman" w:hAnsi="Times New Roman"/>
          <w:color w:val="auto"/>
          <w:sz w:val="24"/>
          <w:szCs w:val="24"/>
          <w:lang w:eastAsia="en-US"/>
        </w:rPr>
        <w:t xml:space="preserve"> tik 2023 PETA, kuri įsigaliojo 2023 m. kovo 6 d. Taigi tuo metu, kai ieškovė pareiškė atsakovei prašymą sudaryti ketinimų protokolą, pagal galiojusią pralaidumų rezervavimo tvarką, nustatytą 2022 PETA, atsakovė tinklo pralaidumą galėjo skaičiuoti tik iš bendro perdavimo tinklo pralaidumo atimdama prie tinklo jungiamų įrenginių leistiną generuoti galią. Skaičiuojant pagal 2022 PETA</w:t>
      </w:r>
      <w:r w:rsidR="001740D9">
        <w:rPr>
          <w:rFonts w:ascii="Times New Roman" w:hAnsi="Times New Roman"/>
          <w:color w:val="auto"/>
          <w:sz w:val="24"/>
          <w:szCs w:val="24"/>
          <w:lang w:eastAsia="en-US"/>
        </w:rPr>
        <w:t>,</w:t>
      </w:r>
      <w:r w:rsidRPr="00235CC9">
        <w:rPr>
          <w:rFonts w:ascii="Times New Roman" w:hAnsi="Times New Roman"/>
          <w:color w:val="auto"/>
          <w:sz w:val="24"/>
          <w:szCs w:val="24"/>
          <w:lang w:eastAsia="en-US"/>
        </w:rPr>
        <w:t xml:space="preserve"> laisvas ir saugus pralaidumas vėjo elektrin</w:t>
      </w:r>
      <w:r w:rsidR="001740D9">
        <w:rPr>
          <w:rFonts w:ascii="Times New Roman" w:hAnsi="Times New Roman"/>
          <w:color w:val="auto"/>
          <w:sz w:val="24"/>
          <w:szCs w:val="24"/>
          <w:lang w:eastAsia="en-US"/>
        </w:rPr>
        <w:t>ei</w:t>
      </w:r>
      <w:r w:rsidRPr="00235CC9">
        <w:rPr>
          <w:rFonts w:ascii="Times New Roman" w:hAnsi="Times New Roman"/>
          <w:color w:val="auto"/>
          <w:sz w:val="24"/>
          <w:szCs w:val="24"/>
          <w:lang w:eastAsia="en-US"/>
        </w:rPr>
        <w:t xml:space="preserve"> prijung</w:t>
      </w:r>
      <w:r w:rsidR="001740D9">
        <w:rPr>
          <w:rFonts w:ascii="Times New Roman" w:hAnsi="Times New Roman"/>
          <w:color w:val="auto"/>
          <w:sz w:val="24"/>
          <w:szCs w:val="24"/>
          <w:lang w:eastAsia="en-US"/>
        </w:rPr>
        <w:t>t</w:t>
      </w:r>
      <w:r w:rsidRPr="00235CC9">
        <w:rPr>
          <w:rFonts w:ascii="Times New Roman" w:hAnsi="Times New Roman"/>
          <w:color w:val="auto"/>
          <w:sz w:val="24"/>
          <w:szCs w:val="24"/>
          <w:lang w:eastAsia="en-US"/>
        </w:rPr>
        <w:t xml:space="preserve">i prie 330 </w:t>
      </w:r>
      <w:proofErr w:type="spellStart"/>
      <w:r w:rsidRPr="00235CC9">
        <w:rPr>
          <w:rFonts w:ascii="Times New Roman" w:hAnsi="Times New Roman"/>
          <w:color w:val="auto"/>
          <w:sz w:val="24"/>
          <w:szCs w:val="24"/>
          <w:lang w:eastAsia="en-US"/>
        </w:rPr>
        <w:t>kV</w:t>
      </w:r>
      <w:proofErr w:type="spellEnd"/>
      <w:r w:rsidRPr="00235CC9">
        <w:rPr>
          <w:rFonts w:ascii="Times New Roman" w:hAnsi="Times New Roman"/>
          <w:color w:val="auto"/>
          <w:sz w:val="24"/>
          <w:szCs w:val="24"/>
          <w:lang w:eastAsia="en-US"/>
        </w:rPr>
        <w:t xml:space="preserve"> elektros linijos Utena–Panevėžys 2022 m. gruodžio 19 d. buvo 120 MW, t.</w:t>
      </w:r>
      <w:r w:rsidR="001740D9">
        <w:rPr>
          <w:rFonts w:ascii="Times New Roman" w:hAnsi="Times New Roman"/>
          <w:color w:val="auto"/>
          <w:sz w:val="24"/>
          <w:szCs w:val="24"/>
          <w:lang w:eastAsia="en-US"/>
        </w:rPr>
        <w:t> </w:t>
      </w:r>
      <w:r w:rsidRPr="00235CC9">
        <w:rPr>
          <w:rFonts w:ascii="Times New Roman" w:hAnsi="Times New Roman"/>
          <w:color w:val="auto"/>
          <w:sz w:val="24"/>
          <w:szCs w:val="24"/>
          <w:lang w:eastAsia="en-US"/>
        </w:rPr>
        <w:t xml:space="preserve">y. egzistavo 2022 PETA 19 punkte nurodytos priežastys, dėl kurių ieškovės elektrinė prie elektros tinklų pagal įmonei išduotas išankstines prijungimo sąlygas negalėjo būti prijungta. Atsižvelgiant į tai, atsakovė pagrįstai atsisakė sudaryti ketinimų protokolą. </w:t>
      </w:r>
    </w:p>
    <w:p w14:paraId="1468274E" w14:textId="4A6B77B1" w:rsidR="00123EE2" w:rsidRPr="00235CC9" w:rsidRDefault="00123EE2" w:rsidP="00571915">
      <w:pPr>
        <w:spacing w:after="120"/>
        <w:ind w:left="357"/>
        <w:jc w:val="both"/>
        <w:rPr>
          <w:color w:val="auto"/>
          <w:lang w:eastAsia="en-US"/>
        </w:rPr>
      </w:pPr>
    </w:p>
    <w:p w14:paraId="7AB8A690" w14:textId="77777777" w:rsidR="00123EE2" w:rsidRPr="00235CC9"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235CC9">
        <w:rPr>
          <w:rFonts w:ascii="Times New Roman" w:hAnsi="Times New Roman"/>
          <w:sz w:val="24"/>
          <w:szCs w:val="24"/>
        </w:rPr>
        <w:t>III. Kasacinio skundo ir atsiliepimo į jį teisiniai argumentai</w:t>
      </w:r>
    </w:p>
    <w:p w14:paraId="18DACA3E" w14:textId="77777777" w:rsidR="00123EE2" w:rsidRPr="00235CC9" w:rsidRDefault="00123EE2" w:rsidP="001E75CD">
      <w:pPr>
        <w:spacing w:after="120"/>
        <w:jc w:val="both"/>
      </w:pPr>
    </w:p>
    <w:p w14:paraId="1C8D5D9B" w14:textId="243C1821" w:rsidR="00123EE2" w:rsidRPr="00235CC9" w:rsidRDefault="00A80C8A" w:rsidP="00BC4C1A">
      <w:pPr>
        <w:pStyle w:val="Sraopastraipa"/>
        <w:numPr>
          <w:ilvl w:val="0"/>
          <w:numId w:val="3"/>
        </w:numPr>
        <w:shd w:val="clear" w:color="auto" w:fill="FFFFFF"/>
        <w:spacing w:after="120" w:line="240" w:lineRule="auto"/>
        <w:contextualSpacing w:val="0"/>
        <w:jc w:val="both"/>
        <w:rPr>
          <w:rFonts w:ascii="Times New Roman" w:hAnsi="Times New Roman"/>
          <w:sz w:val="24"/>
          <w:szCs w:val="24"/>
          <w:lang w:bidi="lt-LT"/>
        </w:rPr>
      </w:pPr>
      <w:r w:rsidRPr="00235CC9">
        <w:rPr>
          <w:rFonts w:ascii="Times New Roman" w:hAnsi="Times New Roman"/>
          <w:sz w:val="24"/>
          <w:szCs w:val="24"/>
        </w:rPr>
        <w:t>Kasaciniu skundu</w:t>
      </w:r>
      <w:r w:rsidR="006D2A9A" w:rsidRPr="00235CC9">
        <w:rPr>
          <w:rFonts w:ascii="Times New Roman" w:hAnsi="Times New Roman"/>
          <w:sz w:val="24"/>
          <w:szCs w:val="24"/>
        </w:rPr>
        <w:t xml:space="preserve"> </w:t>
      </w:r>
      <w:r w:rsidR="008B54EE" w:rsidRPr="00235CC9">
        <w:rPr>
          <w:rFonts w:ascii="Times New Roman" w:hAnsi="Times New Roman"/>
          <w:sz w:val="24"/>
          <w:szCs w:val="24"/>
        </w:rPr>
        <w:t>ieškovė</w:t>
      </w:r>
      <w:r w:rsidR="006D2A9A" w:rsidRPr="00235CC9">
        <w:rPr>
          <w:rFonts w:ascii="Times New Roman" w:hAnsi="Times New Roman"/>
          <w:sz w:val="24"/>
          <w:szCs w:val="24"/>
        </w:rPr>
        <w:t xml:space="preserve"> </w:t>
      </w:r>
      <w:r w:rsidRPr="00235CC9">
        <w:rPr>
          <w:rFonts w:ascii="Times New Roman" w:hAnsi="Times New Roman"/>
          <w:sz w:val="24"/>
          <w:szCs w:val="24"/>
        </w:rPr>
        <w:t xml:space="preserve">prašo </w:t>
      </w:r>
      <w:r w:rsidR="00055C3C" w:rsidRPr="00235CC9">
        <w:rPr>
          <w:rFonts w:ascii="Times New Roman" w:hAnsi="Times New Roman"/>
          <w:sz w:val="24"/>
          <w:szCs w:val="24"/>
        </w:rPr>
        <w:t xml:space="preserve">panaikinti </w:t>
      </w:r>
      <w:r w:rsidR="008B54EE" w:rsidRPr="00235CC9">
        <w:rPr>
          <w:rFonts w:ascii="Times New Roman" w:hAnsi="Times New Roman"/>
          <w:sz w:val="24"/>
          <w:szCs w:val="24"/>
          <w:lang w:bidi="lt-LT"/>
        </w:rPr>
        <w:t>Vilniaus</w:t>
      </w:r>
      <w:r w:rsidR="00BF2530" w:rsidRPr="00235CC9">
        <w:rPr>
          <w:rFonts w:ascii="Times New Roman" w:hAnsi="Times New Roman"/>
          <w:sz w:val="24"/>
          <w:szCs w:val="24"/>
          <w:lang w:bidi="lt-LT"/>
        </w:rPr>
        <w:t xml:space="preserve"> apygardos teismo Civilinių bylų skyriaus teisėjų kolegijos 2024 m. rugsėjo </w:t>
      </w:r>
      <w:r w:rsidR="008B54EE" w:rsidRPr="00235CC9">
        <w:rPr>
          <w:rFonts w:ascii="Times New Roman" w:hAnsi="Times New Roman"/>
          <w:sz w:val="24"/>
          <w:szCs w:val="24"/>
          <w:lang w:bidi="lt-LT"/>
        </w:rPr>
        <w:t>24</w:t>
      </w:r>
      <w:r w:rsidR="00BF2530" w:rsidRPr="00235CC9">
        <w:rPr>
          <w:rFonts w:ascii="Times New Roman" w:hAnsi="Times New Roman"/>
          <w:sz w:val="24"/>
          <w:szCs w:val="24"/>
          <w:lang w:bidi="lt-LT"/>
        </w:rPr>
        <w:t xml:space="preserve"> d. </w:t>
      </w:r>
      <w:r w:rsidR="008B54EE" w:rsidRPr="00235CC9">
        <w:rPr>
          <w:rFonts w:ascii="Times New Roman" w:hAnsi="Times New Roman"/>
          <w:sz w:val="24"/>
          <w:szCs w:val="24"/>
          <w:lang w:bidi="lt-LT"/>
        </w:rPr>
        <w:t>nutartį ir perduoti bylą iš naujo nagrinėti apeliacinės instancijos teismui</w:t>
      </w:r>
      <w:r w:rsidR="007D4EB1" w:rsidRPr="00235CC9">
        <w:rPr>
          <w:rFonts w:ascii="Times New Roman" w:hAnsi="Times New Roman"/>
          <w:sz w:val="24"/>
          <w:szCs w:val="24"/>
          <w:lang w:bidi="lt-LT"/>
        </w:rPr>
        <w:t>.</w:t>
      </w:r>
      <w:r w:rsidR="00BF2530" w:rsidRPr="00235CC9">
        <w:rPr>
          <w:rFonts w:ascii="Times New Roman" w:hAnsi="Times New Roman"/>
          <w:sz w:val="24"/>
          <w:szCs w:val="24"/>
          <w:lang w:bidi="lt-LT"/>
        </w:rPr>
        <w:t xml:space="preserve"> </w:t>
      </w:r>
      <w:r w:rsidRPr="00235CC9">
        <w:rPr>
          <w:rFonts w:ascii="Times New Roman" w:hAnsi="Times New Roman"/>
          <w:sz w:val="24"/>
          <w:szCs w:val="24"/>
        </w:rPr>
        <w:t>Kasacinis skundas grindžiamas šiais argumentais:</w:t>
      </w:r>
    </w:p>
    <w:p w14:paraId="76A6980A" w14:textId="63679CF2" w:rsidR="00527EB2" w:rsidRPr="00235CC9" w:rsidRDefault="00BF2530" w:rsidP="004E758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35CC9">
        <w:rPr>
          <w:rFonts w:ascii="Times New Roman" w:hAnsi="Times New Roman"/>
          <w:sz w:val="24"/>
          <w:szCs w:val="24"/>
        </w:rPr>
        <w:t xml:space="preserve">Apeliacinės instancijos teismas </w:t>
      </w:r>
      <w:r w:rsidR="00A9558C" w:rsidRPr="00235CC9">
        <w:rPr>
          <w:rFonts w:ascii="Times New Roman" w:hAnsi="Times New Roman"/>
          <w:sz w:val="24"/>
          <w:szCs w:val="24"/>
        </w:rPr>
        <w:t xml:space="preserve">nepagrįstai </w:t>
      </w:r>
      <w:r w:rsidR="00527EB2" w:rsidRPr="00235CC9">
        <w:rPr>
          <w:rFonts w:ascii="Times New Roman" w:hAnsi="Times New Roman"/>
          <w:sz w:val="24"/>
          <w:szCs w:val="24"/>
        </w:rPr>
        <w:t>apribojo ieškovės teisę teikti byloje įrodymus ir įrodinėti aplinkybes, kuriomis asmuo remiasi</w:t>
      </w:r>
      <w:r w:rsidR="001740D9">
        <w:rPr>
          <w:rFonts w:ascii="Times New Roman" w:hAnsi="Times New Roman"/>
          <w:sz w:val="24"/>
          <w:szCs w:val="24"/>
        </w:rPr>
        <w:t>,</w:t>
      </w:r>
      <w:r w:rsidR="00527EB2" w:rsidRPr="00235CC9">
        <w:rPr>
          <w:rFonts w:ascii="Times New Roman" w:hAnsi="Times New Roman"/>
          <w:sz w:val="24"/>
          <w:szCs w:val="24"/>
        </w:rPr>
        <w:t xml:space="preserve"> ir t</w:t>
      </w:r>
      <w:r w:rsidR="001740D9">
        <w:rPr>
          <w:rFonts w:ascii="Times New Roman" w:hAnsi="Times New Roman"/>
          <w:sz w:val="24"/>
          <w:szCs w:val="24"/>
        </w:rPr>
        <w:t>aip</w:t>
      </w:r>
      <w:r w:rsidR="00527EB2" w:rsidRPr="00235CC9">
        <w:rPr>
          <w:rFonts w:ascii="Times New Roman" w:hAnsi="Times New Roman"/>
          <w:sz w:val="24"/>
          <w:szCs w:val="24"/>
        </w:rPr>
        <w:t xml:space="preserve"> nukrypo nuo kasacinio teismo formuojamos naujų įrodymų apeliacinė</w:t>
      </w:r>
      <w:r w:rsidR="00533468">
        <w:rPr>
          <w:rFonts w:ascii="Times New Roman" w:hAnsi="Times New Roman"/>
          <w:sz w:val="24"/>
          <w:szCs w:val="24"/>
        </w:rPr>
        <w:t>s</w:t>
      </w:r>
      <w:r w:rsidR="00527EB2" w:rsidRPr="00235CC9">
        <w:rPr>
          <w:rFonts w:ascii="Times New Roman" w:hAnsi="Times New Roman"/>
          <w:sz w:val="24"/>
          <w:szCs w:val="24"/>
        </w:rPr>
        <w:t xml:space="preserve"> instancijo</w:t>
      </w:r>
      <w:r w:rsidR="00533468">
        <w:rPr>
          <w:rFonts w:ascii="Times New Roman" w:hAnsi="Times New Roman"/>
          <w:sz w:val="24"/>
          <w:szCs w:val="24"/>
        </w:rPr>
        <w:t>s teisme</w:t>
      </w:r>
      <w:r w:rsidR="00527EB2" w:rsidRPr="00235CC9">
        <w:rPr>
          <w:rFonts w:ascii="Times New Roman" w:hAnsi="Times New Roman"/>
          <w:sz w:val="24"/>
          <w:szCs w:val="24"/>
        </w:rPr>
        <w:t xml:space="preserve"> priėmimo praktikos. Apeliacinės instancijos teismas nepagrįstai atsisakė priimti ieškovės nagrinėjamoje byloje pateiktus rašytinius paaiškinimus (naujus įrodymus) dėl apeliacinės instancijos teismo sprendimo kitoje faktin</w:t>
      </w:r>
      <w:r w:rsidR="00533468">
        <w:rPr>
          <w:rFonts w:ascii="Times New Roman" w:hAnsi="Times New Roman"/>
          <w:sz w:val="24"/>
          <w:szCs w:val="24"/>
        </w:rPr>
        <w:t>ėmis</w:t>
      </w:r>
      <w:r w:rsidR="00527EB2" w:rsidRPr="00235CC9">
        <w:rPr>
          <w:rFonts w:ascii="Times New Roman" w:hAnsi="Times New Roman"/>
          <w:sz w:val="24"/>
          <w:szCs w:val="24"/>
        </w:rPr>
        <w:t xml:space="preserve"> aplinkyb</w:t>
      </w:r>
      <w:r w:rsidR="00533468">
        <w:rPr>
          <w:rFonts w:ascii="Times New Roman" w:hAnsi="Times New Roman"/>
          <w:sz w:val="24"/>
          <w:szCs w:val="24"/>
        </w:rPr>
        <w:t>ėmis analogiškoje</w:t>
      </w:r>
      <w:r w:rsidR="00527EB2" w:rsidRPr="00235CC9">
        <w:rPr>
          <w:rFonts w:ascii="Times New Roman" w:hAnsi="Times New Roman"/>
          <w:sz w:val="24"/>
          <w:szCs w:val="24"/>
        </w:rPr>
        <w:t xml:space="preserve"> byloje esmės</w:t>
      </w:r>
      <w:r w:rsidR="001C7A4F" w:rsidRPr="00235CC9">
        <w:rPr>
          <w:rFonts w:ascii="Times New Roman" w:hAnsi="Times New Roman"/>
          <w:sz w:val="24"/>
          <w:szCs w:val="24"/>
        </w:rPr>
        <w:t>.</w:t>
      </w:r>
      <w:r w:rsidR="00527EB2" w:rsidRPr="00235CC9">
        <w:rPr>
          <w:rFonts w:ascii="Times New Roman" w:hAnsi="Times New Roman"/>
          <w:sz w:val="24"/>
          <w:szCs w:val="24"/>
        </w:rPr>
        <w:t xml:space="preserve"> </w:t>
      </w:r>
      <w:r w:rsidR="001C7A4F" w:rsidRPr="00235CC9">
        <w:rPr>
          <w:rFonts w:ascii="Times New Roman" w:hAnsi="Times New Roman"/>
          <w:sz w:val="24"/>
          <w:szCs w:val="24"/>
        </w:rPr>
        <w:t>N</w:t>
      </w:r>
      <w:r w:rsidR="00527EB2" w:rsidRPr="00235CC9">
        <w:rPr>
          <w:rFonts w:ascii="Times New Roman" w:hAnsi="Times New Roman"/>
          <w:sz w:val="24"/>
          <w:szCs w:val="24"/>
        </w:rPr>
        <w:t>ors apeliacinės instancijos teismas nurodytoje byloje aiškino ir taikė tas pačias materiali</w:t>
      </w:r>
      <w:r w:rsidR="001C7A4F" w:rsidRPr="00235CC9">
        <w:rPr>
          <w:rFonts w:ascii="Times New Roman" w:hAnsi="Times New Roman"/>
          <w:sz w:val="24"/>
          <w:szCs w:val="24"/>
        </w:rPr>
        <w:t>osios</w:t>
      </w:r>
      <w:r w:rsidR="00527EB2" w:rsidRPr="00235CC9">
        <w:rPr>
          <w:rFonts w:ascii="Times New Roman" w:hAnsi="Times New Roman"/>
          <w:sz w:val="24"/>
          <w:szCs w:val="24"/>
        </w:rPr>
        <w:t xml:space="preserve"> teisės normas kaip </w:t>
      </w:r>
      <w:r w:rsidR="001C7A4F" w:rsidRPr="00235CC9">
        <w:rPr>
          <w:rFonts w:ascii="Times New Roman" w:hAnsi="Times New Roman"/>
          <w:sz w:val="24"/>
          <w:szCs w:val="24"/>
        </w:rPr>
        <w:t xml:space="preserve">ir </w:t>
      </w:r>
      <w:r w:rsidR="00527EB2" w:rsidRPr="00235CC9">
        <w:rPr>
          <w:rFonts w:ascii="Times New Roman" w:hAnsi="Times New Roman"/>
          <w:sz w:val="24"/>
          <w:szCs w:val="24"/>
        </w:rPr>
        <w:t>nagrinėjamoje byloje, tačiau apeliacinės instancijos teismų išvados dėl tų pačių materiali</w:t>
      </w:r>
      <w:r w:rsidR="001C7A4F" w:rsidRPr="00235CC9">
        <w:rPr>
          <w:rFonts w:ascii="Times New Roman" w:hAnsi="Times New Roman"/>
          <w:sz w:val="24"/>
          <w:szCs w:val="24"/>
        </w:rPr>
        <w:t>osios</w:t>
      </w:r>
      <w:r w:rsidR="00527EB2" w:rsidRPr="00235CC9">
        <w:rPr>
          <w:rFonts w:ascii="Times New Roman" w:hAnsi="Times New Roman"/>
          <w:sz w:val="24"/>
          <w:szCs w:val="24"/>
        </w:rPr>
        <w:t xml:space="preserve"> teisės normų aiškinimo ir taikymo analogiškomis aplinkybėmis iš esmės skiriasi.</w:t>
      </w:r>
    </w:p>
    <w:p w14:paraId="24114CC5" w14:textId="063E2B60" w:rsidR="00527EB2" w:rsidRPr="00235CC9" w:rsidRDefault="00771DB2" w:rsidP="004E758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35CC9">
        <w:rPr>
          <w:rFonts w:ascii="Times New Roman" w:hAnsi="Times New Roman"/>
          <w:sz w:val="24"/>
          <w:szCs w:val="24"/>
        </w:rPr>
        <w:t>Apeliacinės instancijos teismas nutartyje nemotyvavo, kodėl nesilaiko apeliacinės instancijos teismo iki nutarties priėmimo kitoje byloje pateikto teisės normų aiškinimo ir taikymo ir kodėl nukrypsta nuo iki to apeliacinės instancijos teismo suformuoto precedento analogiškoje byloje</w:t>
      </w:r>
      <w:r w:rsidR="001740D9">
        <w:rPr>
          <w:rFonts w:ascii="Times New Roman" w:hAnsi="Times New Roman"/>
          <w:sz w:val="24"/>
          <w:szCs w:val="24"/>
        </w:rPr>
        <w:t>,</w:t>
      </w:r>
      <w:r w:rsidRPr="00235CC9">
        <w:rPr>
          <w:rFonts w:ascii="Times New Roman" w:hAnsi="Times New Roman"/>
          <w:sz w:val="24"/>
          <w:szCs w:val="24"/>
        </w:rPr>
        <w:t xml:space="preserve"> ir t</w:t>
      </w:r>
      <w:r w:rsidR="001740D9">
        <w:rPr>
          <w:rFonts w:ascii="Times New Roman" w:hAnsi="Times New Roman"/>
          <w:sz w:val="24"/>
          <w:szCs w:val="24"/>
        </w:rPr>
        <w:t>aip</w:t>
      </w:r>
      <w:r w:rsidRPr="00235CC9">
        <w:rPr>
          <w:rFonts w:ascii="Times New Roman" w:hAnsi="Times New Roman"/>
          <w:sz w:val="24"/>
          <w:szCs w:val="24"/>
        </w:rPr>
        <w:t xml:space="preserve"> nukrypo nuo formuojamos teismų praktikos, </w:t>
      </w:r>
      <w:r w:rsidR="001740D9">
        <w:rPr>
          <w:rFonts w:ascii="Times New Roman" w:hAnsi="Times New Roman"/>
          <w:sz w:val="24"/>
          <w:szCs w:val="24"/>
        </w:rPr>
        <w:t xml:space="preserve">kuria </w:t>
      </w:r>
      <w:r w:rsidRPr="00235CC9">
        <w:rPr>
          <w:rFonts w:ascii="Times New Roman" w:hAnsi="Times New Roman"/>
          <w:sz w:val="24"/>
          <w:szCs w:val="24"/>
        </w:rPr>
        <w:t>remiantis bet koks nukrypimas nuo te</w:t>
      </w:r>
      <w:r w:rsidR="00533468">
        <w:rPr>
          <w:rFonts w:ascii="Times New Roman" w:hAnsi="Times New Roman"/>
          <w:sz w:val="24"/>
          <w:szCs w:val="24"/>
        </w:rPr>
        <w:t>i</w:t>
      </w:r>
      <w:r w:rsidRPr="00235CC9">
        <w:rPr>
          <w:rFonts w:ascii="Times New Roman" w:hAnsi="Times New Roman"/>
          <w:sz w:val="24"/>
          <w:szCs w:val="24"/>
        </w:rPr>
        <w:t>smų praktikos turi būti tinkamai motyvuojamas ir argumentuojamas.</w:t>
      </w:r>
    </w:p>
    <w:p w14:paraId="1C282166" w14:textId="1A12B2CE" w:rsidR="00771DB2" w:rsidRPr="00235CC9" w:rsidRDefault="00771DB2" w:rsidP="004E758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35CC9">
        <w:rPr>
          <w:rFonts w:ascii="Times New Roman" w:hAnsi="Times New Roman"/>
          <w:sz w:val="24"/>
          <w:szCs w:val="24"/>
        </w:rPr>
        <w:t>Apeliacinės instancijos teismas apskritai nenurodė, jog būtų vertinęs apeliacinės instancijos teismo kitoje byloje pateiktą išaiškinimą. Tokiu būdu palikus apeliacinės instancijos teismo nutartį nepakeist</w:t>
      </w:r>
      <w:r w:rsidR="001740D9">
        <w:rPr>
          <w:rFonts w:ascii="Times New Roman" w:hAnsi="Times New Roman"/>
          <w:sz w:val="24"/>
          <w:szCs w:val="24"/>
        </w:rPr>
        <w:t>ą,</w:t>
      </w:r>
      <w:r w:rsidRPr="00235CC9">
        <w:rPr>
          <w:rFonts w:ascii="Times New Roman" w:hAnsi="Times New Roman"/>
          <w:sz w:val="24"/>
          <w:szCs w:val="24"/>
        </w:rPr>
        <w:t xml:space="preserve"> būtų formuojama prieštaringa bendrosios kompetencijos teismo praktika.</w:t>
      </w:r>
    </w:p>
    <w:p w14:paraId="42D57D31" w14:textId="09345242" w:rsidR="00771DB2" w:rsidRPr="00235CC9" w:rsidRDefault="00771DB2" w:rsidP="004E758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35CC9">
        <w:rPr>
          <w:rFonts w:ascii="Times New Roman" w:hAnsi="Times New Roman"/>
          <w:sz w:val="24"/>
          <w:szCs w:val="24"/>
        </w:rPr>
        <w:t>Apeliacinės instancijos teismas nesilaikė iki nutarties priėmimo kitoje byloje apeliacinės instancijos teismo sukurto precedento ir t</w:t>
      </w:r>
      <w:r w:rsidR="001740D9">
        <w:rPr>
          <w:rFonts w:ascii="Times New Roman" w:hAnsi="Times New Roman"/>
          <w:sz w:val="24"/>
          <w:szCs w:val="24"/>
        </w:rPr>
        <w:t>aip</w:t>
      </w:r>
      <w:r w:rsidRPr="00235CC9">
        <w:rPr>
          <w:rFonts w:ascii="Times New Roman" w:hAnsi="Times New Roman"/>
          <w:sz w:val="24"/>
          <w:szCs w:val="24"/>
        </w:rPr>
        <w:t xml:space="preserve"> nukrypo nuo Lietuvos Aukščiausiojo Teismo formuojamo teismo precedento horizontal</w:t>
      </w:r>
      <w:r w:rsidR="001740D9">
        <w:rPr>
          <w:rFonts w:ascii="Times New Roman" w:hAnsi="Times New Roman"/>
          <w:sz w:val="24"/>
          <w:szCs w:val="24"/>
        </w:rPr>
        <w:t>iojo</w:t>
      </w:r>
      <w:r w:rsidRPr="00235CC9">
        <w:rPr>
          <w:rFonts w:ascii="Times New Roman" w:hAnsi="Times New Roman"/>
          <w:sz w:val="24"/>
          <w:szCs w:val="24"/>
        </w:rPr>
        <w:t xml:space="preserve"> poveikio</w:t>
      </w:r>
      <w:r w:rsidR="001740D9">
        <w:rPr>
          <w:rFonts w:ascii="Times New Roman" w:hAnsi="Times New Roman"/>
          <w:sz w:val="24"/>
          <w:szCs w:val="24"/>
        </w:rPr>
        <w:t>,</w:t>
      </w:r>
      <w:r w:rsidRPr="00235CC9">
        <w:rPr>
          <w:rFonts w:ascii="Times New Roman" w:hAnsi="Times New Roman"/>
          <w:sz w:val="24"/>
          <w:szCs w:val="24"/>
        </w:rPr>
        <w:t xml:space="preserve"> lemiančio tai, kad tos pačios pakopos teismai turi laikytis pirmiau išnagrinėtose bylose suformuotų precedentų.</w:t>
      </w:r>
    </w:p>
    <w:p w14:paraId="70A6881E" w14:textId="37446F77" w:rsidR="00C4611D" w:rsidRPr="00235CC9" w:rsidRDefault="00771DB2" w:rsidP="004E758B">
      <w:pPr>
        <w:pStyle w:val="Sraopastraipa"/>
        <w:numPr>
          <w:ilvl w:val="1"/>
          <w:numId w:val="3"/>
        </w:numPr>
        <w:spacing w:after="120" w:line="240" w:lineRule="auto"/>
        <w:contextualSpacing w:val="0"/>
        <w:jc w:val="both"/>
        <w:rPr>
          <w:rFonts w:ascii="Times New Roman" w:hAnsi="Times New Roman"/>
          <w:sz w:val="24"/>
          <w:szCs w:val="24"/>
        </w:rPr>
      </w:pPr>
      <w:r w:rsidRPr="00235CC9">
        <w:rPr>
          <w:rFonts w:ascii="Times New Roman" w:hAnsi="Times New Roman"/>
          <w:sz w:val="24"/>
          <w:szCs w:val="24"/>
        </w:rPr>
        <w:t xml:space="preserve">Iki skundžiamos nutarties priėmimo apeliacinės </w:t>
      </w:r>
      <w:r w:rsidR="001C7A4F" w:rsidRPr="00235CC9">
        <w:rPr>
          <w:rFonts w:ascii="Times New Roman" w:hAnsi="Times New Roman"/>
          <w:sz w:val="24"/>
          <w:szCs w:val="24"/>
        </w:rPr>
        <w:t xml:space="preserve">instancijos </w:t>
      </w:r>
      <w:r w:rsidRPr="00235CC9">
        <w:rPr>
          <w:rFonts w:ascii="Times New Roman" w:hAnsi="Times New Roman"/>
          <w:sz w:val="24"/>
          <w:szCs w:val="24"/>
        </w:rPr>
        <w:t>teisme išnagrinėtos bylos aplinkybės buvo iš esmės tapačios kaip nagrinėjamos bylos, todėl apeliacinės instancijos teismas, nesant aukštesnės instancijos teismo sukurto kitokio precedento analogiškoje ar iš esmės panašioje byloje, turėjo remtis Vilniaus apygardos teismo 2024 m. gegužės 28 d. nutartyje civilinėje byloje Nr. e2A-979-432/2024 pateiktais išaiškinimais.</w:t>
      </w:r>
    </w:p>
    <w:p w14:paraId="696D4354" w14:textId="5774F8A1" w:rsidR="003A7F79" w:rsidRPr="00235CC9" w:rsidRDefault="003A7F79" w:rsidP="004E758B">
      <w:pPr>
        <w:pStyle w:val="Sraopastraipa"/>
        <w:numPr>
          <w:ilvl w:val="1"/>
          <w:numId w:val="3"/>
        </w:numPr>
        <w:spacing w:after="120" w:line="240" w:lineRule="auto"/>
        <w:contextualSpacing w:val="0"/>
        <w:jc w:val="both"/>
        <w:rPr>
          <w:rFonts w:ascii="Times New Roman" w:hAnsi="Times New Roman"/>
          <w:sz w:val="24"/>
          <w:szCs w:val="24"/>
        </w:rPr>
      </w:pPr>
      <w:r w:rsidRPr="00235CC9">
        <w:rPr>
          <w:rFonts w:ascii="Times New Roman" w:hAnsi="Times New Roman"/>
          <w:sz w:val="24"/>
          <w:szCs w:val="24"/>
        </w:rPr>
        <w:t xml:space="preserve">Priešingai nei </w:t>
      </w:r>
      <w:r w:rsidR="001740D9">
        <w:rPr>
          <w:rFonts w:ascii="Times New Roman" w:hAnsi="Times New Roman"/>
          <w:sz w:val="24"/>
          <w:szCs w:val="24"/>
        </w:rPr>
        <w:t>nu</w:t>
      </w:r>
      <w:r w:rsidRPr="00235CC9">
        <w:rPr>
          <w:rFonts w:ascii="Times New Roman" w:hAnsi="Times New Roman"/>
          <w:sz w:val="24"/>
          <w:szCs w:val="24"/>
        </w:rPr>
        <w:t>sprendė žemesnės instancijos teismai, prašymo sudaryti ketinimų protokolą pateikimo metu galiojantis teisinis reguliavimas buvo pakankamas spręsti dėl pralaidumo rezervavimo</w:t>
      </w:r>
      <w:r w:rsidR="001740D9">
        <w:rPr>
          <w:rFonts w:ascii="Times New Roman" w:hAnsi="Times New Roman"/>
          <w:sz w:val="24"/>
          <w:szCs w:val="24"/>
        </w:rPr>
        <w:t>,</w:t>
      </w:r>
      <w:r w:rsidRPr="00235CC9">
        <w:rPr>
          <w:rFonts w:ascii="Times New Roman" w:hAnsi="Times New Roman"/>
          <w:sz w:val="24"/>
          <w:szCs w:val="24"/>
        </w:rPr>
        <w:t xml:space="preserve"> atsižvelgiant į elektros energijos gamybos ir energijos kaupimo įrenginių patiekiamos į elektros tinklą galios </w:t>
      </w:r>
      <w:proofErr w:type="spellStart"/>
      <w:r w:rsidRPr="00235CC9">
        <w:rPr>
          <w:rFonts w:ascii="Times New Roman" w:hAnsi="Times New Roman"/>
          <w:sz w:val="24"/>
          <w:szCs w:val="24"/>
        </w:rPr>
        <w:t>nevienalaikiškumą</w:t>
      </w:r>
      <w:proofErr w:type="spellEnd"/>
      <w:r w:rsidRPr="00235CC9">
        <w:rPr>
          <w:rFonts w:ascii="Times New Roman" w:hAnsi="Times New Roman"/>
          <w:sz w:val="24"/>
          <w:szCs w:val="24"/>
        </w:rPr>
        <w:t>.</w:t>
      </w:r>
    </w:p>
    <w:p w14:paraId="0A96276D" w14:textId="4E74A9D8" w:rsidR="003A7F79" w:rsidRPr="00235CC9" w:rsidRDefault="003A7F79" w:rsidP="004E758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35CC9">
        <w:rPr>
          <w:rFonts w:ascii="Times New Roman" w:hAnsi="Times New Roman"/>
          <w:sz w:val="24"/>
          <w:szCs w:val="24"/>
        </w:rPr>
        <w:t>N</w:t>
      </w:r>
      <w:r w:rsidR="001740D9">
        <w:rPr>
          <w:rFonts w:ascii="Times New Roman" w:hAnsi="Times New Roman"/>
          <w:sz w:val="24"/>
          <w:szCs w:val="24"/>
        </w:rPr>
        <w:t>ors</w:t>
      </w:r>
      <w:r w:rsidRPr="00235CC9">
        <w:rPr>
          <w:rFonts w:ascii="Times New Roman" w:hAnsi="Times New Roman"/>
          <w:sz w:val="24"/>
          <w:szCs w:val="24"/>
        </w:rPr>
        <w:t xml:space="preserve"> pagal prašymo sudaryti ketinimų protokolą pateikimo metu galioj</w:t>
      </w:r>
      <w:r w:rsidR="009E0C11">
        <w:rPr>
          <w:rFonts w:ascii="Times New Roman" w:hAnsi="Times New Roman"/>
          <w:sz w:val="24"/>
          <w:szCs w:val="24"/>
        </w:rPr>
        <w:t>us</w:t>
      </w:r>
      <w:r w:rsidRPr="00235CC9">
        <w:rPr>
          <w:rFonts w:ascii="Times New Roman" w:hAnsi="Times New Roman"/>
          <w:sz w:val="24"/>
          <w:szCs w:val="24"/>
        </w:rPr>
        <w:t xml:space="preserve">į teisinį reguliavimą atsakovė turėjo taikyti </w:t>
      </w:r>
      <w:proofErr w:type="spellStart"/>
      <w:r w:rsidRPr="00235CC9">
        <w:rPr>
          <w:rFonts w:ascii="Times New Roman" w:hAnsi="Times New Roman"/>
          <w:sz w:val="24"/>
          <w:szCs w:val="24"/>
        </w:rPr>
        <w:t>nevienalaikiškumo</w:t>
      </w:r>
      <w:proofErr w:type="spellEnd"/>
      <w:r w:rsidRPr="00235CC9">
        <w:rPr>
          <w:rFonts w:ascii="Times New Roman" w:hAnsi="Times New Roman"/>
          <w:sz w:val="24"/>
          <w:szCs w:val="24"/>
        </w:rPr>
        <w:t xml:space="preserve"> principą, technine prasme tinklo pralaidumas tiek iki </w:t>
      </w:r>
      <w:proofErr w:type="spellStart"/>
      <w:r w:rsidRPr="00235CC9">
        <w:rPr>
          <w:rFonts w:ascii="Times New Roman" w:hAnsi="Times New Roman"/>
          <w:sz w:val="24"/>
          <w:szCs w:val="24"/>
        </w:rPr>
        <w:t>nevienalaikiškumo</w:t>
      </w:r>
      <w:proofErr w:type="spellEnd"/>
      <w:r w:rsidRPr="00235CC9">
        <w:rPr>
          <w:rFonts w:ascii="Times New Roman" w:hAnsi="Times New Roman"/>
          <w:sz w:val="24"/>
          <w:szCs w:val="24"/>
        </w:rPr>
        <w:t xml:space="preserve"> principo nustatymo įstatyme, tiek </w:t>
      </w:r>
      <w:r w:rsidR="001740D9">
        <w:rPr>
          <w:rFonts w:ascii="Times New Roman" w:hAnsi="Times New Roman"/>
          <w:sz w:val="24"/>
          <w:szCs w:val="24"/>
        </w:rPr>
        <w:t>vėliau</w:t>
      </w:r>
      <w:r w:rsidRPr="00235CC9">
        <w:rPr>
          <w:rFonts w:ascii="Times New Roman" w:hAnsi="Times New Roman"/>
          <w:sz w:val="24"/>
          <w:szCs w:val="24"/>
        </w:rPr>
        <w:t xml:space="preserve"> nesikeitė, nes bylos nagrinėjimo metu atsakovė pripažino, kad nurodytu laikotarpiu jokių techninių tinklo plėtros darbų neatliko, o teisiniai reguliavimo pasikeitimai iš esmės negali lemti faktinio tinklo pralaidumo buvimo arba nebuvimo, todėl jeigu atsakovė pripažino, kad</w:t>
      </w:r>
      <w:r w:rsidR="006361F3">
        <w:rPr>
          <w:rFonts w:ascii="Times New Roman" w:hAnsi="Times New Roman"/>
          <w:sz w:val="24"/>
          <w:szCs w:val="24"/>
        </w:rPr>
        <w:t>,</w:t>
      </w:r>
      <w:r w:rsidRPr="00235CC9">
        <w:rPr>
          <w:rFonts w:ascii="Times New Roman" w:hAnsi="Times New Roman"/>
          <w:sz w:val="24"/>
          <w:szCs w:val="24"/>
        </w:rPr>
        <w:t xml:space="preserve"> 2023</w:t>
      </w:r>
      <w:r w:rsidR="001740D9">
        <w:rPr>
          <w:rFonts w:ascii="Times New Roman" w:hAnsi="Times New Roman"/>
          <w:sz w:val="24"/>
          <w:szCs w:val="24"/>
        </w:rPr>
        <w:t> </w:t>
      </w:r>
      <w:r w:rsidRPr="00235CC9">
        <w:rPr>
          <w:rFonts w:ascii="Times New Roman" w:hAnsi="Times New Roman"/>
          <w:sz w:val="24"/>
          <w:szCs w:val="24"/>
        </w:rPr>
        <w:t>m. kovo 7 d. patvirtinus 2023 PETA</w:t>
      </w:r>
      <w:r w:rsidR="006361F3">
        <w:rPr>
          <w:rFonts w:ascii="Times New Roman" w:hAnsi="Times New Roman"/>
          <w:sz w:val="24"/>
          <w:szCs w:val="24"/>
        </w:rPr>
        <w:t>,</w:t>
      </w:r>
      <w:r w:rsidRPr="00235CC9">
        <w:rPr>
          <w:rFonts w:ascii="Times New Roman" w:hAnsi="Times New Roman"/>
          <w:sz w:val="24"/>
          <w:szCs w:val="24"/>
        </w:rPr>
        <w:t xml:space="preserve"> laisv</w:t>
      </w:r>
      <w:r w:rsidR="001740D9">
        <w:rPr>
          <w:rFonts w:ascii="Times New Roman" w:hAnsi="Times New Roman"/>
          <w:sz w:val="24"/>
          <w:szCs w:val="24"/>
        </w:rPr>
        <w:t>as</w:t>
      </w:r>
      <w:r w:rsidRPr="00235CC9">
        <w:rPr>
          <w:rFonts w:ascii="Times New Roman" w:hAnsi="Times New Roman"/>
          <w:sz w:val="24"/>
          <w:szCs w:val="24"/>
        </w:rPr>
        <w:t xml:space="preserve"> pralaidum</w:t>
      </w:r>
      <w:r w:rsidR="001740D9">
        <w:rPr>
          <w:rFonts w:ascii="Times New Roman" w:hAnsi="Times New Roman"/>
          <w:sz w:val="24"/>
          <w:szCs w:val="24"/>
        </w:rPr>
        <w:t>as</w:t>
      </w:r>
      <w:r w:rsidRPr="00235CC9">
        <w:rPr>
          <w:rFonts w:ascii="Times New Roman" w:hAnsi="Times New Roman"/>
          <w:sz w:val="24"/>
          <w:szCs w:val="24"/>
        </w:rPr>
        <w:t xml:space="preserve"> buvo, šis pralaidumas technine prasme buvo laisvas ir prašymo sudaryti ketinimų protokolą pateikimo metu. Esant laisv</w:t>
      </w:r>
      <w:r w:rsidR="001740D9">
        <w:rPr>
          <w:rFonts w:ascii="Times New Roman" w:hAnsi="Times New Roman"/>
          <w:sz w:val="24"/>
          <w:szCs w:val="24"/>
        </w:rPr>
        <w:t>am</w:t>
      </w:r>
      <w:r w:rsidRPr="00235CC9">
        <w:rPr>
          <w:rFonts w:ascii="Times New Roman" w:hAnsi="Times New Roman"/>
          <w:sz w:val="24"/>
          <w:szCs w:val="24"/>
        </w:rPr>
        <w:t xml:space="preserve"> linijos pralaidum</w:t>
      </w:r>
      <w:r w:rsidR="001740D9">
        <w:rPr>
          <w:rFonts w:ascii="Times New Roman" w:hAnsi="Times New Roman"/>
          <w:sz w:val="24"/>
          <w:szCs w:val="24"/>
        </w:rPr>
        <w:t>ui</w:t>
      </w:r>
      <w:r w:rsidRPr="00235CC9">
        <w:rPr>
          <w:rFonts w:ascii="Times New Roman" w:hAnsi="Times New Roman"/>
          <w:sz w:val="24"/>
          <w:szCs w:val="24"/>
        </w:rPr>
        <w:t xml:space="preserve"> atsakovė nepagrįstai atsisakė sudaryti ketinimų protokolą su ieškove</w:t>
      </w:r>
      <w:r w:rsidR="001740D9">
        <w:rPr>
          <w:rFonts w:ascii="Times New Roman" w:hAnsi="Times New Roman"/>
          <w:sz w:val="24"/>
          <w:szCs w:val="24"/>
        </w:rPr>
        <w:t>,</w:t>
      </w:r>
      <w:r w:rsidRPr="00235CC9">
        <w:rPr>
          <w:rFonts w:ascii="Times New Roman" w:hAnsi="Times New Roman"/>
          <w:sz w:val="24"/>
          <w:szCs w:val="24"/>
        </w:rPr>
        <w:t xml:space="preserve"> motyvuo</w:t>
      </w:r>
      <w:r w:rsidR="001740D9">
        <w:rPr>
          <w:rFonts w:ascii="Times New Roman" w:hAnsi="Times New Roman"/>
          <w:sz w:val="24"/>
          <w:szCs w:val="24"/>
        </w:rPr>
        <w:t>dama</w:t>
      </w:r>
      <w:r w:rsidRPr="00235CC9">
        <w:rPr>
          <w:rFonts w:ascii="Times New Roman" w:hAnsi="Times New Roman"/>
          <w:sz w:val="24"/>
          <w:szCs w:val="24"/>
        </w:rPr>
        <w:t xml:space="preserve"> tinklo pralaidumo nepakankamumu.</w:t>
      </w:r>
    </w:p>
    <w:p w14:paraId="54E08E23" w14:textId="68659D1A" w:rsidR="003A7F79" w:rsidRPr="00235CC9" w:rsidRDefault="003A7F79" w:rsidP="004E758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35CC9">
        <w:rPr>
          <w:rFonts w:ascii="Times New Roman" w:hAnsi="Times New Roman"/>
          <w:sz w:val="24"/>
          <w:szCs w:val="24"/>
        </w:rPr>
        <w:t xml:space="preserve">Techninės ir organizacinės generuojamos galios ribojimo priemonės nėra jokia teisinio reguliavimo naujovė, kuri atsirado tik 2023 PETA. Techninės ir organizacinės galios ribojimo priemonės tiek pagal 2022 PETA, tiek pagal 2023 PETA iš esmės yra skirtos </w:t>
      </w:r>
      <w:r w:rsidR="00147AE2">
        <w:rPr>
          <w:rFonts w:ascii="Times New Roman" w:hAnsi="Times New Roman"/>
          <w:sz w:val="24"/>
          <w:szCs w:val="24"/>
        </w:rPr>
        <w:t xml:space="preserve">tam, kad </w:t>
      </w:r>
      <w:r w:rsidRPr="00235CC9">
        <w:rPr>
          <w:rFonts w:ascii="Times New Roman" w:hAnsi="Times New Roman"/>
          <w:sz w:val="24"/>
          <w:szCs w:val="24"/>
        </w:rPr>
        <w:t>atsakov</w:t>
      </w:r>
      <w:r w:rsidR="00147AE2">
        <w:rPr>
          <w:rFonts w:ascii="Times New Roman" w:hAnsi="Times New Roman"/>
          <w:sz w:val="24"/>
          <w:szCs w:val="24"/>
        </w:rPr>
        <w:t>ė</w:t>
      </w:r>
      <w:r w:rsidRPr="00235CC9">
        <w:rPr>
          <w:rFonts w:ascii="Times New Roman" w:hAnsi="Times New Roman"/>
          <w:sz w:val="24"/>
          <w:szCs w:val="24"/>
        </w:rPr>
        <w:t xml:space="preserve"> turėt</w:t>
      </w:r>
      <w:r w:rsidR="00147AE2">
        <w:rPr>
          <w:rFonts w:ascii="Times New Roman" w:hAnsi="Times New Roman"/>
          <w:sz w:val="24"/>
          <w:szCs w:val="24"/>
        </w:rPr>
        <w:t>ų</w:t>
      </w:r>
      <w:r w:rsidRPr="00235CC9">
        <w:rPr>
          <w:rFonts w:ascii="Times New Roman" w:hAnsi="Times New Roman"/>
          <w:sz w:val="24"/>
          <w:szCs w:val="24"/>
        </w:rPr>
        <w:t xml:space="preserve"> galimybę nuotoliniu būdu valdyti generuojamos galios perdavimą </w:t>
      </w:r>
      <w:r w:rsidR="001C7A4F" w:rsidRPr="00235CC9">
        <w:rPr>
          <w:rFonts w:ascii="Times New Roman" w:hAnsi="Times New Roman"/>
          <w:sz w:val="24"/>
          <w:szCs w:val="24"/>
        </w:rPr>
        <w:t xml:space="preserve">į </w:t>
      </w:r>
      <w:r w:rsidRPr="00235CC9">
        <w:rPr>
          <w:rFonts w:ascii="Times New Roman" w:hAnsi="Times New Roman"/>
          <w:sz w:val="24"/>
          <w:szCs w:val="24"/>
        </w:rPr>
        <w:t xml:space="preserve">tinklą ir tokį perdavimą riboti tais atvejais, kai </w:t>
      </w:r>
      <w:r w:rsidR="009E0C11">
        <w:rPr>
          <w:rFonts w:ascii="Times New Roman" w:hAnsi="Times New Roman"/>
          <w:sz w:val="24"/>
          <w:szCs w:val="24"/>
        </w:rPr>
        <w:t>ji</w:t>
      </w:r>
      <w:r w:rsidRPr="00235CC9">
        <w:rPr>
          <w:rFonts w:ascii="Times New Roman" w:hAnsi="Times New Roman"/>
          <w:sz w:val="24"/>
          <w:szCs w:val="24"/>
        </w:rPr>
        <w:t>s kelia grėsmę tinklo saugumui, stabilumui ir patikimumui. Ginčo dėl to, kad techninės ir organizacinės generuojamos galios ribojimo priemonės ieškovei išduotose išankstinėse prijungimo sąlygose buvo nu</w:t>
      </w:r>
      <w:r w:rsidR="00147AE2">
        <w:rPr>
          <w:rFonts w:ascii="Times New Roman" w:hAnsi="Times New Roman"/>
          <w:sz w:val="24"/>
          <w:szCs w:val="24"/>
        </w:rPr>
        <w:t>st</w:t>
      </w:r>
      <w:r w:rsidRPr="00235CC9">
        <w:rPr>
          <w:rFonts w:ascii="Times New Roman" w:hAnsi="Times New Roman"/>
          <w:sz w:val="24"/>
          <w:szCs w:val="24"/>
        </w:rPr>
        <w:t xml:space="preserve">atytos, nėra. Lyginant atsakovės ieškovei </w:t>
      </w:r>
      <w:bookmarkStart w:id="7" w:name="_Hlk190169497"/>
      <w:r w:rsidRPr="00235CC9">
        <w:rPr>
          <w:rFonts w:ascii="Times New Roman" w:hAnsi="Times New Roman"/>
          <w:sz w:val="24"/>
          <w:szCs w:val="24"/>
        </w:rPr>
        <w:t>2022 m. rugpjūčio 4 d. išduotas išankstines prijungimo sąlygas su šiuo metu galiojančiomis tipinėmis išankstinėmis prijungimo sąlygomis, jose nu</w:t>
      </w:r>
      <w:r w:rsidR="00147AE2">
        <w:rPr>
          <w:rFonts w:ascii="Times New Roman" w:hAnsi="Times New Roman"/>
          <w:sz w:val="24"/>
          <w:szCs w:val="24"/>
        </w:rPr>
        <w:t>st</w:t>
      </w:r>
      <w:r w:rsidRPr="00235CC9">
        <w:rPr>
          <w:rFonts w:ascii="Times New Roman" w:hAnsi="Times New Roman"/>
          <w:sz w:val="24"/>
          <w:szCs w:val="24"/>
        </w:rPr>
        <w:t xml:space="preserve">atytos techninio pobūdžio priemonės niekuo nesiskiria. </w:t>
      </w:r>
      <w:bookmarkEnd w:id="7"/>
    </w:p>
    <w:p w14:paraId="45B9C794" w14:textId="7C0FC186" w:rsidR="003A7F79" w:rsidRPr="00235CC9" w:rsidRDefault="004E758B" w:rsidP="004E758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35CC9">
        <w:rPr>
          <w:rFonts w:ascii="Times New Roman" w:hAnsi="Times New Roman"/>
          <w:sz w:val="24"/>
          <w:szCs w:val="24"/>
        </w:rPr>
        <w:t>2022 PETA nu</w:t>
      </w:r>
      <w:r w:rsidR="00E91949">
        <w:rPr>
          <w:rFonts w:ascii="Times New Roman" w:hAnsi="Times New Roman"/>
          <w:sz w:val="24"/>
          <w:szCs w:val="24"/>
        </w:rPr>
        <w:t>st</w:t>
      </w:r>
      <w:r w:rsidRPr="00235CC9">
        <w:rPr>
          <w:rFonts w:ascii="Times New Roman" w:hAnsi="Times New Roman"/>
          <w:sz w:val="24"/>
          <w:szCs w:val="24"/>
        </w:rPr>
        <w:t>atė, kad yra galimybė taikyti neapibrėžtos apimties generuojamos galios ribojimo priemones „&lt;</w:t>
      </w:r>
      <w:r w:rsidR="00147AE2">
        <w:rPr>
          <w:rFonts w:ascii="Times New Roman" w:hAnsi="Times New Roman"/>
          <w:sz w:val="24"/>
          <w:szCs w:val="24"/>
        </w:rPr>
        <w:t>...</w:t>
      </w:r>
      <w:r w:rsidRPr="00235CC9">
        <w:rPr>
          <w:rFonts w:ascii="Times New Roman" w:hAnsi="Times New Roman"/>
          <w:sz w:val="24"/>
          <w:szCs w:val="24"/>
        </w:rPr>
        <w:t xml:space="preserve">&gt; dėl kitų techninių priežasčių, kai nediskriminaciniais pagrindais ribojamas elektros tinklų pralaidumas“. 2023 PETA šiuo klausimu buvo tik patikslinta vidutinė tikėtina tokių ribojimų apimtis, tačiau tai negali būti pagrindu teigti, kad prašymo sudaryti ketinimų protokolą pateikimo metu nebuvo </w:t>
      </w:r>
      <w:r w:rsidR="00E91949">
        <w:rPr>
          <w:rFonts w:ascii="Times New Roman" w:hAnsi="Times New Roman"/>
          <w:sz w:val="24"/>
          <w:szCs w:val="24"/>
        </w:rPr>
        <w:t>įtvirtintos</w:t>
      </w:r>
      <w:r w:rsidRPr="00235CC9">
        <w:rPr>
          <w:rFonts w:ascii="Times New Roman" w:hAnsi="Times New Roman"/>
          <w:sz w:val="24"/>
          <w:szCs w:val="24"/>
        </w:rPr>
        <w:t xml:space="preserve"> techninės ir organizacinės galios ribojimo priemonės ar kad nebuvo laisvo linijos pralaidumo ieškovės įrengini</w:t>
      </w:r>
      <w:r w:rsidR="00147AE2">
        <w:rPr>
          <w:rFonts w:ascii="Times New Roman" w:hAnsi="Times New Roman"/>
          <w:sz w:val="24"/>
          <w:szCs w:val="24"/>
        </w:rPr>
        <w:t>ui</w:t>
      </w:r>
      <w:r w:rsidRPr="00235CC9">
        <w:rPr>
          <w:rFonts w:ascii="Times New Roman" w:hAnsi="Times New Roman"/>
          <w:sz w:val="24"/>
          <w:szCs w:val="24"/>
        </w:rPr>
        <w:t xml:space="preserve"> prijung</w:t>
      </w:r>
      <w:r w:rsidR="00147AE2">
        <w:rPr>
          <w:rFonts w:ascii="Times New Roman" w:hAnsi="Times New Roman"/>
          <w:sz w:val="24"/>
          <w:szCs w:val="24"/>
        </w:rPr>
        <w:t>t</w:t>
      </w:r>
      <w:r w:rsidRPr="00235CC9">
        <w:rPr>
          <w:rFonts w:ascii="Times New Roman" w:hAnsi="Times New Roman"/>
          <w:sz w:val="24"/>
          <w:szCs w:val="24"/>
        </w:rPr>
        <w:t>i.</w:t>
      </w:r>
    </w:p>
    <w:p w14:paraId="706DBDD5" w14:textId="6625137B" w:rsidR="003A7F79" w:rsidRPr="00235CC9" w:rsidRDefault="004E758B" w:rsidP="004E758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235CC9">
        <w:rPr>
          <w:rFonts w:ascii="Times New Roman" w:hAnsi="Times New Roman"/>
          <w:sz w:val="24"/>
          <w:szCs w:val="24"/>
        </w:rPr>
        <w:t xml:space="preserve">Vertinant nagrinėjamo ginčo situaciją elektros energijos perdavimo tinklo saugumo, stabilumo, patikimumo ir balanso palaikymo aspektu svarbiausia tai, kad 2022 PETA leidžia taikyti galios ribojimo priemones dėl kitų techninių priežasčių, kai nediskriminaciniais pagrindais ribojamas elektros tinklų pralaidumas nepriklausomai nuo to, kokios apimties ribojimo priemones numatoma taikyti. </w:t>
      </w:r>
    </w:p>
    <w:p w14:paraId="453E20E1" w14:textId="03801ACF" w:rsidR="00696A98" w:rsidRPr="00235CC9" w:rsidRDefault="00696A98" w:rsidP="00696A98">
      <w:pPr>
        <w:pStyle w:val="Sraopastraipa"/>
        <w:numPr>
          <w:ilvl w:val="0"/>
          <w:numId w:val="3"/>
        </w:numPr>
        <w:spacing w:after="120" w:line="240" w:lineRule="auto"/>
        <w:contextualSpacing w:val="0"/>
        <w:jc w:val="both"/>
        <w:rPr>
          <w:rFonts w:ascii="Times New Roman" w:hAnsi="Times New Roman"/>
          <w:color w:val="auto"/>
          <w:sz w:val="24"/>
          <w:szCs w:val="24"/>
        </w:rPr>
      </w:pPr>
      <w:r w:rsidRPr="00235CC9">
        <w:rPr>
          <w:rFonts w:ascii="Times New Roman" w:hAnsi="Times New Roman"/>
          <w:color w:val="auto"/>
          <w:sz w:val="24"/>
          <w:szCs w:val="24"/>
        </w:rPr>
        <w:t xml:space="preserve">Atsakovė atsiliepimu į kasacinį skundą prašo atmesti ieškovės kasacinį skundą, priimti atsakovės teikiamus </w:t>
      </w:r>
      <w:r w:rsidR="00147AE2">
        <w:rPr>
          <w:rFonts w:ascii="Times New Roman" w:hAnsi="Times New Roman"/>
          <w:color w:val="auto"/>
          <w:sz w:val="24"/>
          <w:szCs w:val="24"/>
        </w:rPr>
        <w:t xml:space="preserve">naujus </w:t>
      </w:r>
      <w:r w:rsidRPr="00235CC9">
        <w:rPr>
          <w:rFonts w:ascii="Times New Roman" w:hAnsi="Times New Roman"/>
          <w:color w:val="auto"/>
          <w:sz w:val="24"/>
          <w:szCs w:val="24"/>
        </w:rPr>
        <w:t xml:space="preserve">įrodymus. Atsiliepimas į kasacinį skundą grindžiamas šiais esminiais argumentais: </w:t>
      </w:r>
    </w:p>
    <w:p w14:paraId="21FF60F3" w14:textId="2F390ADE" w:rsidR="00696A98" w:rsidRPr="00235CC9" w:rsidRDefault="00696A98" w:rsidP="00F80311">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 xml:space="preserve">Apeliacinės instancijos teismas pagrįstai nepriėmė ieškovės teikiamų </w:t>
      </w:r>
      <w:r w:rsidR="00147AE2">
        <w:rPr>
          <w:rFonts w:ascii="Times New Roman" w:hAnsi="Times New Roman"/>
          <w:color w:val="auto"/>
          <w:sz w:val="24"/>
          <w:szCs w:val="24"/>
        </w:rPr>
        <w:t xml:space="preserve">naujų </w:t>
      </w:r>
      <w:r w:rsidRPr="00235CC9">
        <w:rPr>
          <w:rFonts w:ascii="Times New Roman" w:hAnsi="Times New Roman"/>
          <w:color w:val="auto"/>
          <w:sz w:val="24"/>
          <w:szCs w:val="24"/>
        </w:rPr>
        <w:t xml:space="preserve">įrodymų, kadangi ieškovė, žinodama apie apeliacinės instancijos </w:t>
      </w:r>
      <w:r w:rsidR="00563857" w:rsidRPr="00235CC9">
        <w:rPr>
          <w:rFonts w:ascii="Times New Roman" w:hAnsi="Times New Roman"/>
          <w:color w:val="auto"/>
          <w:sz w:val="24"/>
          <w:szCs w:val="24"/>
        </w:rPr>
        <w:t xml:space="preserve">teismo </w:t>
      </w:r>
      <w:r w:rsidRPr="00235CC9">
        <w:rPr>
          <w:rFonts w:ascii="Times New Roman" w:hAnsi="Times New Roman"/>
          <w:color w:val="auto"/>
          <w:sz w:val="24"/>
          <w:szCs w:val="24"/>
        </w:rPr>
        <w:t>priimtą procesinį sprendimą kitoje byloje, keturis mėnesius delsė ir rašytinius paaiškinimus pateikė likus vos vienai darbo dienai iki teismo posėdžio, tokiu būdu nesudarydama pakankamo termino nei teismui tinkamai susipažinti su pateiktais rašytiniais paaiškinimais, nei atsakovei pateikti dėl šio dokumento savo poziciją ir atsikirtimus. Ieškovės rašytinių paaiškinimų pateikimo delsimas, nesudarant galimybės nei teismui, nei atsakovei tinkamai ir laiku susipažinti su pateiktais rašytiniais paaiškinimais, reiškia, kad ieškovė veikė prieš tinkamą, efektyvų bylos išnagrinėjimą, o procesinėmis teisėmis naudojosi nesąžiningai, t</w:t>
      </w:r>
      <w:r w:rsidR="007D2554">
        <w:rPr>
          <w:rFonts w:ascii="Times New Roman" w:hAnsi="Times New Roman"/>
          <w:color w:val="auto"/>
          <w:sz w:val="24"/>
          <w:szCs w:val="24"/>
        </w:rPr>
        <w:t>aip</w:t>
      </w:r>
      <w:r w:rsidRPr="00235CC9">
        <w:rPr>
          <w:rFonts w:ascii="Times New Roman" w:hAnsi="Times New Roman"/>
          <w:color w:val="auto"/>
          <w:sz w:val="24"/>
          <w:szCs w:val="24"/>
        </w:rPr>
        <w:t xml:space="preserve"> neužtikrindama tinkamo rungimosi principo įgyvendinimo. </w:t>
      </w:r>
    </w:p>
    <w:p w14:paraId="5ED3A5D8" w14:textId="155A3070" w:rsidR="00696A98" w:rsidRPr="00235CC9" w:rsidRDefault="00696A98" w:rsidP="00F80311">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 xml:space="preserve">Teismas ne tik žino teisės aktų nuostatas, kuriomis remdamasis priima sprendimus, tačiau teismui žinomi ir kitose bylose priimami sprendimai, kadangi jie yra teisinės sistemos dalis. Taigi </w:t>
      </w:r>
      <w:r w:rsidR="00F80311" w:rsidRPr="00235CC9">
        <w:rPr>
          <w:rFonts w:ascii="Times New Roman" w:hAnsi="Times New Roman"/>
          <w:color w:val="auto"/>
          <w:sz w:val="24"/>
          <w:szCs w:val="24"/>
        </w:rPr>
        <w:t>i</w:t>
      </w:r>
      <w:r w:rsidRPr="00235CC9">
        <w:rPr>
          <w:rFonts w:ascii="Times New Roman" w:hAnsi="Times New Roman"/>
          <w:color w:val="auto"/>
          <w:sz w:val="24"/>
          <w:szCs w:val="24"/>
        </w:rPr>
        <w:t>eškov</w:t>
      </w:r>
      <w:r w:rsidR="00F80311" w:rsidRPr="00235CC9">
        <w:rPr>
          <w:rFonts w:ascii="Times New Roman" w:hAnsi="Times New Roman"/>
          <w:color w:val="auto"/>
          <w:sz w:val="24"/>
          <w:szCs w:val="24"/>
        </w:rPr>
        <w:t>e</w:t>
      </w:r>
      <w:r w:rsidRPr="00235CC9">
        <w:rPr>
          <w:rFonts w:ascii="Times New Roman" w:hAnsi="Times New Roman"/>
          <w:color w:val="auto"/>
          <w:sz w:val="24"/>
          <w:szCs w:val="24"/>
        </w:rPr>
        <w:t xml:space="preserve">i </w:t>
      </w:r>
      <w:r w:rsidR="00F80311" w:rsidRPr="00235CC9">
        <w:rPr>
          <w:rFonts w:ascii="Times New Roman" w:hAnsi="Times New Roman"/>
          <w:color w:val="auto"/>
          <w:sz w:val="24"/>
          <w:szCs w:val="24"/>
        </w:rPr>
        <w:t>nebuvo</w:t>
      </w:r>
      <w:r w:rsidRPr="00235CC9">
        <w:rPr>
          <w:rFonts w:ascii="Times New Roman" w:hAnsi="Times New Roman"/>
          <w:color w:val="auto"/>
          <w:sz w:val="24"/>
          <w:szCs w:val="24"/>
        </w:rPr>
        <w:t xml:space="preserve"> pagrindo teikti rašytinius paaiškinimus, kuriuose dėstoma apie kitoje byloje priimtą teismo procesinį sprendimą, ypač pažeidžiant kitų byloje dalyvaujančių asmenų teisę į teisminę gynybą ir galimybę atsikirsti</w:t>
      </w:r>
      <w:r w:rsidR="00F80311" w:rsidRPr="00235CC9">
        <w:rPr>
          <w:rFonts w:ascii="Times New Roman" w:hAnsi="Times New Roman"/>
          <w:color w:val="auto"/>
          <w:sz w:val="24"/>
          <w:szCs w:val="24"/>
        </w:rPr>
        <w:t>.</w:t>
      </w:r>
      <w:r w:rsidRPr="00235CC9">
        <w:rPr>
          <w:rFonts w:ascii="Times New Roman" w:hAnsi="Times New Roman"/>
          <w:color w:val="auto"/>
          <w:sz w:val="24"/>
          <w:szCs w:val="24"/>
        </w:rPr>
        <w:t xml:space="preserve"> </w:t>
      </w:r>
    </w:p>
    <w:p w14:paraId="1E87E4C4" w14:textId="771828C1" w:rsidR="00677735" w:rsidRPr="00235CC9" w:rsidRDefault="00F80311" w:rsidP="00677735">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 xml:space="preserve">Apeliacinės instancijos teismas pagrįstai nesivadovavo ieškovės nurodyta apeliacinės instancijos teismo nutartimi kaip precedentu, kadangi bylų </w:t>
      </w:r>
      <w:proofErr w:type="spellStart"/>
      <w:r w:rsidRPr="00235CC9">
        <w:rPr>
          <w:rFonts w:ascii="Times New Roman" w:hAnsi="Times New Roman"/>
          <w:i/>
          <w:iCs/>
          <w:color w:val="auto"/>
          <w:sz w:val="24"/>
          <w:szCs w:val="24"/>
        </w:rPr>
        <w:t>ratio</w:t>
      </w:r>
      <w:proofErr w:type="spellEnd"/>
      <w:r w:rsidRPr="00235CC9">
        <w:rPr>
          <w:rFonts w:ascii="Times New Roman" w:hAnsi="Times New Roman"/>
          <w:i/>
          <w:iCs/>
          <w:color w:val="auto"/>
          <w:sz w:val="24"/>
          <w:szCs w:val="24"/>
        </w:rPr>
        <w:t xml:space="preserve"> </w:t>
      </w:r>
      <w:proofErr w:type="spellStart"/>
      <w:r w:rsidRPr="00235CC9">
        <w:rPr>
          <w:rFonts w:ascii="Times New Roman" w:hAnsi="Times New Roman"/>
          <w:i/>
          <w:iCs/>
          <w:color w:val="auto"/>
          <w:sz w:val="24"/>
          <w:szCs w:val="24"/>
        </w:rPr>
        <w:t>decidendi</w:t>
      </w:r>
      <w:proofErr w:type="spellEnd"/>
      <w:r w:rsidRPr="00235CC9">
        <w:rPr>
          <w:rFonts w:ascii="Times New Roman" w:hAnsi="Times New Roman"/>
          <w:color w:val="auto"/>
          <w:sz w:val="24"/>
          <w:szCs w:val="24"/>
        </w:rPr>
        <w:t xml:space="preserve"> </w:t>
      </w:r>
      <w:r w:rsidR="007D2554">
        <w:rPr>
          <w:rFonts w:ascii="Times New Roman" w:hAnsi="Times New Roman"/>
          <w:color w:val="auto"/>
          <w:sz w:val="24"/>
          <w:szCs w:val="24"/>
        </w:rPr>
        <w:t xml:space="preserve">(argumentas, kuriuo grindžiamas sprendimas) </w:t>
      </w:r>
      <w:r w:rsidRPr="00235CC9">
        <w:rPr>
          <w:rFonts w:ascii="Times New Roman" w:hAnsi="Times New Roman"/>
          <w:color w:val="auto"/>
          <w:sz w:val="24"/>
          <w:szCs w:val="24"/>
        </w:rPr>
        <w:t>skiriasi. Bylos, kuria kaip precedentu remiasi ieškovė</w:t>
      </w:r>
      <w:r w:rsidR="007D2554">
        <w:rPr>
          <w:rFonts w:ascii="Times New Roman" w:hAnsi="Times New Roman"/>
          <w:color w:val="auto"/>
          <w:sz w:val="24"/>
          <w:szCs w:val="24"/>
        </w:rPr>
        <w:t>,</w:t>
      </w:r>
      <w:r w:rsidRPr="00235CC9">
        <w:rPr>
          <w:rFonts w:ascii="Times New Roman" w:hAnsi="Times New Roman"/>
          <w:color w:val="auto"/>
          <w:sz w:val="24"/>
          <w:szCs w:val="24"/>
        </w:rPr>
        <w:t xml:space="preserve"> nagrinėjime nedalyvavo VERT, kuri nagrinėjamoje byloje pateikė savo išvadą. Šios išvados buvimas byloje lėmė kitokio sprendimo priėmimą. </w:t>
      </w:r>
      <w:r w:rsidR="00677735" w:rsidRPr="00235CC9">
        <w:rPr>
          <w:rFonts w:ascii="Times New Roman" w:hAnsi="Times New Roman"/>
          <w:color w:val="auto"/>
          <w:sz w:val="24"/>
          <w:szCs w:val="24"/>
        </w:rPr>
        <w:t xml:space="preserve">Taigi bylose yra skirtingi įrodymai, taip pat bylose dalyvauja skirtingi asmenys. Aplinkybė, kad tiek ieškovės šioje civilinėje byloje, tiek ir ieškovės kitoje byloje prašymai sudaryti ketinimų protokolą pateikti tą pačią dieną, savaime nereiškia, kad šios bylos yra tapačios ir turi būti sprendžiamos vienodai. Be to, šioje civilinėje byloje priimtas sprendimas yra ne tik naujesnis, bet ir išsamesnis, lyginant su kita byla, todėl negali būti mechaniškai paneigtas vien dėl aplinkybės, kad kitoje byloje sprendimas priimtas anksčiau. Teismų praktikoje nėra taikoma taisyklė, kad ankstesnis sprendimas savaime yra viršesnis </w:t>
      </w:r>
      <w:r w:rsidR="007D2554">
        <w:rPr>
          <w:rFonts w:ascii="Times New Roman" w:hAnsi="Times New Roman"/>
          <w:color w:val="auto"/>
          <w:sz w:val="24"/>
          <w:szCs w:val="24"/>
        </w:rPr>
        <w:t>už</w:t>
      </w:r>
      <w:r w:rsidR="00677735" w:rsidRPr="00235CC9">
        <w:rPr>
          <w:rFonts w:ascii="Times New Roman" w:hAnsi="Times New Roman"/>
          <w:color w:val="auto"/>
          <w:sz w:val="24"/>
          <w:szCs w:val="24"/>
        </w:rPr>
        <w:t xml:space="preserve"> vėlesnį</w:t>
      </w:r>
      <w:r w:rsidR="00677735" w:rsidRPr="005C6D53">
        <w:rPr>
          <w:rFonts w:ascii="Times New Roman" w:hAnsi="Times New Roman"/>
          <w:color w:val="auto"/>
          <w:sz w:val="24"/>
          <w:szCs w:val="24"/>
        </w:rPr>
        <w:t>,</w:t>
      </w:r>
      <w:r w:rsidR="00677735" w:rsidRPr="00235CC9">
        <w:rPr>
          <w:rFonts w:ascii="Times New Roman" w:hAnsi="Times New Roman"/>
          <w:i/>
          <w:iCs/>
          <w:color w:val="auto"/>
          <w:sz w:val="24"/>
          <w:szCs w:val="24"/>
        </w:rPr>
        <w:t xml:space="preserve"> </w:t>
      </w:r>
      <w:r w:rsidR="00677735" w:rsidRPr="00235CC9">
        <w:rPr>
          <w:rFonts w:ascii="Times New Roman" w:hAnsi="Times New Roman"/>
          <w:color w:val="auto"/>
          <w:sz w:val="24"/>
          <w:szCs w:val="24"/>
        </w:rPr>
        <w:t xml:space="preserve">jei vėlesnė byla išnagrinėta išsamiau ir esant papildomoms teisiškai reikšmingoms aplinkybėms. </w:t>
      </w:r>
    </w:p>
    <w:p w14:paraId="691A2071" w14:textId="61B89AB9" w:rsidR="00677735" w:rsidRPr="00235CC9" w:rsidRDefault="00677735" w:rsidP="00677735">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Bylos, kuria remiasi ieškovė</w:t>
      </w:r>
      <w:r w:rsidR="007D2554">
        <w:rPr>
          <w:rFonts w:ascii="Times New Roman" w:hAnsi="Times New Roman"/>
          <w:color w:val="auto"/>
          <w:sz w:val="24"/>
          <w:szCs w:val="24"/>
        </w:rPr>
        <w:t>,</w:t>
      </w:r>
      <w:r w:rsidRPr="00235CC9">
        <w:rPr>
          <w:rFonts w:ascii="Times New Roman" w:hAnsi="Times New Roman"/>
          <w:color w:val="auto"/>
          <w:sz w:val="24"/>
          <w:szCs w:val="24"/>
        </w:rPr>
        <w:t xml:space="preserve"> nenagrinėjo nei Lietuvos apeliacinis teismas, nei Lietuvos Aukščiausiasis Teismas, todėl nėra pagrindo spręsti, kad šioje byloje priimtas teismo sprendimas gali būti laikomas precedentu. Kadangi ieškovės nurodomoje byloje priimtas procesinis sprendimas neturi precedentinės reikšmės, teismas, nagrinėdamas šią civilinę bylą apeliacine tvarka, taip pat neprivalėjo specialiai argumentuoti, kodėl nesivadovauja kitoje byloje priimta nutartimi</w:t>
      </w:r>
      <w:r w:rsidR="00224D91">
        <w:rPr>
          <w:rFonts w:ascii="Times New Roman" w:hAnsi="Times New Roman"/>
          <w:color w:val="auto"/>
          <w:sz w:val="24"/>
          <w:szCs w:val="24"/>
        </w:rPr>
        <w:t>,</w:t>
      </w:r>
      <w:r w:rsidRPr="00235CC9">
        <w:rPr>
          <w:rFonts w:ascii="Times New Roman" w:hAnsi="Times New Roman"/>
          <w:color w:val="auto"/>
          <w:sz w:val="24"/>
          <w:szCs w:val="24"/>
        </w:rPr>
        <w:t xml:space="preserve"> – teismo pareiga grįsti sprendimą nagrinėjamos civilinės bylos faktinėmis aplinkybėmis ir joje esančiais rašytiniais įrodymais bei taikytinomis teisės normomis, </w:t>
      </w:r>
      <w:r w:rsidR="00224D91">
        <w:rPr>
          <w:rFonts w:ascii="Times New Roman" w:hAnsi="Times New Roman"/>
          <w:color w:val="auto"/>
          <w:sz w:val="24"/>
          <w:szCs w:val="24"/>
        </w:rPr>
        <w:t>o</w:t>
      </w:r>
      <w:r w:rsidRPr="00235CC9">
        <w:rPr>
          <w:rFonts w:ascii="Times New Roman" w:hAnsi="Times New Roman"/>
          <w:color w:val="auto"/>
          <w:sz w:val="24"/>
          <w:szCs w:val="24"/>
        </w:rPr>
        <w:t xml:space="preserve"> ne kitose bylose priimtais procesiniais sprendimais. </w:t>
      </w:r>
    </w:p>
    <w:p w14:paraId="370EBE43" w14:textId="47087D7F" w:rsidR="0032597C" w:rsidRPr="00235CC9" w:rsidRDefault="0032597C" w:rsidP="0032597C">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EEĮ 31 straipsnio 2</w:t>
      </w:r>
      <w:r w:rsidRPr="00235CC9">
        <w:rPr>
          <w:rFonts w:ascii="Times New Roman" w:hAnsi="Times New Roman"/>
          <w:color w:val="auto"/>
          <w:sz w:val="24"/>
          <w:szCs w:val="24"/>
          <w:vertAlign w:val="superscript"/>
        </w:rPr>
        <w:t>2</w:t>
      </w:r>
      <w:r w:rsidRPr="00235CC9">
        <w:rPr>
          <w:rFonts w:ascii="Times New Roman" w:hAnsi="Times New Roman"/>
          <w:color w:val="auto"/>
          <w:sz w:val="24"/>
          <w:szCs w:val="24"/>
        </w:rPr>
        <w:t xml:space="preserve"> dalyje aiškiai įtvirtinta, kad priemonės, kaip bus įgyvendintas </w:t>
      </w:r>
      <w:proofErr w:type="spellStart"/>
      <w:r w:rsidRPr="00235CC9">
        <w:rPr>
          <w:rFonts w:ascii="Times New Roman" w:hAnsi="Times New Roman"/>
          <w:color w:val="auto"/>
          <w:sz w:val="24"/>
          <w:szCs w:val="24"/>
        </w:rPr>
        <w:t>nevienalaikiškumo</w:t>
      </w:r>
      <w:proofErr w:type="spellEnd"/>
      <w:r w:rsidRPr="00235CC9">
        <w:rPr>
          <w:rFonts w:ascii="Times New Roman" w:hAnsi="Times New Roman"/>
          <w:color w:val="auto"/>
          <w:sz w:val="24"/>
          <w:szCs w:val="24"/>
        </w:rPr>
        <w:t xml:space="preserve"> principo taikymas elektros perdavimo tinkle, turi būti įtvirtintos Pasinaudojimo elektros perdavimo tinklais apraše.</w:t>
      </w:r>
      <w:r w:rsidRPr="00235CC9">
        <w:rPr>
          <w:rFonts w:ascii="Trebuchet MS" w:eastAsia="Arial Unicode MS" w:hAnsi="Trebuchet MS"/>
          <w:color w:val="auto"/>
          <w:kern w:val="1"/>
          <w:szCs w:val="21"/>
          <w:lang w:eastAsia="hi-IN" w:bidi="hi-IN"/>
        </w:rPr>
        <w:t xml:space="preserve"> </w:t>
      </w:r>
      <w:r w:rsidRPr="00235CC9">
        <w:rPr>
          <w:rFonts w:ascii="Times New Roman" w:hAnsi="Times New Roman"/>
          <w:color w:val="auto"/>
          <w:sz w:val="24"/>
          <w:szCs w:val="24"/>
        </w:rPr>
        <w:t>Siekiant įgyvendinti tokio pobūdžio pokyčius skaičiuojant elektros perdavimo tinklo pralaidumus, buvo būtina tam tinkamai pasiruošti ir atlikti tiek teisės aktų pakeitimus, tiek techninio pobūdžio pakeitimus, todėl įvertintina ir tai, kad EEĮ pakeitimai nukreipė į būsimus Pasinaudojimo elektros perdavimo tinklais aprašo pakeitimus</w:t>
      </w:r>
      <w:r w:rsidR="00224D91">
        <w:rPr>
          <w:rFonts w:ascii="Times New Roman" w:hAnsi="Times New Roman"/>
          <w:color w:val="auto"/>
          <w:sz w:val="24"/>
          <w:szCs w:val="24"/>
        </w:rPr>
        <w:t>,</w:t>
      </w:r>
      <w:r w:rsidRPr="00235CC9">
        <w:rPr>
          <w:rFonts w:ascii="Times New Roman" w:hAnsi="Times New Roman"/>
          <w:color w:val="auto"/>
          <w:sz w:val="24"/>
          <w:szCs w:val="24"/>
        </w:rPr>
        <w:t xml:space="preserve"> atitinkamai tokią išvadą padarė bylą nagrinėję žemesn</w:t>
      </w:r>
      <w:r w:rsidR="00EA4B4C">
        <w:rPr>
          <w:rFonts w:ascii="Times New Roman" w:hAnsi="Times New Roman"/>
          <w:color w:val="auto"/>
          <w:sz w:val="24"/>
          <w:szCs w:val="24"/>
        </w:rPr>
        <w:t>ės</w:t>
      </w:r>
      <w:r w:rsidRPr="00235CC9">
        <w:rPr>
          <w:rFonts w:ascii="Times New Roman" w:hAnsi="Times New Roman"/>
          <w:color w:val="auto"/>
          <w:sz w:val="24"/>
          <w:szCs w:val="24"/>
        </w:rPr>
        <w:t xml:space="preserve"> instancij</w:t>
      </w:r>
      <w:r w:rsidR="007D2554">
        <w:rPr>
          <w:rFonts w:ascii="Times New Roman" w:hAnsi="Times New Roman"/>
          <w:color w:val="auto"/>
          <w:sz w:val="24"/>
          <w:szCs w:val="24"/>
        </w:rPr>
        <w:t>os</w:t>
      </w:r>
      <w:r w:rsidRPr="00235CC9">
        <w:rPr>
          <w:rFonts w:ascii="Times New Roman" w:hAnsi="Times New Roman"/>
          <w:color w:val="auto"/>
          <w:sz w:val="24"/>
          <w:szCs w:val="24"/>
        </w:rPr>
        <w:t xml:space="preserve"> teismai.</w:t>
      </w:r>
    </w:p>
    <w:p w14:paraId="56ACCE7D" w14:textId="7BD5C4DF" w:rsidR="0032597C" w:rsidRPr="00235CC9" w:rsidRDefault="0032597C" w:rsidP="0087786F">
      <w:pPr>
        <w:pStyle w:val="Sraopastraipa"/>
        <w:numPr>
          <w:ilvl w:val="1"/>
          <w:numId w:val="3"/>
        </w:numPr>
        <w:spacing w:after="120" w:line="240" w:lineRule="auto"/>
        <w:contextualSpacing w:val="0"/>
        <w:jc w:val="both"/>
        <w:rPr>
          <w:rFonts w:ascii="Times New Roman" w:hAnsi="Times New Roman"/>
          <w:color w:val="auto"/>
          <w:sz w:val="24"/>
          <w:szCs w:val="24"/>
        </w:rPr>
      </w:pPr>
      <w:r w:rsidRPr="00235CC9">
        <w:rPr>
          <w:rFonts w:ascii="Times New Roman" w:hAnsi="Times New Roman"/>
          <w:color w:val="auto"/>
          <w:sz w:val="24"/>
          <w:szCs w:val="24"/>
        </w:rPr>
        <w:t>Nesuti</w:t>
      </w:r>
      <w:r w:rsidR="00563857" w:rsidRPr="00235CC9">
        <w:rPr>
          <w:rFonts w:ascii="Times New Roman" w:hAnsi="Times New Roman"/>
          <w:color w:val="auto"/>
          <w:sz w:val="24"/>
          <w:szCs w:val="24"/>
        </w:rPr>
        <w:t>nkama</w:t>
      </w:r>
      <w:r w:rsidRPr="00235CC9">
        <w:rPr>
          <w:rFonts w:ascii="Times New Roman" w:hAnsi="Times New Roman"/>
          <w:color w:val="auto"/>
          <w:sz w:val="24"/>
          <w:szCs w:val="24"/>
        </w:rPr>
        <w:t xml:space="preserve"> su kasaciniame skunde išdėstytais argumentais, neva 2023 PETA tik patikslino 2022 PETA įtvirtintus ribojimus ir nu</w:t>
      </w:r>
      <w:r w:rsidR="00E91949">
        <w:rPr>
          <w:rFonts w:ascii="Times New Roman" w:hAnsi="Times New Roman"/>
          <w:color w:val="auto"/>
          <w:sz w:val="24"/>
          <w:szCs w:val="24"/>
        </w:rPr>
        <w:t>sta</w:t>
      </w:r>
      <w:r w:rsidRPr="00235CC9">
        <w:rPr>
          <w:rFonts w:ascii="Times New Roman" w:hAnsi="Times New Roman"/>
          <w:color w:val="auto"/>
          <w:sz w:val="24"/>
          <w:szCs w:val="24"/>
        </w:rPr>
        <w:t>tė „vidutinę ribojimų taikymo tikimybę“ – nagrinėjamu atveju 2023 PETA įtvirtino ne tik ribojimus, kuriuos nu</w:t>
      </w:r>
      <w:r w:rsidR="00E91949">
        <w:rPr>
          <w:rFonts w:ascii="Times New Roman" w:hAnsi="Times New Roman"/>
          <w:color w:val="auto"/>
          <w:sz w:val="24"/>
          <w:szCs w:val="24"/>
        </w:rPr>
        <w:t>sta</w:t>
      </w:r>
      <w:r w:rsidRPr="00235CC9">
        <w:rPr>
          <w:rFonts w:ascii="Times New Roman" w:hAnsi="Times New Roman"/>
          <w:color w:val="auto"/>
          <w:sz w:val="24"/>
          <w:szCs w:val="24"/>
        </w:rPr>
        <w:t xml:space="preserve">tė 2022 PETA (dėl avarinių situacijų, remontų ir pan.), bet ir ribojimus, kurie privalo būti taikomi tinklo pralaidumus paskirsčius, atsižvelgiant į </w:t>
      </w:r>
      <w:proofErr w:type="spellStart"/>
      <w:r w:rsidRPr="00235CC9">
        <w:rPr>
          <w:rFonts w:ascii="Times New Roman" w:hAnsi="Times New Roman"/>
          <w:color w:val="auto"/>
          <w:sz w:val="24"/>
          <w:szCs w:val="24"/>
        </w:rPr>
        <w:t>nevienalaikiškumo</w:t>
      </w:r>
      <w:proofErr w:type="spellEnd"/>
      <w:r w:rsidRPr="00235CC9">
        <w:rPr>
          <w:rFonts w:ascii="Times New Roman" w:hAnsi="Times New Roman"/>
          <w:color w:val="auto"/>
          <w:sz w:val="24"/>
          <w:szCs w:val="24"/>
        </w:rPr>
        <w:t xml:space="preserve"> principą. 2022 PETA apskritai </w:t>
      </w:r>
      <w:r w:rsidR="00E91949">
        <w:rPr>
          <w:rFonts w:ascii="Times New Roman" w:hAnsi="Times New Roman"/>
          <w:color w:val="auto"/>
          <w:sz w:val="24"/>
          <w:szCs w:val="24"/>
        </w:rPr>
        <w:t>nebuvo nustatyta</w:t>
      </w:r>
      <w:r w:rsidRPr="00235CC9">
        <w:rPr>
          <w:rFonts w:ascii="Times New Roman" w:hAnsi="Times New Roman"/>
          <w:color w:val="auto"/>
          <w:sz w:val="24"/>
          <w:szCs w:val="24"/>
        </w:rPr>
        <w:t xml:space="preserve"> pralaidumų skaičiavimų principo. </w:t>
      </w:r>
    </w:p>
    <w:p w14:paraId="6D2467B4" w14:textId="72065B64" w:rsidR="0032597C" w:rsidRPr="00235CC9" w:rsidRDefault="0032597C" w:rsidP="0032597C">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 xml:space="preserve">Prašymo sudaryti ketinimų protokolą pateikimo metu </w:t>
      </w:r>
      <w:proofErr w:type="spellStart"/>
      <w:r w:rsidRPr="00235CC9">
        <w:rPr>
          <w:rFonts w:ascii="Times New Roman" w:hAnsi="Times New Roman"/>
          <w:color w:val="auto"/>
          <w:sz w:val="24"/>
          <w:szCs w:val="24"/>
        </w:rPr>
        <w:t>nevienalaikiškumo</w:t>
      </w:r>
      <w:proofErr w:type="spellEnd"/>
      <w:r w:rsidRPr="00235CC9">
        <w:rPr>
          <w:rFonts w:ascii="Times New Roman" w:hAnsi="Times New Roman"/>
          <w:color w:val="auto"/>
          <w:sz w:val="24"/>
          <w:szCs w:val="24"/>
        </w:rPr>
        <w:t xml:space="preserve"> taisyklės įgyvendinimas nebuvo aptartas įgyvendinamuosiuose teisės aktuose, todėl buvo vadovaujamasi galiojančiais teisės aktais – 2022 PETA, pagal kurią elektros perdavimo tinklo pralaidumas buvo skaičiuojamas visų prie tinklo jungiamų įrenginių leistiną generuoti galią atimant iš bendro perdavimo tinklo pralaidumo. Techninės ekspertizės išvadoje nurodyta aplinkybė, jog</w:t>
      </w:r>
      <w:r w:rsidR="007D2554">
        <w:rPr>
          <w:rFonts w:ascii="Times New Roman" w:hAnsi="Times New Roman"/>
          <w:color w:val="auto"/>
          <w:sz w:val="24"/>
          <w:szCs w:val="24"/>
        </w:rPr>
        <w:t>,</w:t>
      </w:r>
      <w:r w:rsidRPr="00235CC9">
        <w:rPr>
          <w:rFonts w:ascii="Times New Roman" w:hAnsi="Times New Roman"/>
          <w:color w:val="auto"/>
          <w:sz w:val="24"/>
          <w:szCs w:val="24"/>
        </w:rPr>
        <w:t xml:space="preserve"> ginčo elektros linijoje taikant technines ar organizacines galios ribojimo priemones, laisvas ir saugus pralaidumas vėjo elektrin</w:t>
      </w:r>
      <w:r w:rsidR="007D2554">
        <w:rPr>
          <w:rFonts w:ascii="Times New Roman" w:hAnsi="Times New Roman"/>
          <w:color w:val="auto"/>
          <w:sz w:val="24"/>
          <w:szCs w:val="24"/>
        </w:rPr>
        <w:t>ei</w:t>
      </w:r>
      <w:r w:rsidRPr="00235CC9">
        <w:rPr>
          <w:rFonts w:ascii="Times New Roman" w:hAnsi="Times New Roman"/>
          <w:color w:val="auto"/>
          <w:sz w:val="24"/>
          <w:szCs w:val="24"/>
        </w:rPr>
        <w:t xml:space="preserve"> prijung</w:t>
      </w:r>
      <w:r w:rsidR="007D2554">
        <w:rPr>
          <w:rFonts w:ascii="Times New Roman" w:hAnsi="Times New Roman"/>
          <w:color w:val="auto"/>
          <w:sz w:val="24"/>
          <w:szCs w:val="24"/>
        </w:rPr>
        <w:t>t</w:t>
      </w:r>
      <w:r w:rsidRPr="00235CC9">
        <w:rPr>
          <w:rFonts w:ascii="Times New Roman" w:hAnsi="Times New Roman"/>
          <w:color w:val="auto"/>
          <w:sz w:val="24"/>
          <w:szCs w:val="24"/>
        </w:rPr>
        <w:t>i buvo 900 MW, yra teisiškai nereikšminga, nes galiojęs teisinis reguliavimas ne</w:t>
      </w:r>
      <w:r w:rsidR="007D2554">
        <w:rPr>
          <w:rFonts w:ascii="Times New Roman" w:hAnsi="Times New Roman"/>
          <w:color w:val="auto"/>
          <w:sz w:val="24"/>
          <w:szCs w:val="24"/>
        </w:rPr>
        <w:t>įtvirtino</w:t>
      </w:r>
      <w:r w:rsidRPr="00235CC9">
        <w:rPr>
          <w:rFonts w:ascii="Times New Roman" w:hAnsi="Times New Roman"/>
          <w:color w:val="auto"/>
          <w:sz w:val="24"/>
          <w:szCs w:val="24"/>
        </w:rPr>
        <w:t xml:space="preserve"> galimybės taikyti eksperto išvadoje nurodytų techninių ar organizacinių galios ribojimo priemonių.</w:t>
      </w:r>
    </w:p>
    <w:p w14:paraId="73FF0712" w14:textId="7AE14AD7" w:rsidR="0032597C" w:rsidRPr="00235CC9" w:rsidRDefault="0032597C" w:rsidP="0032597C">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 xml:space="preserve">2022 PETA nustatyti ribojimai gali būti taikomi tik teisės aktų nustatyta tvarka ir tik aiškiai apibrėžtais atvejais, tarp kurių nėra įtvirtintas siekis prie tinklo prijungti daugiau galios. Ribojimai pagal 2022 PETA 93 punktą galėjo būti taikomi iš esmės dviem atvejais, t. y. dėl objektyvių priežasčių (tinklo avarijos arba remonto darbų) arba dėl kitų techninių priežasčių, tačiau tik nediskriminaciniais pagrindais. Tuo tarpu 2023 PETA įtvirtinti ne tik avarinio ir tinklo planavimo ribojimai, bet ir ribojimai, būtini dėl saulės ir vėjo elektrinių generavimo sutapties (2023 PETA 26 punktas). </w:t>
      </w:r>
    </w:p>
    <w:p w14:paraId="22554759" w14:textId="2B5B0147" w:rsidR="00DE7A6A" w:rsidRPr="00235CC9" w:rsidRDefault="00DE7A6A" w:rsidP="00DE7A6A">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 xml:space="preserve">Iki įsigaliojant 2023 PETA, visų gamintojų prašymai buvo vertinami pagal tuos pačius vienodus principus (siekiant išlaikyti perdavimo tinklo patikimumą bei prieinamumą gamintojų generuojamai elektros energijai). Taigi ieškovės reikalavimas prijungti ją prie elektros perdavimo tinklo, pasirašant su ja ketinimų protokolą, reikštų individualių sąlygų konkrečiam asmeniui sudarymą ir neabejotinai pažeistų nediskriminavimo principą, įtvirtintą EEĮ. </w:t>
      </w:r>
    </w:p>
    <w:p w14:paraId="65B789B0" w14:textId="205EF247" w:rsidR="00DE7A6A" w:rsidRPr="00235CC9" w:rsidRDefault="00DE7A6A" w:rsidP="00DE7A6A">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 xml:space="preserve">Ribojimų, </w:t>
      </w:r>
      <w:r w:rsidR="007D2554">
        <w:rPr>
          <w:rFonts w:ascii="Times New Roman" w:hAnsi="Times New Roman"/>
          <w:color w:val="auto"/>
          <w:sz w:val="24"/>
          <w:szCs w:val="24"/>
        </w:rPr>
        <w:t>lemiamų</w:t>
      </w:r>
      <w:r w:rsidRPr="00235CC9">
        <w:rPr>
          <w:rFonts w:ascii="Times New Roman" w:hAnsi="Times New Roman"/>
          <w:color w:val="auto"/>
          <w:sz w:val="24"/>
          <w:szCs w:val="24"/>
        </w:rPr>
        <w:t xml:space="preserve"> atsinaujinančių išteklių energijos generacijų sutapties</w:t>
      </w:r>
      <w:r w:rsidR="007D2554">
        <w:rPr>
          <w:rFonts w:ascii="Times New Roman" w:hAnsi="Times New Roman"/>
          <w:color w:val="auto"/>
          <w:sz w:val="24"/>
          <w:szCs w:val="24"/>
        </w:rPr>
        <w:t>,</w:t>
      </w:r>
      <w:r w:rsidRPr="00235CC9">
        <w:rPr>
          <w:rFonts w:ascii="Times New Roman" w:hAnsi="Times New Roman"/>
          <w:color w:val="auto"/>
          <w:sz w:val="24"/>
          <w:szCs w:val="24"/>
        </w:rPr>
        <w:t xml:space="preserve"> taikymas reiškia asmenų, besiverčiančių elektrinių, gaminančių elektros energiją iš atsinaujinančių išteklių, plėtra, ūkinės komercinės veiklos ribojimą, o šie ribojimai negali būti atliekami operatoriaus, nesant tam aiškiai įtvirtinto teisinio pagrindo.</w:t>
      </w:r>
    </w:p>
    <w:p w14:paraId="66EE075C" w14:textId="78BCEA28" w:rsidR="00DE7A6A" w:rsidRPr="00235CC9" w:rsidRDefault="00DE7A6A" w:rsidP="00DE7A6A">
      <w:pPr>
        <w:pStyle w:val="Sraopastraipa"/>
        <w:numPr>
          <w:ilvl w:val="1"/>
          <w:numId w:val="3"/>
        </w:numPr>
        <w:spacing w:after="120" w:line="240" w:lineRule="auto"/>
        <w:ind w:left="788" w:hanging="431"/>
        <w:contextualSpacing w:val="0"/>
        <w:jc w:val="both"/>
        <w:rPr>
          <w:rFonts w:ascii="Times New Roman" w:hAnsi="Times New Roman"/>
          <w:color w:val="auto"/>
          <w:sz w:val="24"/>
          <w:szCs w:val="24"/>
        </w:rPr>
      </w:pPr>
      <w:r w:rsidRPr="00235CC9">
        <w:rPr>
          <w:rFonts w:ascii="Times New Roman" w:hAnsi="Times New Roman"/>
          <w:color w:val="auto"/>
          <w:sz w:val="24"/>
          <w:szCs w:val="24"/>
        </w:rPr>
        <w:t>Ieškovė nepagrįstai nurodo, kad 2022 m. rugpjūčio 4 d. išduotose išankstinėse prijungimo sąlygose ir šiuo metu galiojančiose tipinėse išankstinėse prijungimo sąlygose nu</w:t>
      </w:r>
      <w:r w:rsidR="007D2554">
        <w:rPr>
          <w:rFonts w:ascii="Times New Roman" w:hAnsi="Times New Roman"/>
          <w:color w:val="auto"/>
          <w:sz w:val="24"/>
          <w:szCs w:val="24"/>
        </w:rPr>
        <w:t>st</w:t>
      </w:r>
      <w:r w:rsidRPr="00235CC9">
        <w:rPr>
          <w:rFonts w:ascii="Times New Roman" w:hAnsi="Times New Roman"/>
          <w:color w:val="auto"/>
          <w:sz w:val="24"/>
          <w:szCs w:val="24"/>
        </w:rPr>
        <w:t>atytos techninio pobūdžio priemonės niekuo nesiskiria. Ieškovei išduotos išankstinės prijungimo sąlygos ir šiuo metu viešai skelbiamos išankstinės prijungimo sąlygos skiriasi iš esmės dėl ribojimus reglamentuojančių teisės aktų.</w:t>
      </w:r>
    </w:p>
    <w:p w14:paraId="7660BD7B" w14:textId="52D8ADDE" w:rsidR="004E758B" w:rsidRPr="00235CC9" w:rsidRDefault="00677735" w:rsidP="00F41FF3">
      <w:pPr>
        <w:pStyle w:val="Sraopastraipa"/>
        <w:numPr>
          <w:ilvl w:val="1"/>
          <w:numId w:val="3"/>
        </w:numPr>
        <w:spacing w:after="120" w:line="240" w:lineRule="auto"/>
        <w:ind w:left="788" w:hanging="431"/>
        <w:contextualSpacing w:val="0"/>
        <w:jc w:val="both"/>
        <w:rPr>
          <w:color w:val="auto"/>
        </w:rPr>
      </w:pPr>
      <w:r w:rsidRPr="00235CC9">
        <w:rPr>
          <w:rFonts w:ascii="Times New Roman" w:hAnsi="Times New Roman"/>
          <w:color w:val="auto"/>
          <w:sz w:val="24"/>
          <w:szCs w:val="24"/>
        </w:rPr>
        <w:t>Atsakovė taip pat pažymi, kad ieškovė pripažino apeliacinės instancijos teismo padarytas išvadas dėl laisvo linijos pralaidumo, kadangi 2024 m. gruodžio 3 d. pateikė atsakovei prašymą dėl ketinimų protokolo dėl 120 MW galios sudarymo</w:t>
      </w:r>
      <w:r w:rsidR="00332E65" w:rsidRPr="00235CC9">
        <w:rPr>
          <w:rFonts w:ascii="Times New Roman" w:hAnsi="Times New Roman"/>
          <w:color w:val="auto"/>
          <w:sz w:val="24"/>
          <w:szCs w:val="24"/>
        </w:rPr>
        <w:t xml:space="preserve">. </w:t>
      </w:r>
    </w:p>
    <w:p w14:paraId="02943329" w14:textId="77777777" w:rsidR="00AA5A3F" w:rsidRPr="00235CC9" w:rsidRDefault="00AA5A3F" w:rsidP="00AA5A3F">
      <w:pPr>
        <w:spacing w:after="120"/>
        <w:jc w:val="both"/>
      </w:pPr>
    </w:p>
    <w:p w14:paraId="1B5BDF5F" w14:textId="77777777" w:rsidR="00165E9B" w:rsidRPr="00235CC9" w:rsidRDefault="00165E9B" w:rsidP="00BB34A4">
      <w:pPr>
        <w:spacing w:after="120"/>
        <w:ind w:firstLine="720"/>
        <w:jc w:val="both"/>
        <w:rPr>
          <w:b/>
          <w:bCs/>
        </w:rPr>
      </w:pPr>
      <w:r w:rsidRPr="00235CC9">
        <w:t xml:space="preserve">Teisėjų kolegija </w:t>
      </w:r>
    </w:p>
    <w:p w14:paraId="2E9505DF" w14:textId="77777777" w:rsidR="00165E9B" w:rsidRPr="00235CC9" w:rsidRDefault="00165E9B" w:rsidP="00165E9B">
      <w:pPr>
        <w:spacing w:after="120"/>
        <w:jc w:val="both"/>
        <w:rPr>
          <w:b/>
          <w:bCs/>
        </w:rPr>
      </w:pPr>
    </w:p>
    <w:p w14:paraId="260F04FE" w14:textId="77777777" w:rsidR="00165E9B" w:rsidRPr="00235CC9" w:rsidRDefault="00165E9B" w:rsidP="00165E9B">
      <w:pPr>
        <w:spacing w:after="120"/>
        <w:jc w:val="both"/>
      </w:pPr>
      <w:r w:rsidRPr="00235CC9">
        <w:t xml:space="preserve">k o n s t a t u o j a : </w:t>
      </w:r>
    </w:p>
    <w:p w14:paraId="293F5AF8" w14:textId="77777777" w:rsidR="00165E9B" w:rsidRPr="00235CC9" w:rsidRDefault="00165E9B" w:rsidP="00165E9B">
      <w:pPr>
        <w:spacing w:after="120"/>
        <w:jc w:val="both"/>
      </w:pPr>
    </w:p>
    <w:p w14:paraId="7E9195A3" w14:textId="77777777" w:rsidR="00165E9B" w:rsidRPr="00235CC9" w:rsidRDefault="00165E9B" w:rsidP="00165E9B">
      <w:pPr>
        <w:spacing w:after="120"/>
        <w:jc w:val="center"/>
      </w:pPr>
      <w:r w:rsidRPr="00235CC9">
        <w:t>IV. Kasacinio teismo argumentai ir išaiškinimai</w:t>
      </w:r>
    </w:p>
    <w:p w14:paraId="32267B3D" w14:textId="77777777" w:rsidR="00165E9B" w:rsidRPr="00235CC9" w:rsidRDefault="00165E9B" w:rsidP="00165E9B">
      <w:pPr>
        <w:spacing w:after="120"/>
        <w:jc w:val="both"/>
        <w:rPr>
          <w:iCs/>
        </w:rPr>
      </w:pPr>
    </w:p>
    <w:p w14:paraId="095291BB" w14:textId="6B0F5875" w:rsidR="00165E9B" w:rsidRPr="00235CC9" w:rsidRDefault="00165E9B" w:rsidP="00BB34A4">
      <w:pPr>
        <w:spacing w:after="120"/>
        <w:ind w:firstLine="720"/>
        <w:jc w:val="both"/>
        <w:rPr>
          <w:i/>
          <w:iCs/>
        </w:rPr>
      </w:pPr>
      <w:r w:rsidRPr="00235CC9">
        <w:rPr>
          <w:i/>
          <w:iCs/>
        </w:rPr>
        <w:t xml:space="preserve">Dėl </w:t>
      </w:r>
      <w:r w:rsidR="001608CF">
        <w:rPr>
          <w:i/>
          <w:iCs/>
        </w:rPr>
        <w:t xml:space="preserve">naujų kasaciniam teismui pateiktų įrodymų ir </w:t>
      </w:r>
      <w:r w:rsidRPr="00235CC9">
        <w:rPr>
          <w:i/>
          <w:iCs/>
        </w:rPr>
        <w:t>bylos nagrinėjimo kasaciniame teisme ribų</w:t>
      </w:r>
    </w:p>
    <w:p w14:paraId="1EF1E70C" w14:textId="77777777" w:rsidR="00AA5A3F" w:rsidRPr="00235CC9" w:rsidRDefault="00AA5A3F" w:rsidP="004E758B">
      <w:pPr>
        <w:spacing w:after="120"/>
        <w:jc w:val="both"/>
      </w:pPr>
    </w:p>
    <w:p w14:paraId="2FEE9A34" w14:textId="77777777" w:rsidR="00940ECD" w:rsidRPr="00940ECD" w:rsidRDefault="001608CF" w:rsidP="003809E8">
      <w:pPr>
        <w:numPr>
          <w:ilvl w:val="0"/>
          <w:numId w:val="40"/>
        </w:numPr>
        <w:tabs>
          <w:tab w:val="left" w:pos="630"/>
          <w:tab w:val="left" w:pos="900"/>
          <w:tab w:val="left" w:pos="990"/>
        </w:tabs>
        <w:spacing w:after="120"/>
        <w:jc w:val="both"/>
        <w:rPr>
          <w:rFonts w:asciiTheme="majorBidi" w:hAnsiTheme="majorBidi" w:cstheme="majorBidi"/>
          <w:iCs/>
        </w:rPr>
      </w:pPr>
      <w:r w:rsidRPr="00940ECD">
        <w:rPr>
          <w:iCs/>
        </w:rPr>
        <w:t xml:space="preserve">Atsakovė kartu su atsiliepimu į kasacinį skundą pateikė 2024 m. gruodžio 3 d. </w:t>
      </w:r>
      <w:bookmarkStart w:id="8" w:name="_Hlk193298677"/>
      <w:r w:rsidRPr="00940ECD">
        <w:rPr>
          <w:iCs/>
        </w:rPr>
        <w:t>UAB „</w:t>
      </w:r>
      <w:proofErr w:type="spellStart"/>
      <w:r w:rsidRPr="00940ECD">
        <w:rPr>
          <w:iCs/>
        </w:rPr>
        <w:t>Vašuokėnų</w:t>
      </w:r>
      <w:proofErr w:type="spellEnd"/>
      <w:r w:rsidRPr="00940ECD">
        <w:rPr>
          <w:iCs/>
        </w:rPr>
        <w:t xml:space="preserve"> vėjas“ prašymą sudaryti ketinimų protokolą </w:t>
      </w:r>
      <w:bookmarkEnd w:id="8"/>
      <w:r w:rsidRPr="00940ECD">
        <w:rPr>
          <w:iCs/>
        </w:rPr>
        <w:t>ir prašo kasacinio teismo priimti šį naują įrodymą ir jį įvertinti, sprendžiant dėl kasacinio skundo pagrįstumo.</w:t>
      </w:r>
    </w:p>
    <w:p w14:paraId="02AC7959" w14:textId="623910DE" w:rsidR="00940ECD" w:rsidRPr="00940ECD" w:rsidRDefault="001608CF" w:rsidP="003809E8">
      <w:pPr>
        <w:numPr>
          <w:ilvl w:val="0"/>
          <w:numId w:val="40"/>
        </w:numPr>
        <w:tabs>
          <w:tab w:val="left" w:pos="630"/>
          <w:tab w:val="left" w:pos="900"/>
          <w:tab w:val="left" w:pos="990"/>
        </w:tabs>
        <w:spacing w:after="120"/>
        <w:jc w:val="both"/>
        <w:rPr>
          <w:rFonts w:asciiTheme="majorBidi" w:hAnsiTheme="majorBidi" w:cstheme="majorBidi"/>
          <w:iCs/>
        </w:rPr>
      </w:pPr>
      <w:r w:rsidRPr="00940ECD">
        <w:rPr>
          <w:iCs/>
        </w:rPr>
        <w:t xml:space="preserve">Pagal CPK 353 straipsnio 2 dalį, kasaciniame skunde neleidžiama remtis naujais įrodymais bei aplinkybėmis, kurie nebuvo nagrinėti pirmosios ar apeliacinės instancijos teisme. Teisėjų kolegija, atsižvelgdama į nurodytą teisinį reguliavimą, atsisako priimti atsakovės pateiktus naujus rašytinius įrodymus ir grąžina juos atsakovei. </w:t>
      </w:r>
    </w:p>
    <w:p w14:paraId="0AD5EF70" w14:textId="4A4CE2FA" w:rsidR="00165E9B" w:rsidRPr="00940ECD" w:rsidRDefault="00165E9B" w:rsidP="00AD32EF">
      <w:pPr>
        <w:numPr>
          <w:ilvl w:val="0"/>
          <w:numId w:val="40"/>
        </w:numPr>
        <w:tabs>
          <w:tab w:val="left" w:pos="630"/>
          <w:tab w:val="left" w:pos="900"/>
          <w:tab w:val="left" w:pos="990"/>
        </w:tabs>
        <w:spacing w:after="120"/>
        <w:jc w:val="both"/>
        <w:rPr>
          <w:rFonts w:asciiTheme="majorBidi" w:hAnsiTheme="majorBidi" w:cstheme="majorBidi"/>
          <w:iCs/>
        </w:rPr>
      </w:pPr>
      <w:r w:rsidRPr="007A79F4">
        <w:rPr>
          <w:rFonts w:asciiTheme="majorBidi" w:hAnsiTheme="majorBidi" w:cstheme="majorBidi"/>
        </w:rPr>
        <w:t xml:space="preserve">Bylos nagrinėjimo kasaciniame teisme ribas apibrėžia CPK 353 </w:t>
      </w:r>
      <w:r w:rsidRPr="00BA352B">
        <w:rPr>
          <w:rFonts w:asciiTheme="majorBidi" w:hAnsiTheme="majorBidi" w:cstheme="majorBidi"/>
        </w:rPr>
        <w:t xml:space="preserve">straipsnis. Pagal šio straipsnio 1 dalį, kasacinis teismas, neperžengdamas kasacinio skundo ribų, patikrina apskųstus sprendimus ir (ar) nutartis teisės taikymo aspektu. Kasacinis teismas yra saistomas pirmosios ir apeliacinės instancijos teismų nustatytų aplinkybių. Aiškindamas šią teisės normą kasacinis teismas ne kartą yra nurodęs, kad pagal ją </w:t>
      </w:r>
      <w:r w:rsidRPr="00BA352B">
        <w:rPr>
          <w:rFonts w:asciiTheme="majorBidi" w:hAnsiTheme="majorBidi" w:cstheme="majorBidi"/>
          <w:iCs/>
        </w:rPr>
        <w:t>kasacinis teismas sprendžia tik teisės klausimu</w:t>
      </w:r>
      <w:r w:rsidRPr="00940ECD">
        <w:rPr>
          <w:rFonts w:asciiTheme="majorBidi" w:hAnsiTheme="majorBidi" w:cstheme="majorBidi"/>
          <w:iCs/>
        </w:rPr>
        <w:t xml:space="preserve">s, be to, tik tuos teisės klausimus, kurie yra tiesiogiai iškelti kasaciniame skunde (žr., pvz., Lietuvos Aukščiausiojo Teismo </w:t>
      </w:r>
      <w:r w:rsidRPr="00940ECD">
        <w:rPr>
          <w:rFonts w:asciiTheme="majorBidi" w:hAnsiTheme="majorBidi" w:cstheme="majorBidi"/>
          <w:shd w:val="clear" w:color="auto" w:fill="FFFFFF"/>
        </w:rPr>
        <w:t>2024 m. balandžio 19 d.</w:t>
      </w:r>
      <w:r w:rsidRPr="00940ECD">
        <w:rPr>
          <w:rFonts w:asciiTheme="majorBidi" w:hAnsiTheme="majorBidi" w:cstheme="majorBidi"/>
          <w:iCs/>
        </w:rPr>
        <w:t xml:space="preserve"> nutarties civilinėje byloje </w:t>
      </w:r>
      <w:r w:rsidRPr="00940ECD">
        <w:rPr>
          <w:rFonts w:asciiTheme="majorBidi" w:hAnsiTheme="majorBidi" w:cstheme="majorBidi"/>
          <w:shd w:val="clear" w:color="auto" w:fill="FFFFFF"/>
        </w:rPr>
        <w:t>3K-7-50-313/2024</w:t>
      </w:r>
      <w:r w:rsidRPr="00940ECD">
        <w:rPr>
          <w:rFonts w:asciiTheme="majorBidi" w:hAnsiTheme="majorBidi" w:cstheme="majorBidi"/>
          <w:iCs/>
        </w:rPr>
        <w:t xml:space="preserve"> 56 punktą ir jame nurodytą kasacinio teismo praktiką).</w:t>
      </w:r>
    </w:p>
    <w:p w14:paraId="7592B6D4" w14:textId="77777777" w:rsidR="00165E9B" w:rsidRPr="00235CC9" w:rsidRDefault="00165E9B" w:rsidP="00165E9B">
      <w:pPr>
        <w:pStyle w:val="Sraopastraipa"/>
        <w:numPr>
          <w:ilvl w:val="0"/>
          <w:numId w:val="40"/>
        </w:numPr>
        <w:spacing w:after="120" w:line="240" w:lineRule="auto"/>
        <w:contextualSpacing w:val="0"/>
        <w:jc w:val="both"/>
        <w:rPr>
          <w:rFonts w:asciiTheme="majorBidi" w:hAnsiTheme="majorBidi" w:cstheme="majorBidi"/>
          <w:iCs/>
          <w:sz w:val="24"/>
          <w:szCs w:val="24"/>
        </w:rPr>
      </w:pPr>
      <w:r w:rsidRPr="00235CC9">
        <w:rPr>
          <w:rFonts w:asciiTheme="majorBidi" w:eastAsia="SimSun" w:hAnsiTheme="majorBidi" w:cstheme="majorBidi"/>
          <w:sz w:val="24"/>
          <w:szCs w:val="24"/>
        </w:rPr>
        <w:t xml:space="preserve">Kasacinio teismo praktikoje ne kartą pažymėta, kad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(Lietuvos Aukščiausiojo Teismo 2013 m. birželio 28 d. nutartis civilinėje byloje Nr. 3K-3-373/2013). </w:t>
      </w:r>
    </w:p>
    <w:p w14:paraId="7FD282D9" w14:textId="28502522" w:rsidR="0010234B" w:rsidRPr="00235CC9" w:rsidRDefault="00E12062" w:rsidP="00C311B5">
      <w:pPr>
        <w:pStyle w:val="Sraopastraipa"/>
        <w:numPr>
          <w:ilvl w:val="0"/>
          <w:numId w:val="40"/>
        </w:numPr>
        <w:spacing w:after="120" w:line="240" w:lineRule="auto"/>
        <w:contextualSpacing w:val="0"/>
        <w:jc w:val="both"/>
        <w:rPr>
          <w:rFonts w:asciiTheme="majorBidi" w:eastAsia="SimSun" w:hAnsiTheme="majorBidi" w:cstheme="majorBidi"/>
          <w:sz w:val="24"/>
          <w:szCs w:val="24"/>
        </w:rPr>
      </w:pPr>
      <w:r w:rsidRPr="00235CC9">
        <w:rPr>
          <w:rFonts w:asciiTheme="majorBidi" w:eastAsia="SimSun" w:hAnsiTheme="majorBidi" w:cstheme="majorBidi"/>
          <w:sz w:val="24"/>
          <w:szCs w:val="24"/>
        </w:rPr>
        <w:t>Nagrinėjamoje byloje atmestas ieškovės ieškinys, kuriuo ji prašė</w:t>
      </w:r>
      <w:r w:rsidRPr="00235CC9">
        <w:rPr>
          <w:rFonts w:ascii="Times New Roman" w:hAnsi="Times New Roman"/>
          <w:color w:val="auto"/>
          <w:sz w:val="24"/>
          <w:szCs w:val="24"/>
          <w:lang w:eastAsia="en-US"/>
        </w:rPr>
        <w:t xml:space="preserve"> </w:t>
      </w:r>
      <w:r w:rsidRPr="00235CC9">
        <w:rPr>
          <w:rFonts w:asciiTheme="majorBidi" w:eastAsia="SimSun" w:hAnsiTheme="majorBidi" w:cstheme="majorBidi"/>
          <w:sz w:val="24"/>
          <w:szCs w:val="24"/>
        </w:rPr>
        <w:t>įpareigoti atsakovę po EEĮ 73</w:t>
      </w:r>
      <w:r w:rsidRPr="00235CC9">
        <w:rPr>
          <w:rFonts w:asciiTheme="majorBidi" w:eastAsia="SimSun" w:hAnsiTheme="majorBidi" w:cstheme="majorBidi"/>
          <w:sz w:val="24"/>
          <w:szCs w:val="24"/>
          <w:vertAlign w:val="superscript"/>
        </w:rPr>
        <w:t>2</w:t>
      </w:r>
      <w:r w:rsidR="00224D91">
        <w:rPr>
          <w:rFonts w:asciiTheme="majorBidi" w:eastAsia="SimSun" w:hAnsiTheme="majorBidi" w:cstheme="majorBidi"/>
          <w:sz w:val="24"/>
          <w:szCs w:val="24"/>
        </w:rPr>
        <w:t> </w:t>
      </w:r>
      <w:r w:rsidRPr="00235CC9">
        <w:rPr>
          <w:rFonts w:asciiTheme="majorBidi" w:eastAsia="SimSun" w:hAnsiTheme="majorBidi" w:cstheme="majorBidi"/>
          <w:sz w:val="24"/>
          <w:szCs w:val="24"/>
        </w:rPr>
        <w:t xml:space="preserve">straipsnyje nurodytų procedūrų atlikimo sudaryti su ieškove </w:t>
      </w:r>
      <w:r w:rsidR="00224D91">
        <w:rPr>
          <w:rFonts w:asciiTheme="majorBidi" w:eastAsia="SimSun" w:hAnsiTheme="majorBidi" w:cstheme="majorBidi"/>
          <w:sz w:val="24"/>
          <w:szCs w:val="24"/>
        </w:rPr>
        <w:t xml:space="preserve">ketinimų protokolą </w:t>
      </w:r>
      <w:r w:rsidRPr="00235CC9">
        <w:rPr>
          <w:rFonts w:asciiTheme="majorBidi" w:eastAsia="SimSun" w:hAnsiTheme="majorBidi" w:cstheme="majorBidi"/>
          <w:sz w:val="24"/>
          <w:szCs w:val="24"/>
        </w:rPr>
        <w:t>pagal VERT 2022 m. birželio 3</w:t>
      </w:r>
      <w:r w:rsidR="00224D91">
        <w:rPr>
          <w:rFonts w:asciiTheme="majorBidi" w:eastAsia="SimSun" w:hAnsiTheme="majorBidi" w:cstheme="majorBidi"/>
          <w:sz w:val="24"/>
          <w:szCs w:val="24"/>
        </w:rPr>
        <w:t> </w:t>
      </w:r>
      <w:r w:rsidRPr="00235CC9">
        <w:rPr>
          <w:rFonts w:asciiTheme="majorBidi" w:eastAsia="SimSun" w:hAnsiTheme="majorBidi" w:cstheme="majorBidi"/>
          <w:sz w:val="24"/>
          <w:szCs w:val="24"/>
        </w:rPr>
        <w:t xml:space="preserve">d. nutarimu </w:t>
      </w:r>
      <w:r w:rsidR="007D2554">
        <w:rPr>
          <w:rFonts w:asciiTheme="majorBidi" w:eastAsia="SimSun" w:hAnsiTheme="majorBidi" w:cstheme="majorBidi"/>
          <w:sz w:val="24"/>
          <w:szCs w:val="24"/>
        </w:rPr>
        <w:t>Nr. </w:t>
      </w:r>
      <w:r w:rsidRPr="00235CC9">
        <w:rPr>
          <w:rFonts w:asciiTheme="majorBidi" w:eastAsia="SimSun" w:hAnsiTheme="majorBidi" w:cstheme="majorBidi"/>
          <w:sz w:val="24"/>
          <w:szCs w:val="24"/>
        </w:rPr>
        <w:t>O3E-832 „Dėl LITGRID AB elektros energijos gamintojų pasinaudojimo elektros perdavimo tinklais tvarkos aprašo derinimo“ patvirtintą tipinę ketinimų protokolo formą ir 2022</w:t>
      </w:r>
      <w:r w:rsidR="007D2554">
        <w:rPr>
          <w:rFonts w:asciiTheme="majorBidi" w:eastAsia="SimSun" w:hAnsiTheme="majorBidi" w:cstheme="majorBidi"/>
          <w:sz w:val="24"/>
          <w:szCs w:val="24"/>
        </w:rPr>
        <w:t> </w:t>
      </w:r>
      <w:r w:rsidRPr="00235CC9">
        <w:rPr>
          <w:rFonts w:asciiTheme="majorBidi" w:eastAsia="SimSun" w:hAnsiTheme="majorBidi" w:cstheme="majorBidi"/>
          <w:sz w:val="24"/>
          <w:szCs w:val="24"/>
        </w:rPr>
        <w:t>m. rugpjūčio 4 d. išankstines prijungimo sąlygas Nr. 22SD-3318, kurios ieškovei išduotos atsakovės, 250 MW leistinos generuoti galios (250 MW įrengtosios galios) vėjo elektrin</w:t>
      </w:r>
      <w:r w:rsidR="00224D91">
        <w:rPr>
          <w:rFonts w:asciiTheme="majorBidi" w:eastAsia="SimSun" w:hAnsiTheme="majorBidi" w:cstheme="majorBidi"/>
          <w:sz w:val="24"/>
          <w:szCs w:val="24"/>
        </w:rPr>
        <w:t>ei</w:t>
      </w:r>
      <w:r w:rsidRPr="00235CC9">
        <w:rPr>
          <w:rFonts w:asciiTheme="majorBidi" w:eastAsia="SimSun" w:hAnsiTheme="majorBidi" w:cstheme="majorBidi"/>
          <w:sz w:val="24"/>
          <w:szCs w:val="24"/>
        </w:rPr>
        <w:t xml:space="preserve"> </w:t>
      </w:r>
      <w:r w:rsidR="00224D91">
        <w:rPr>
          <w:rFonts w:asciiTheme="majorBidi" w:eastAsia="SimSun" w:hAnsiTheme="majorBidi" w:cstheme="majorBidi"/>
          <w:sz w:val="24"/>
          <w:szCs w:val="24"/>
        </w:rPr>
        <w:t xml:space="preserve">prijungti </w:t>
      </w:r>
      <w:r w:rsidRPr="00235CC9">
        <w:rPr>
          <w:rFonts w:asciiTheme="majorBidi" w:eastAsia="SimSun" w:hAnsiTheme="majorBidi" w:cstheme="majorBidi"/>
          <w:sz w:val="24"/>
          <w:szCs w:val="24"/>
        </w:rPr>
        <w:t xml:space="preserve">prie 330 </w:t>
      </w:r>
      <w:proofErr w:type="spellStart"/>
      <w:r w:rsidRPr="00235CC9">
        <w:rPr>
          <w:rFonts w:asciiTheme="majorBidi" w:eastAsia="SimSun" w:hAnsiTheme="majorBidi" w:cstheme="majorBidi"/>
          <w:sz w:val="24"/>
          <w:szCs w:val="24"/>
        </w:rPr>
        <w:t>kV</w:t>
      </w:r>
      <w:proofErr w:type="spellEnd"/>
      <w:r w:rsidRPr="00235CC9">
        <w:rPr>
          <w:rFonts w:asciiTheme="majorBidi" w:eastAsia="SimSun" w:hAnsiTheme="majorBidi" w:cstheme="majorBidi"/>
          <w:sz w:val="24"/>
          <w:szCs w:val="24"/>
        </w:rPr>
        <w:t xml:space="preserve"> elektros linijos Utena–Panevėžys. Nesutikdama su bylą nagrinėjusių teismų procesiniais sprendimais, kuriais jos ieškinys buvo atmestas, ieškovė kasaciniame skunde kelia šiuos teisės aiškinimo ir taikymo klausimus: 1) ar pagrįstai buvo atsisakyta priimti teikiamus </w:t>
      </w:r>
      <w:r w:rsidR="008E5769">
        <w:rPr>
          <w:rFonts w:asciiTheme="majorBidi" w:eastAsia="SimSun" w:hAnsiTheme="majorBidi" w:cstheme="majorBidi"/>
          <w:sz w:val="24"/>
          <w:szCs w:val="24"/>
        </w:rPr>
        <w:t xml:space="preserve">naujus </w:t>
      </w:r>
      <w:r w:rsidRPr="00235CC9">
        <w:rPr>
          <w:rFonts w:asciiTheme="majorBidi" w:eastAsia="SimSun" w:hAnsiTheme="majorBidi" w:cstheme="majorBidi"/>
          <w:sz w:val="24"/>
          <w:szCs w:val="24"/>
        </w:rPr>
        <w:t xml:space="preserve">įrodymus (rašytinius paaiškinimus) apeliacinės instancijos teisme; 2) ar nebuvo pažeista teismo pareiga </w:t>
      </w:r>
      <w:r w:rsidRPr="00F24380">
        <w:rPr>
          <w:rFonts w:asciiTheme="majorBidi" w:eastAsia="SimSun" w:hAnsiTheme="majorBidi" w:cstheme="majorBidi"/>
          <w:sz w:val="24"/>
          <w:szCs w:val="24"/>
        </w:rPr>
        <w:t>laikytis tos pačios pakopos teismo anksčiau suformu</w:t>
      </w:r>
      <w:r w:rsidR="008E5769">
        <w:rPr>
          <w:rFonts w:asciiTheme="majorBidi" w:eastAsia="SimSun" w:hAnsiTheme="majorBidi" w:cstheme="majorBidi"/>
          <w:sz w:val="24"/>
          <w:szCs w:val="24"/>
        </w:rPr>
        <w:t>lu</w:t>
      </w:r>
      <w:r w:rsidRPr="00F24380">
        <w:rPr>
          <w:rFonts w:asciiTheme="majorBidi" w:eastAsia="SimSun" w:hAnsiTheme="majorBidi" w:cstheme="majorBidi"/>
          <w:sz w:val="24"/>
          <w:szCs w:val="24"/>
        </w:rPr>
        <w:t>otų išaiškinimų (precedento horizontalusis poveikis</w:t>
      </w:r>
      <w:r w:rsidR="008977F7" w:rsidRPr="00F24380">
        <w:rPr>
          <w:rFonts w:asciiTheme="majorBidi" w:eastAsia="SimSun" w:hAnsiTheme="majorBidi" w:cstheme="majorBidi"/>
          <w:sz w:val="24"/>
          <w:szCs w:val="24"/>
        </w:rPr>
        <w:t>)</w:t>
      </w:r>
      <w:r w:rsidR="00523C15" w:rsidRPr="00F24380">
        <w:rPr>
          <w:rFonts w:asciiTheme="majorBidi" w:eastAsia="SimSun" w:hAnsiTheme="majorBidi" w:cstheme="majorBidi"/>
          <w:sz w:val="24"/>
          <w:szCs w:val="24"/>
        </w:rPr>
        <w:t>; 3</w:t>
      </w:r>
      <w:r w:rsidR="00523C15" w:rsidRPr="00235CC9">
        <w:rPr>
          <w:rFonts w:asciiTheme="majorBidi" w:eastAsia="SimSun" w:hAnsiTheme="majorBidi" w:cstheme="majorBidi"/>
          <w:sz w:val="24"/>
          <w:szCs w:val="24"/>
        </w:rPr>
        <w:t>) ar tinkamai taikytos materialiosios teisės normos, reglamentuojančios pasinaudojimo e</w:t>
      </w:r>
      <w:r w:rsidR="00BC4C1A">
        <w:rPr>
          <w:rFonts w:asciiTheme="majorBidi" w:eastAsia="SimSun" w:hAnsiTheme="majorBidi" w:cstheme="majorBidi"/>
          <w:sz w:val="24"/>
          <w:szCs w:val="24"/>
        </w:rPr>
        <w:t>le</w:t>
      </w:r>
      <w:r w:rsidR="00523C15" w:rsidRPr="00235CC9">
        <w:rPr>
          <w:rFonts w:asciiTheme="majorBidi" w:eastAsia="SimSun" w:hAnsiTheme="majorBidi" w:cstheme="majorBidi"/>
          <w:sz w:val="24"/>
          <w:szCs w:val="24"/>
        </w:rPr>
        <w:t>ktros tink</w:t>
      </w:r>
      <w:r w:rsidR="00E02329" w:rsidRPr="00235CC9">
        <w:rPr>
          <w:rFonts w:asciiTheme="majorBidi" w:eastAsia="SimSun" w:hAnsiTheme="majorBidi" w:cstheme="majorBidi"/>
          <w:sz w:val="24"/>
          <w:szCs w:val="24"/>
        </w:rPr>
        <w:t>la</w:t>
      </w:r>
      <w:r w:rsidR="00523C15" w:rsidRPr="00235CC9">
        <w:rPr>
          <w:rFonts w:asciiTheme="majorBidi" w:eastAsia="SimSun" w:hAnsiTheme="majorBidi" w:cstheme="majorBidi"/>
          <w:sz w:val="24"/>
          <w:szCs w:val="24"/>
        </w:rPr>
        <w:t xml:space="preserve">is tvarką. </w:t>
      </w:r>
      <w:r w:rsidR="0010234B" w:rsidRPr="00235CC9">
        <w:rPr>
          <w:rFonts w:asciiTheme="majorBidi" w:hAnsiTheme="majorBidi" w:cstheme="majorBidi"/>
          <w:sz w:val="24"/>
          <w:szCs w:val="24"/>
        </w:rPr>
        <w:t>Teisėjų kolegija, laikydamasi kasacinio skundo ribų, toliau pasisakys nurodytais teisės aiškinimo ir taikymo klausimais.</w:t>
      </w:r>
    </w:p>
    <w:p w14:paraId="2B8B3B54" w14:textId="56290216" w:rsidR="00DE7A6A" w:rsidRPr="00235CC9" w:rsidRDefault="00DE7A6A" w:rsidP="00165E9B">
      <w:pPr>
        <w:pStyle w:val="Sraopastraipa"/>
        <w:spacing w:after="120"/>
        <w:ind w:left="360"/>
        <w:jc w:val="both"/>
      </w:pPr>
    </w:p>
    <w:p w14:paraId="3564B5C3" w14:textId="77777777" w:rsidR="00165E9B" w:rsidRPr="00235CC9" w:rsidRDefault="00165E9B" w:rsidP="00BB34A4">
      <w:pPr>
        <w:shd w:val="clear" w:color="auto" w:fill="FFFFFF"/>
        <w:tabs>
          <w:tab w:val="left" w:pos="851"/>
          <w:tab w:val="left" w:pos="993"/>
          <w:tab w:val="left" w:pos="1134"/>
        </w:tabs>
        <w:suppressAutoHyphens/>
        <w:spacing w:after="120"/>
        <w:ind w:firstLine="720"/>
        <w:jc w:val="both"/>
        <w:rPr>
          <w:i/>
          <w:iCs/>
          <w:color w:val="auto"/>
        </w:rPr>
      </w:pPr>
      <w:r w:rsidRPr="00235CC9">
        <w:rPr>
          <w:i/>
          <w:iCs/>
          <w:color w:val="auto"/>
        </w:rPr>
        <w:t>Dėl naujų įrodymų (ne)priėmimo apeliacinės instancijos teisme</w:t>
      </w:r>
    </w:p>
    <w:p w14:paraId="7DB13901" w14:textId="77777777" w:rsidR="00BF3753" w:rsidRPr="00235CC9" w:rsidRDefault="00BF3753" w:rsidP="00165E9B">
      <w:pPr>
        <w:shd w:val="clear" w:color="auto" w:fill="FFFFFF"/>
        <w:tabs>
          <w:tab w:val="left" w:pos="851"/>
          <w:tab w:val="left" w:pos="993"/>
          <w:tab w:val="left" w:pos="1134"/>
        </w:tabs>
        <w:suppressAutoHyphens/>
        <w:spacing w:after="120"/>
        <w:ind w:firstLine="709"/>
        <w:jc w:val="both"/>
        <w:rPr>
          <w:i/>
          <w:iCs/>
          <w:color w:val="auto"/>
        </w:rPr>
      </w:pPr>
    </w:p>
    <w:p w14:paraId="64919AC5" w14:textId="3AB36320" w:rsidR="00BC4C1A" w:rsidRDefault="00BF3753" w:rsidP="00666FC3">
      <w:pPr>
        <w:pStyle w:val="Sraopastraipa"/>
        <w:numPr>
          <w:ilvl w:val="0"/>
          <w:numId w:val="40"/>
        </w:numPr>
        <w:spacing w:after="120" w:line="240" w:lineRule="auto"/>
        <w:contextualSpacing w:val="0"/>
        <w:jc w:val="both"/>
        <w:rPr>
          <w:rFonts w:asciiTheme="majorBidi" w:hAnsiTheme="majorBidi" w:cstheme="majorBidi"/>
          <w:sz w:val="24"/>
          <w:szCs w:val="24"/>
        </w:rPr>
      </w:pPr>
      <w:r w:rsidRPr="00BC4C1A">
        <w:rPr>
          <w:rFonts w:asciiTheme="majorBidi" w:hAnsiTheme="majorBidi" w:cstheme="majorBidi"/>
          <w:sz w:val="24"/>
          <w:szCs w:val="24"/>
        </w:rPr>
        <w:t> </w:t>
      </w:r>
      <w:bookmarkStart w:id="9" w:name="nd5b1a44d-f696-4658-8e3d-9856add3dc7c"/>
      <w:r w:rsidRPr="00BC4C1A">
        <w:rPr>
          <w:rFonts w:asciiTheme="majorBidi" w:hAnsiTheme="majorBidi" w:cstheme="majorBidi"/>
          <w:color w:val="auto"/>
          <w:sz w:val="24"/>
          <w:szCs w:val="24"/>
        </w:rPr>
        <w:fldChar w:fldCharType="begin"/>
      </w:r>
      <w:r w:rsidRPr="00BC4C1A">
        <w:rPr>
          <w:rFonts w:asciiTheme="majorBidi" w:hAnsiTheme="majorBidi" w:cstheme="majorBidi"/>
          <w:color w:val="auto"/>
          <w:sz w:val="24"/>
          <w:szCs w:val="24"/>
        </w:rPr>
        <w:instrText>HYPERLINK "https://www.infolex.lt/ta/77554" \o "Lietuvos Respublikos civilinio proceso kodeksas" \t "_blank"</w:instrText>
      </w:r>
      <w:r w:rsidRPr="00BC4C1A">
        <w:rPr>
          <w:rFonts w:asciiTheme="majorBidi" w:hAnsiTheme="majorBidi" w:cstheme="majorBidi"/>
          <w:color w:val="auto"/>
          <w:sz w:val="24"/>
          <w:szCs w:val="24"/>
        </w:rPr>
      </w:r>
      <w:r w:rsidRPr="00BC4C1A">
        <w:rPr>
          <w:rFonts w:asciiTheme="majorBidi" w:hAnsiTheme="majorBidi" w:cstheme="majorBidi"/>
          <w:color w:val="auto"/>
          <w:sz w:val="24"/>
          <w:szCs w:val="24"/>
        </w:rPr>
        <w:fldChar w:fldCharType="separate"/>
      </w:r>
      <w:r w:rsidRPr="00BC4C1A">
        <w:rPr>
          <w:rStyle w:val="Hipersaitas"/>
          <w:rFonts w:asciiTheme="majorBidi" w:hAnsiTheme="majorBidi" w:cstheme="majorBidi"/>
          <w:color w:val="auto"/>
          <w:sz w:val="24"/>
          <w:szCs w:val="24"/>
        </w:rPr>
        <w:t>CPK</w:t>
      </w:r>
      <w:r w:rsidRPr="00BC4C1A">
        <w:rPr>
          <w:rFonts w:asciiTheme="majorBidi" w:hAnsiTheme="majorBidi" w:cstheme="majorBidi"/>
          <w:color w:val="auto"/>
          <w:sz w:val="24"/>
          <w:szCs w:val="24"/>
        </w:rPr>
        <w:fldChar w:fldCharType="end"/>
      </w:r>
      <w:bookmarkStart w:id="10" w:name="pnd5b1a44d-f696-4658-8e3d-9856add3dc7c"/>
      <w:bookmarkEnd w:id="9"/>
      <w:bookmarkEnd w:id="10"/>
      <w:r w:rsidRPr="00BC4C1A">
        <w:rPr>
          <w:rFonts w:asciiTheme="majorBidi" w:hAnsiTheme="majorBidi" w:cstheme="majorBidi"/>
          <w:color w:val="auto"/>
          <w:sz w:val="24"/>
          <w:szCs w:val="24"/>
        </w:rPr>
        <w:t> </w:t>
      </w:r>
      <w:bookmarkStart w:id="11" w:name="nd4d8887d-9221-45a9-9cf4-478465205248"/>
      <w:r w:rsidRPr="00BC4C1A">
        <w:rPr>
          <w:rFonts w:asciiTheme="majorBidi" w:hAnsiTheme="majorBidi" w:cstheme="majorBidi"/>
          <w:color w:val="auto"/>
          <w:sz w:val="24"/>
          <w:szCs w:val="24"/>
        </w:rPr>
        <w:fldChar w:fldCharType="begin"/>
      </w:r>
      <w:r w:rsidRPr="00BC4C1A">
        <w:rPr>
          <w:rFonts w:asciiTheme="majorBidi" w:hAnsiTheme="majorBidi" w:cstheme="majorBidi"/>
          <w:color w:val="auto"/>
          <w:sz w:val="24"/>
          <w:szCs w:val="24"/>
        </w:rPr>
        <w:instrText>HYPERLINK "https://www.infolex.lt/tp/2037265" \o "Apeliacinio skundo turinys" \t "_blank"</w:instrText>
      </w:r>
      <w:r w:rsidRPr="00BC4C1A">
        <w:rPr>
          <w:rFonts w:asciiTheme="majorBidi" w:hAnsiTheme="majorBidi" w:cstheme="majorBidi"/>
          <w:color w:val="auto"/>
          <w:sz w:val="24"/>
          <w:szCs w:val="24"/>
        </w:rPr>
      </w:r>
      <w:r w:rsidRPr="00BC4C1A">
        <w:rPr>
          <w:rFonts w:asciiTheme="majorBidi" w:hAnsiTheme="majorBidi" w:cstheme="majorBidi"/>
          <w:color w:val="auto"/>
          <w:sz w:val="24"/>
          <w:szCs w:val="24"/>
        </w:rPr>
        <w:fldChar w:fldCharType="separate"/>
      </w:r>
      <w:r w:rsidRPr="00BC4C1A">
        <w:rPr>
          <w:rStyle w:val="Hipersaitas"/>
          <w:rFonts w:asciiTheme="majorBidi" w:hAnsiTheme="majorBidi" w:cstheme="majorBidi"/>
          <w:color w:val="auto"/>
          <w:sz w:val="24"/>
          <w:szCs w:val="24"/>
        </w:rPr>
        <w:t>306</w:t>
      </w:r>
      <w:r w:rsidRPr="00BC4C1A">
        <w:rPr>
          <w:rFonts w:asciiTheme="majorBidi" w:hAnsiTheme="majorBidi" w:cstheme="majorBidi"/>
          <w:color w:val="auto"/>
          <w:sz w:val="24"/>
          <w:szCs w:val="24"/>
        </w:rPr>
        <w:fldChar w:fldCharType="end"/>
      </w:r>
      <w:bookmarkStart w:id="12" w:name="pnd4d8887d-9221-45a9-9cf4-478465205248"/>
      <w:bookmarkEnd w:id="11"/>
      <w:bookmarkEnd w:id="12"/>
      <w:r w:rsidRPr="00BC4C1A">
        <w:rPr>
          <w:rFonts w:asciiTheme="majorBidi" w:hAnsiTheme="majorBidi" w:cstheme="majorBidi"/>
          <w:sz w:val="24"/>
          <w:szCs w:val="24"/>
        </w:rPr>
        <w:t xml:space="preserve"> straipsnio 4 dalyje reglamentuojama naujų įrodymų pateikimo </w:t>
      </w:r>
      <w:r w:rsidR="00874146" w:rsidRPr="00F24380">
        <w:rPr>
          <w:rFonts w:asciiTheme="majorBidi" w:hAnsiTheme="majorBidi" w:cstheme="majorBidi"/>
          <w:sz w:val="24"/>
          <w:szCs w:val="24"/>
        </w:rPr>
        <w:t>apeliacinės instancijos teismui</w:t>
      </w:r>
      <w:r w:rsidR="00874146">
        <w:rPr>
          <w:rFonts w:asciiTheme="majorBidi" w:hAnsiTheme="majorBidi" w:cstheme="majorBidi"/>
          <w:sz w:val="24"/>
          <w:szCs w:val="24"/>
        </w:rPr>
        <w:t xml:space="preserve"> </w:t>
      </w:r>
      <w:r w:rsidRPr="00BC4C1A">
        <w:rPr>
          <w:rFonts w:asciiTheme="majorBidi" w:hAnsiTheme="majorBidi" w:cstheme="majorBidi"/>
          <w:sz w:val="24"/>
          <w:szCs w:val="24"/>
        </w:rPr>
        <w:t>tvarka – jie turi būti pateikiami kartu su apeliaciniu skundu, nurodant motyvus, kodėl įrodymai nebuvo pateikti anksčiau. Naujų įrodymų apeliaciniame teisme pateikimas ne kartu su apeliaciniu skundu, o vėliau, be kita ko, gali reikšti apeliacinio skundo faktinio pagrindo (aplinkybių, kuriomis grindžiamas apeliacinio skundo dalykas) pakeitimą (papildymą). </w:t>
      </w:r>
      <w:bookmarkStart w:id="13" w:name="nd972b8ed-33e6-418c-992e-0d0cf6810294"/>
      <w:r w:rsidRPr="00BC4C1A">
        <w:rPr>
          <w:rFonts w:asciiTheme="majorBidi" w:hAnsiTheme="majorBidi" w:cstheme="majorBidi"/>
          <w:color w:val="auto"/>
          <w:sz w:val="24"/>
          <w:szCs w:val="24"/>
        </w:rPr>
        <w:fldChar w:fldCharType="begin"/>
      </w:r>
      <w:r w:rsidRPr="00BC4C1A">
        <w:rPr>
          <w:rFonts w:asciiTheme="majorBidi" w:hAnsiTheme="majorBidi" w:cstheme="majorBidi"/>
          <w:color w:val="auto"/>
          <w:sz w:val="24"/>
          <w:szCs w:val="24"/>
        </w:rPr>
        <w:instrText>HYPERLINK "https://www.infolex.lt/ta/77554" \o "Lietuvos Respublikos civilinio proceso kodeksas" \t "_blank"</w:instrText>
      </w:r>
      <w:r w:rsidRPr="00BC4C1A">
        <w:rPr>
          <w:rFonts w:asciiTheme="majorBidi" w:hAnsiTheme="majorBidi" w:cstheme="majorBidi"/>
          <w:color w:val="auto"/>
          <w:sz w:val="24"/>
          <w:szCs w:val="24"/>
        </w:rPr>
      </w:r>
      <w:r w:rsidRPr="00BC4C1A">
        <w:rPr>
          <w:rFonts w:asciiTheme="majorBidi" w:hAnsiTheme="majorBidi" w:cstheme="majorBidi"/>
          <w:color w:val="auto"/>
          <w:sz w:val="24"/>
          <w:szCs w:val="24"/>
        </w:rPr>
        <w:fldChar w:fldCharType="separate"/>
      </w:r>
      <w:r w:rsidRPr="00BC4C1A">
        <w:rPr>
          <w:rStyle w:val="Hipersaitas"/>
          <w:rFonts w:asciiTheme="majorBidi" w:hAnsiTheme="majorBidi" w:cstheme="majorBidi"/>
          <w:color w:val="auto"/>
          <w:sz w:val="24"/>
          <w:szCs w:val="24"/>
        </w:rPr>
        <w:t>CPK</w:t>
      </w:r>
      <w:r w:rsidRPr="00BC4C1A">
        <w:rPr>
          <w:rFonts w:asciiTheme="majorBidi" w:hAnsiTheme="majorBidi" w:cstheme="majorBidi"/>
          <w:color w:val="auto"/>
          <w:sz w:val="24"/>
          <w:szCs w:val="24"/>
        </w:rPr>
        <w:fldChar w:fldCharType="end"/>
      </w:r>
      <w:bookmarkStart w:id="14" w:name="pnd972b8ed-33e6-418c-992e-0d0cf6810294"/>
      <w:bookmarkEnd w:id="13"/>
      <w:bookmarkEnd w:id="14"/>
      <w:r w:rsidRPr="00BC4C1A">
        <w:rPr>
          <w:rFonts w:asciiTheme="majorBidi" w:hAnsiTheme="majorBidi" w:cstheme="majorBidi"/>
          <w:color w:val="auto"/>
          <w:sz w:val="24"/>
          <w:szCs w:val="24"/>
        </w:rPr>
        <w:t> </w:t>
      </w:r>
      <w:bookmarkStart w:id="15" w:name="n110d0273-bef7-485d-98d8-2ae08f5f104d"/>
      <w:r w:rsidRPr="00BC4C1A">
        <w:rPr>
          <w:rFonts w:asciiTheme="majorBidi" w:hAnsiTheme="majorBidi" w:cstheme="majorBidi"/>
          <w:color w:val="auto"/>
          <w:sz w:val="24"/>
          <w:szCs w:val="24"/>
        </w:rPr>
        <w:fldChar w:fldCharType="begin"/>
      </w:r>
      <w:r w:rsidRPr="00BC4C1A">
        <w:rPr>
          <w:rFonts w:asciiTheme="majorBidi" w:hAnsiTheme="majorBidi" w:cstheme="majorBidi"/>
          <w:color w:val="auto"/>
          <w:sz w:val="24"/>
          <w:szCs w:val="24"/>
        </w:rPr>
        <w:instrText>HYPERLINK "https://www.infolex.lt/tp/2037265" \o "Apribojimai keisti apeliacinio skundo dalyką ar pagrindą" \t "_blank"</w:instrText>
      </w:r>
      <w:r w:rsidRPr="00BC4C1A">
        <w:rPr>
          <w:rFonts w:asciiTheme="majorBidi" w:hAnsiTheme="majorBidi" w:cstheme="majorBidi"/>
          <w:color w:val="auto"/>
          <w:sz w:val="24"/>
          <w:szCs w:val="24"/>
        </w:rPr>
      </w:r>
      <w:r w:rsidRPr="00BC4C1A">
        <w:rPr>
          <w:rFonts w:asciiTheme="majorBidi" w:hAnsiTheme="majorBidi" w:cstheme="majorBidi"/>
          <w:color w:val="auto"/>
          <w:sz w:val="24"/>
          <w:szCs w:val="24"/>
        </w:rPr>
        <w:fldChar w:fldCharType="separate"/>
      </w:r>
      <w:r w:rsidRPr="00BC4C1A">
        <w:rPr>
          <w:rStyle w:val="Hipersaitas"/>
          <w:rFonts w:asciiTheme="majorBidi" w:hAnsiTheme="majorBidi" w:cstheme="majorBidi"/>
          <w:color w:val="auto"/>
          <w:sz w:val="24"/>
          <w:szCs w:val="24"/>
        </w:rPr>
        <w:t>323</w:t>
      </w:r>
      <w:r w:rsidRPr="00BC4C1A">
        <w:rPr>
          <w:rFonts w:asciiTheme="majorBidi" w:hAnsiTheme="majorBidi" w:cstheme="majorBidi"/>
          <w:color w:val="auto"/>
          <w:sz w:val="24"/>
          <w:szCs w:val="24"/>
        </w:rPr>
        <w:fldChar w:fldCharType="end"/>
      </w:r>
      <w:bookmarkStart w:id="16" w:name="pn110d0273-bef7-485d-98d8-2ae08f5f104d"/>
      <w:bookmarkEnd w:id="15"/>
      <w:bookmarkEnd w:id="16"/>
      <w:r w:rsidRPr="00BC4C1A">
        <w:rPr>
          <w:rFonts w:asciiTheme="majorBidi" w:hAnsiTheme="majorBidi" w:cstheme="majorBidi"/>
          <w:color w:val="auto"/>
          <w:sz w:val="24"/>
          <w:szCs w:val="24"/>
        </w:rPr>
        <w:t> </w:t>
      </w:r>
      <w:r w:rsidRPr="00BC4C1A">
        <w:rPr>
          <w:rFonts w:asciiTheme="majorBidi" w:hAnsiTheme="majorBidi" w:cstheme="majorBidi"/>
          <w:sz w:val="24"/>
          <w:szCs w:val="24"/>
        </w:rPr>
        <w:t>straipsnyje, reglamentuojančiame apribojimus keisti apeliacinio skundo dalyką ar pagrindą, įtvirtinta, kad, pasibaigus apeliacinio skundo padavimo terminui, keisti (papildyti) apeliacinį skundą draudžiama.</w:t>
      </w:r>
    </w:p>
    <w:p w14:paraId="341ED236" w14:textId="77777777" w:rsidR="00BC4C1A" w:rsidRDefault="00165E9B" w:rsidP="008F11CD">
      <w:pPr>
        <w:pStyle w:val="Sraopastraipa"/>
        <w:numPr>
          <w:ilvl w:val="0"/>
          <w:numId w:val="40"/>
        </w:numPr>
        <w:spacing w:after="120" w:line="240" w:lineRule="auto"/>
        <w:contextualSpacing w:val="0"/>
        <w:jc w:val="both"/>
        <w:rPr>
          <w:rFonts w:asciiTheme="majorBidi" w:hAnsiTheme="majorBidi" w:cstheme="majorBidi"/>
          <w:sz w:val="24"/>
          <w:szCs w:val="24"/>
        </w:rPr>
      </w:pPr>
      <w:r w:rsidRPr="00BC4C1A">
        <w:rPr>
          <w:rFonts w:asciiTheme="majorBidi" w:hAnsiTheme="majorBidi" w:cstheme="majorBidi"/>
          <w:sz w:val="24"/>
          <w:szCs w:val="24"/>
          <w:shd w:val="clear" w:color="auto" w:fill="FFFFFF"/>
        </w:rPr>
        <w:t>Pagal CPK 314 straipsnį, apeliacinės instancijos teismas atsisako priimti naujus įrodymus, kurie galėjo būti pateikti pirmosios instancijos teisme, išskyrus atvejus, kai pirmosios instancijos teismas nepagrįstai juos atsisakė priimti ar kai šių įrodymų pateikimo būtinybė iškilo vėliau.</w:t>
      </w:r>
      <w:r w:rsidRPr="00BC4C1A">
        <w:rPr>
          <w:rFonts w:asciiTheme="majorBidi" w:hAnsiTheme="majorBidi" w:cstheme="majorBidi"/>
          <w:sz w:val="24"/>
          <w:szCs w:val="24"/>
        </w:rPr>
        <w:t xml:space="preserve"> </w:t>
      </w:r>
    </w:p>
    <w:p w14:paraId="569BB997" w14:textId="25AD5ABA" w:rsidR="00BC4C1A" w:rsidRPr="00BC4C1A" w:rsidRDefault="00165E9B" w:rsidP="006A3912">
      <w:pPr>
        <w:pStyle w:val="Sraopastraipa"/>
        <w:numPr>
          <w:ilvl w:val="0"/>
          <w:numId w:val="40"/>
        </w:numPr>
        <w:spacing w:after="120" w:line="240" w:lineRule="auto"/>
        <w:contextualSpacing w:val="0"/>
        <w:jc w:val="both"/>
        <w:rPr>
          <w:rFonts w:asciiTheme="majorBidi" w:hAnsiTheme="majorBidi" w:cstheme="majorBidi"/>
          <w:sz w:val="24"/>
          <w:szCs w:val="24"/>
        </w:rPr>
      </w:pPr>
      <w:r w:rsidRPr="00BC4C1A">
        <w:rPr>
          <w:rFonts w:asciiTheme="majorBidi" w:hAnsiTheme="majorBidi" w:cstheme="majorBidi"/>
          <w:sz w:val="24"/>
          <w:szCs w:val="24"/>
          <w:shd w:val="clear" w:color="auto" w:fill="FFFFFF"/>
        </w:rPr>
        <w:t xml:space="preserve">Dėl šios teisės normos taikymo kasacinis teismas yra išaiškinęs, kad dalyvaujantys byloje asmenys bendriausia prasme neturi teisės teikti naujus įrodymus apeliacinės instancijos teisme. </w:t>
      </w:r>
      <w:r w:rsidR="00BA352B">
        <w:rPr>
          <w:rFonts w:asciiTheme="majorBidi" w:hAnsiTheme="majorBidi" w:cstheme="majorBidi"/>
          <w:sz w:val="24"/>
          <w:szCs w:val="24"/>
          <w:shd w:val="clear" w:color="auto" w:fill="FFFFFF"/>
        </w:rPr>
        <w:t>Tai yra</w:t>
      </w:r>
      <w:r w:rsidRPr="00BC4C1A">
        <w:rPr>
          <w:rFonts w:asciiTheme="majorBidi" w:hAnsiTheme="majorBidi" w:cstheme="majorBidi"/>
          <w:sz w:val="24"/>
          <w:szCs w:val="24"/>
          <w:shd w:val="clear" w:color="auto" w:fill="FFFFFF"/>
        </w:rPr>
        <w:t xml:space="preserve"> ribotos apeliacijos, būdingos civiliniam procesui, išraiška. Bylos nagrinėjimo apeliacine tvarka paskirtis – neperžengiant apeliacinio skundo ribų, patikrinti pirmosios instancijos teismo sprendimo teisėtumą ir pagrįstumą (CPK 320 straipsnio 1 dalis). Šio apeliaciniam procesui keliamo tikslo įgyvendinimas būtų apsunkintas arba netgi apskritai taptų neįmanomas, jeigu dalyvaujantys byloje asmenys turėtų neribotą procesinę galimybę teikti apeliacinės instancijos teisme naujus įrodymus ir jais remtis. Todėl, siekiant pašalinti (ar sumažinti) tokių padarinių atsiradimo galimybę, proceso įstatymo lygmeniu ir yra įtvirtintas </w:t>
      </w:r>
      <w:r w:rsidR="00BA352B">
        <w:rPr>
          <w:rFonts w:asciiTheme="majorBidi" w:hAnsiTheme="majorBidi" w:cstheme="majorBidi"/>
          <w:sz w:val="24"/>
          <w:szCs w:val="24"/>
          <w:shd w:val="clear" w:color="auto" w:fill="FFFFFF"/>
        </w:rPr>
        <w:t>ribojimas</w:t>
      </w:r>
      <w:r w:rsidRPr="00BC4C1A">
        <w:rPr>
          <w:rFonts w:asciiTheme="majorBidi" w:hAnsiTheme="majorBidi" w:cstheme="majorBidi"/>
          <w:sz w:val="24"/>
          <w:szCs w:val="24"/>
          <w:shd w:val="clear" w:color="auto" w:fill="FFFFFF"/>
        </w:rPr>
        <w:t xml:space="preserve"> teikti, o kartu ir priimti, naujus įrodymus. Šis </w:t>
      </w:r>
      <w:r w:rsidR="00BA352B">
        <w:rPr>
          <w:rFonts w:asciiTheme="majorBidi" w:hAnsiTheme="majorBidi" w:cstheme="majorBidi"/>
          <w:sz w:val="24"/>
          <w:szCs w:val="24"/>
          <w:shd w:val="clear" w:color="auto" w:fill="FFFFFF"/>
        </w:rPr>
        <w:t>ribojimas</w:t>
      </w:r>
      <w:r w:rsidRPr="00BC4C1A">
        <w:rPr>
          <w:rFonts w:asciiTheme="majorBidi" w:hAnsiTheme="majorBidi" w:cstheme="majorBidi"/>
          <w:sz w:val="24"/>
          <w:szCs w:val="24"/>
          <w:shd w:val="clear" w:color="auto" w:fill="FFFFFF"/>
        </w:rPr>
        <w:t xml:space="preserve"> kartu užtikrina ir teisinį tikrumą bei apibrėžtumą, nes, užkirsdamas kelią remtis tokiais įrodymais, kurie nefigūravo pirmosios instancijos teisme, pašalina (ar sumažina) procesinės staigmenos sukūrimo dalyvaujantiems byloje asmenims galimybę (Lietuvos Aukščiausiojo Teismo 2019 m. lapkričio 21 d. nutartis civilinėje byloje Nr.</w:t>
      </w:r>
      <w:r w:rsidR="008E5769">
        <w:rPr>
          <w:rFonts w:asciiTheme="majorBidi" w:hAnsiTheme="majorBidi" w:cstheme="majorBidi"/>
          <w:sz w:val="24"/>
          <w:szCs w:val="24"/>
          <w:shd w:val="clear" w:color="auto" w:fill="FFFFFF"/>
        </w:rPr>
        <w:t> </w:t>
      </w:r>
      <w:r w:rsidRPr="00BC4C1A">
        <w:rPr>
          <w:rFonts w:asciiTheme="majorBidi" w:hAnsiTheme="majorBidi" w:cstheme="majorBidi"/>
          <w:sz w:val="24"/>
          <w:szCs w:val="24"/>
          <w:shd w:val="clear" w:color="auto" w:fill="FFFFFF"/>
        </w:rPr>
        <w:t>3K-3-349-248/2019, 19 punktas).</w:t>
      </w:r>
      <w:r w:rsidR="00BC4C1A" w:rsidRPr="00BC4C1A">
        <w:rPr>
          <w:rFonts w:asciiTheme="majorBidi" w:hAnsiTheme="majorBidi" w:cstheme="majorBidi"/>
          <w:sz w:val="24"/>
          <w:szCs w:val="24"/>
          <w:shd w:val="clear" w:color="auto" w:fill="FFFFFF"/>
        </w:rPr>
        <w:t xml:space="preserve"> </w:t>
      </w:r>
    </w:p>
    <w:p w14:paraId="5EB88139" w14:textId="067E4F17" w:rsidR="00BA352B" w:rsidRPr="00BA352B" w:rsidRDefault="00BA352B" w:rsidP="006341A7">
      <w:pPr>
        <w:pStyle w:val="Sraopastraipa"/>
        <w:numPr>
          <w:ilvl w:val="0"/>
          <w:numId w:val="40"/>
        </w:numPr>
        <w:spacing w:after="120" w:line="240" w:lineRule="auto"/>
        <w:contextualSpacing w:val="0"/>
        <w:jc w:val="both"/>
        <w:rPr>
          <w:rFonts w:asciiTheme="majorBidi" w:hAnsiTheme="majorBidi" w:cstheme="majorBidi"/>
          <w:sz w:val="24"/>
          <w:szCs w:val="24"/>
        </w:rPr>
      </w:pPr>
      <w:r w:rsidRPr="00BA352B">
        <w:rPr>
          <w:rFonts w:ascii="Times New Roman" w:hAnsi="Times New Roman"/>
          <w:color w:val="auto"/>
          <w:sz w:val="24"/>
          <w:szCs w:val="24"/>
          <w:lang w:eastAsia="en-US"/>
        </w:rPr>
        <w:t>Naujesnėje kasacinio teismo praktikoje taip pat pažymėta, kad naujų įrodymų pateikimo apeliacinės instancijos teisme galimybė, be kita ko, siejama su teismo pareiga vykdyti teisingumą, t. y. ištirti visas bylai reikšmingas aplinkybes ir priimti teisingą sprendimą, neturi būti aiškinama kaip įpareigojanti apeliacinės instancijos teismą priimti naujus įrodymus visais atvejais, kai jais įrodinėjamos bylai teisiškai reikšmingos aplinkybės. Toks aiškinimas iš esmės paneigtų CPK 314</w:t>
      </w:r>
      <w:r w:rsidR="008E5769">
        <w:rPr>
          <w:rFonts w:ascii="Times New Roman" w:hAnsi="Times New Roman"/>
          <w:color w:val="auto"/>
          <w:sz w:val="24"/>
          <w:szCs w:val="24"/>
          <w:lang w:eastAsia="en-US"/>
        </w:rPr>
        <w:t> </w:t>
      </w:r>
      <w:r w:rsidRPr="00BA352B">
        <w:rPr>
          <w:rFonts w:ascii="Times New Roman" w:hAnsi="Times New Roman"/>
          <w:color w:val="auto"/>
          <w:sz w:val="24"/>
          <w:szCs w:val="24"/>
          <w:lang w:eastAsia="en-US"/>
        </w:rPr>
        <w:t xml:space="preserve">straipsnyje įtvirtintą ribojimą, jį prilygindamas bendrajai CPK 180 straipsnyje įtvirtintai įrodymų </w:t>
      </w:r>
      <w:proofErr w:type="spellStart"/>
      <w:r w:rsidRPr="00BA352B">
        <w:rPr>
          <w:rFonts w:ascii="Times New Roman" w:hAnsi="Times New Roman"/>
          <w:color w:val="auto"/>
          <w:sz w:val="24"/>
          <w:szCs w:val="24"/>
          <w:lang w:eastAsia="en-US"/>
        </w:rPr>
        <w:t>sąsajumo</w:t>
      </w:r>
      <w:proofErr w:type="spellEnd"/>
      <w:r w:rsidRPr="00BA352B">
        <w:rPr>
          <w:rFonts w:ascii="Times New Roman" w:hAnsi="Times New Roman"/>
          <w:color w:val="auto"/>
          <w:sz w:val="24"/>
          <w:szCs w:val="24"/>
          <w:lang w:eastAsia="en-US"/>
        </w:rPr>
        <w:t xml:space="preserve"> taisyklei. Taip pat nebūtų pasiektas įstatymų leidėjo CPK 314 straipsnio norma siekiamas tikslas – panaikinti galimybę piktnaudžiauti procesu ir skatinti bylos dalyvius veikti už greitą ir išsamų bylos ištyrimą, bylinėtis sąžiningai, atskleidžiant bylai reikšmingus duomenis pirmosios instancijos teisme, o ne sukuriant netikėtumus po pirmosios instancijos teismo sprendimo priėmimo (Lietuvos Aukščiausiojo Teismo 2020 m. gruodžio 2 d. nutartis civilinėje byloje Nr. e3K-3-325-823/2020, 50 punktas). Be to, kasacinio teismo praktika negali būti aiškinama kaip reikalaujanti iš apeliacinės instancijos teismo visais atvejais priimti naujai teikiamus įrodymus vien dėl to, kad jie galimai galėtų padaryti įtaką ginčo išsprendimo rezultatui, neatsižvelgiant į naujus įrodymus teikiančios šalies procesinį elgesį (Lietuvos Aukščiausiojo Teismo 2020 m. gruodžio 2 d. nutartis civilinėje byloje Nr. e3K-3-325-823/2020, 51 punktas; 2025 m. vasario 27 d. nutartis civilinėje byloje Nr. e3K-3-48-611/2025, 43 punktas).</w:t>
      </w:r>
    </w:p>
    <w:p w14:paraId="0ECF9965" w14:textId="7AE33CF0" w:rsidR="004F47FB" w:rsidRPr="00BA352B" w:rsidRDefault="00BD218C" w:rsidP="006341A7">
      <w:pPr>
        <w:pStyle w:val="Sraopastraipa"/>
        <w:numPr>
          <w:ilvl w:val="0"/>
          <w:numId w:val="40"/>
        </w:numPr>
        <w:spacing w:after="120" w:line="240" w:lineRule="auto"/>
        <w:contextualSpacing w:val="0"/>
        <w:jc w:val="both"/>
        <w:rPr>
          <w:rFonts w:asciiTheme="majorBidi" w:hAnsiTheme="majorBidi" w:cstheme="majorBidi"/>
          <w:sz w:val="24"/>
          <w:szCs w:val="24"/>
        </w:rPr>
      </w:pPr>
      <w:r w:rsidRPr="00BA352B">
        <w:rPr>
          <w:rFonts w:asciiTheme="majorBidi" w:hAnsiTheme="majorBidi" w:cstheme="majorBidi"/>
          <w:sz w:val="24"/>
          <w:szCs w:val="24"/>
        </w:rPr>
        <w:t xml:space="preserve">Nagrinėjamoje byloje ieškovė po apeliacinio skundo pateikimo apeliacinės instancijos teismui pateikė rašytinius paaiškinimus, kuriuose iš esmės informavo teismą apie Vilniaus apygardos teismo išnagrinėtą bylą </w:t>
      </w:r>
      <w:r w:rsidR="00AC2478" w:rsidRPr="00BA352B">
        <w:rPr>
          <w:rFonts w:asciiTheme="majorBidi" w:hAnsiTheme="majorBidi" w:cstheme="majorBidi"/>
          <w:sz w:val="24"/>
          <w:szCs w:val="24"/>
        </w:rPr>
        <w:t xml:space="preserve">Nr. </w:t>
      </w:r>
      <w:bookmarkStart w:id="17" w:name="_Hlk191554316"/>
      <w:r w:rsidRPr="00BA352B">
        <w:rPr>
          <w:rFonts w:asciiTheme="majorBidi" w:hAnsiTheme="majorBidi" w:cstheme="majorBidi"/>
          <w:sz w:val="24"/>
          <w:szCs w:val="24"/>
        </w:rPr>
        <w:t>e2A-979-432/2024</w:t>
      </w:r>
      <w:bookmarkEnd w:id="17"/>
      <w:r w:rsidRPr="00BA352B">
        <w:rPr>
          <w:rFonts w:asciiTheme="majorBidi" w:hAnsiTheme="majorBidi" w:cstheme="majorBidi"/>
          <w:sz w:val="24"/>
          <w:szCs w:val="24"/>
        </w:rPr>
        <w:t xml:space="preserve">, </w:t>
      </w:r>
      <w:r w:rsidR="00C875E8">
        <w:rPr>
          <w:rFonts w:asciiTheme="majorBidi" w:hAnsiTheme="majorBidi" w:cstheme="majorBidi"/>
          <w:sz w:val="24"/>
          <w:szCs w:val="24"/>
        </w:rPr>
        <w:t xml:space="preserve">kurios faktinės aplinkybės panašios, </w:t>
      </w:r>
      <w:r w:rsidRPr="00BA352B">
        <w:rPr>
          <w:rFonts w:asciiTheme="majorBidi" w:hAnsiTheme="majorBidi" w:cstheme="majorBidi"/>
          <w:sz w:val="24"/>
          <w:szCs w:val="24"/>
        </w:rPr>
        <w:t>tačiau teismas atsisakė priimti šiuos rašytinius paaiškinimus. Pažymėtina, kad apeliacinis skundas pateiktas 2024</w:t>
      </w:r>
      <w:r w:rsidR="008E5769">
        <w:rPr>
          <w:rFonts w:asciiTheme="majorBidi" w:hAnsiTheme="majorBidi" w:cstheme="majorBidi"/>
          <w:sz w:val="24"/>
          <w:szCs w:val="24"/>
        </w:rPr>
        <w:t> </w:t>
      </w:r>
      <w:r w:rsidR="00ED24E4" w:rsidRPr="00BA352B">
        <w:rPr>
          <w:rFonts w:asciiTheme="majorBidi" w:hAnsiTheme="majorBidi" w:cstheme="majorBidi"/>
          <w:sz w:val="24"/>
          <w:szCs w:val="24"/>
        </w:rPr>
        <w:t>m. gegužės 20 d.</w:t>
      </w:r>
      <w:r w:rsidRPr="00BA352B">
        <w:rPr>
          <w:rFonts w:asciiTheme="majorBidi" w:hAnsiTheme="majorBidi" w:cstheme="majorBidi"/>
          <w:sz w:val="24"/>
          <w:szCs w:val="24"/>
        </w:rPr>
        <w:t>, Vilniaus apygardos teismo nutartis</w:t>
      </w:r>
      <w:r w:rsidR="001A763A" w:rsidRPr="00BA352B">
        <w:rPr>
          <w:rFonts w:asciiTheme="majorBidi" w:hAnsiTheme="majorBidi" w:cstheme="majorBidi"/>
          <w:sz w:val="24"/>
          <w:szCs w:val="24"/>
        </w:rPr>
        <w:t xml:space="preserve"> nurodytoje byloje</w:t>
      </w:r>
      <w:r w:rsidRPr="00BA352B">
        <w:rPr>
          <w:rFonts w:asciiTheme="majorBidi" w:hAnsiTheme="majorBidi" w:cstheme="majorBidi"/>
          <w:sz w:val="24"/>
          <w:szCs w:val="24"/>
        </w:rPr>
        <w:t xml:space="preserve"> priimta 2024</w:t>
      </w:r>
      <w:r w:rsidR="00ED24E4" w:rsidRPr="00BA352B">
        <w:rPr>
          <w:rFonts w:asciiTheme="majorBidi" w:hAnsiTheme="majorBidi" w:cstheme="majorBidi"/>
          <w:sz w:val="24"/>
          <w:szCs w:val="24"/>
        </w:rPr>
        <w:t xml:space="preserve"> m. gegužės 28 d.</w:t>
      </w:r>
      <w:r w:rsidRPr="00BA352B">
        <w:rPr>
          <w:rFonts w:asciiTheme="majorBidi" w:hAnsiTheme="majorBidi" w:cstheme="majorBidi"/>
          <w:sz w:val="24"/>
          <w:szCs w:val="24"/>
        </w:rPr>
        <w:t>, tačiau rašytiniai paaiškinimai pateikti tik 2024</w:t>
      </w:r>
      <w:r w:rsidR="00ED24E4" w:rsidRPr="00BA352B">
        <w:rPr>
          <w:rFonts w:asciiTheme="majorBidi" w:hAnsiTheme="majorBidi" w:cstheme="majorBidi"/>
          <w:sz w:val="24"/>
          <w:szCs w:val="24"/>
        </w:rPr>
        <w:t xml:space="preserve"> m. rugpjūčio 23 d.</w:t>
      </w:r>
      <w:r w:rsidRPr="00BA352B">
        <w:rPr>
          <w:rFonts w:asciiTheme="majorBidi" w:hAnsiTheme="majorBidi" w:cstheme="majorBidi"/>
          <w:sz w:val="24"/>
          <w:szCs w:val="24"/>
        </w:rPr>
        <w:t>, t.</w:t>
      </w:r>
      <w:r w:rsidR="00ED24E4" w:rsidRPr="00BA352B">
        <w:rPr>
          <w:rFonts w:asciiTheme="majorBidi" w:hAnsiTheme="majorBidi" w:cstheme="majorBidi"/>
          <w:sz w:val="24"/>
          <w:szCs w:val="24"/>
        </w:rPr>
        <w:t xml:space="preserve"> </w:t>
      </w:r>
      <w:r w:rsidRPr="00BA352B">
        <w:rPr>
          <w:rFonts w:asciiTheme="majorBidi" w:hAnsiTheme="majorBidi" w:cstheme="majorBidi"/>
          <w:sz w:val="24"/>
          <w:szCs w:val="24"/>
        </w:rPr>
        <w:t>y. likus tik 1 darbo dienai iki posėdžio apeliacinės instancijos teisme</w:t>
      </w:r>
      <w:r w:rsidR="001A763A" w:rsidRPr="00BA352B">
        <w:rPr>
          <w:rFonts w:asciiTheme="majorBidi" w:hAnsiTheme="majorBidi" w:cstheme="majorBidi"/>
          <w:sz w:val="24"/>
          <w:szCs w:val="24"/>
        </w:rPr>
        <w:t xml:space="preserve"> nagrinėjamoje byloje</w:t>
      </w:r>
      <w:r w:rsidRPr="00BA352B">
        <w:rPr>
          <w:rFonts w:asciiTheme="majorBidi" w:hAnsiTheme="majorBidi" w:cstheme="majorBidi"/>
          <w:sz w:val="24"/>
          <w:szCs w:val="24"/>
        </w:rPr>
        <w:t xml:space="preserve">. </w:t>
      </w:r>
    </w:p>
    <w:p w14:paraId="5C69A018" w14:textId="7AA5B693" w:rsidR="00B52700" w:rsidRPr="00BA352B" w:rsidRDefault="00AC2478" w:rsidP="00A0691A">
      <w:pPr>
        <w:pStyle w:val="Sraopastraipa"/>
        <w:numPr>
          <w:ilvl w:val="0"/>
          <w:numId w:val="40"/>
        </w:numPr>
        <w:spacing w:after="120" w:line="240" w:lineRule="auto"/>
        <w:contextualSpacing w:val="0"/>
        <w:jc w:val="both"/>
        <w:rPr>
          <w:rFonts w:asciiTheme="majorBidi" w:hAnsiTheme="majorBidi" w:cstheme="majorBidi"/>
          <w:sz w:val="24"/>
          <w:szCs w:val="24"/>
        </w:rPr>
      </w:pPr>
      <w:r w:rsidRPr="00235CC9">
        <w:rPr>
          <w:rFonts w:asciiTheme="majorBidi" w:hAnsiTheme="majorBidi" w:cstheme="majorBidi"/>
          <w:sz w:val="24"/>
          <w:szCs w:val="24"/>
        </w:rPr>
        <w:t>Apeliacinės instancijos teismo teisėjų kolegija</w:t>
      </w:r>
      <w:r w:rsidR="008E5769">
        <w:rPr>
          <w:rFonts w:asciiTheme="majorBidi" w:hAnsiTheme="majorBidi" w:cstheme="majorBidi"/>
          <w:sz w:val="24"/>
          <w:szCs w:val="24"/>
        </w:rPr>
        <w:t>,</w:t>
      </w:r>
      <w:r w:rsidRPr="00235CC9">
        <w:rPr>
          <w:rFonts w:asciiTheme="majorBidi" w:hAnsiTheme="majorBidi" w:cstheme="majorBidi"/>
          <w:sz w:val="24"/>
          <w:szCs w:val="24"/>
        </w:rPr>
        <w:t xml:space="preserve"> įvertinusi tai, kad </w:t>
      </w:r>
      <w:r w:rsidR="001131DC">
        <w:rPr>
          <w:rFonts w:asciiTheme="majorBidi" w:hAnsiTheme="majorBidi" w:cstheme="majorBidi"/>
          <w:sz w:val="24"/>
          <w:szCs w:val="24"/>
        </w:rPr>
        <w:t>ieškovės</w:t>
      </w:r>
      <w:r w:rsidRPr="00235CC9">
        <w:rPr>
          <w:rFonts w:asciiTheme="majorBidi" w:hAnsiTheme="majorBidi" w:cstheme="majorBidi"/>
          <w:sz w:val="24"/>
          <w:szCs w:val="24"/>
        </w:rPr>
        <w:t xml:space="preserve"> rašytiniai paaiškinimai apeliacinės instancijos teismui pateikti po apeliacinių skundų pateikimo, </w:t>
      </w:r>
      <w:r w:rsidR="008E5769">
        <w:rPr>
          <w:rFonts w:asciiTheme="majorBidi" w:hAnsiTheme="majorBidi" w:cstheme="majorBidi"/>
          <w:sz w:val="24"/>
          <w:szCs w:val="24"/>
        </w:rPr>
        <w:t>pašalin</w:t>
      </w:r>
      <w:r w:rsidRPr="00235CC9">
        <w:rPr>
          <w:rFonts w:asciiTheme="majorBidi" w:hAnsiTheme="majorBidi" w:cstheme="majorBidi"/>
          <w:sz w:val="24"/>
          <w:szCs w:val="24"/>
        </w:rPr>
        <w:t>ant byloje dalyvaujantiems asmenims galimybę išdėstyti savo procesinę poziciją dėl šių dokumentų pridėjimo prie bylos ir pasisakyti dėl jų esmės, pripažino, kad toks naujų dokumentų pateikimas yra aiškiai pavėluotas, prieštaraujantis proceso koncentracijos ir ekonomiškumo bei šalių procesinio lygiateisiškumo principams (CPK 7 straipsnis, 17 straipsnis).</w:t>
      </w:r>
      <w:r w:rsidR="003D15EF" w:rsidRPr="00235CC9">
        <w:rPr>
          <w:rFonts w:asciiTheme="majorBidi" w:hAnsiTheme="majorBidi" w:cstheme="majorBidi"/>
          <w:sz w:val="24"/>
          <w:szCs w:val="24"/>
        </w:rPr>
        <w:t xml:space="preserve"> Apeliacinės instancijos teismas pažymėjo </w:t>
      </w:r>
      <w:r w:rsidR="003D15EF" w:rsidRPr="00235CC9">
        <w:rPr>
          <w:rFonts w:ascii="Times New Roman" w:hAnsi="Times New Roman"/>
          <w:color w:val="auto"/>
          <w:sz w:val="24"/>
          <w:szCs w:val="24"/>
          <w:lang w:eastAsia="en-US"/>
        </w:rPr>
        <w:t>ir tai, kad</w:t>
      </w:r>
      <w:r w:rsidR="008E5769">
        <w:rPr>
          <w:rFonts w:ascii="Times New Roman" w:hAnsi="Times New Roman"/>
          <w:color w:val="auto"/>
          <w:sz w:val="24"/>
          <w:szCs w:val="24"/>
          <w:lang w:eastAsia="en-US"/>
        </w:rPr>
        <w:t>,</w:t>
      </w:r>
      <w:r w:rsidR="003D15EF" w:rsidRPr="00235CC9">
        <w:rPr>
          <w:rFonts w:ascii="Times New Roman" w:hAnsi="Times New Roman"/>
          <w:color w:val="auto"/>
          <w:sz w:val="24"/>
          <w:szCs w:val="24"/>
          <w:lang w:eastAsia="en-US"/>
        </w:rPr>
        <w:t xml:space="preserve"> pasibaigus apeliacinio skundo padavimo terminui, jį keisti ar papildyti naujais argumentais yra draudžiama (CPK 323 straipsnis), o </w:t>
      </w:r>
      <w:r w:rsidR="001131DC">
        <w:rPr>
          <w:rFonts w:ascii="Times New Roman" w:hAnsi="Times New Roman"/>
          <w:color w:val="auto"/>
          <w:sz w:val="24"/>
          <w:szCs w:val="24"/>
          <w:lang w:eastAsia="en-US"/>
        </w:rPr>
        <w:t>ieškovė</w:t>
      </w:r>
      <w:r w:rsidR="003D15EF" w:rsidRPr="00235CC9">
        <w:rPr>
          <w:rFonts w:ascii="Times New Roman" w:hAnsi="Times New Roman"/>
          <w:color w:val="auto"/>
          <w:sz w:val="24"/>
          <w:szCs w:val="24"/>
          <w:lang w:eastAsia="en-US"/>
        </w:rPr>
        <w:t xml:space="preserve"> savo rašytiniuose paaiškinimuose iš esmės siekia išplėsti apeliacinio skundo motyvus ir jį papildyti naujais argumentais.</w:t>
      </w:r>
    </w:p>
    <w:p w14:paraId="1FDDD137" w14:textId="67424BBC" w:rsidR="00DF34A3" w:rsidRPr="00235CC9" w:rsidRDefault="00B52700" w:rsidP="00A0691A">
      <w:pPr>
        <w:pStyle w:val="Sraopastraipa"/>
        <w:numPr>
          <w:ilvl w:val="0"/>
          <w:numId w:val="40"/>
        </w:numPr>
        <w:spacing w:after="120" w:line="240" w:lineRule="auto"/>
        <w:contextualSpacing w:val="0"/>
        <w:jc w:val="both"/>
        <w:rPr>
          <w:rFonts w:asciiTheme="majorBidi" w:hAnsiTheme="majorBidi" w:cstheme="majorBidi"/>
          <w:sz w:val="24"/>
          <w:szCs w:val="24"/>
        </w:rPr>
      </w:pPr>
      <w:r w:rsidRPr="00235CC9">
        <w:rPr>
          <w:rFonts w:asciiTheme="majorBidi" w:hAnsiTheme="majorBidi" w:cstheme="majorBidi"/>
          <w:sz w:val="24"/>
          <w:szCs w:val="24"/>
        </w:rPr>
        <w:t>Pagal CPK 177 straipsnio 1, 2 dalyse nustatytą teisinį reguliavimą, įrodymai civilinėje byloje yra bet kokie faktiniai duomenys, kuriais remdamasis teismas įstatymų nustatyta tvarka konstatuoja, kad yra aplinkybių, pagrindžiančių šalių reikalavimus, o faktiniai duomenys nustatomi, be kita ko, ir šalių paaiškinimais, todėl ieškovės rašytinių paaiškinimų priėmimo klausimą apeliacinės instancijos teismas pagrįstai sprendė vadovaudamasis CPK 314 strai</w:t>
      </w:r>
      <w:r w:rsidR="001A763A" w:rsidRPr="00235CC9">
        <w:rPr>
          <w:rFonts w:asciiTheme="majorBidi" w:hAnsiTheme="majorBidi" w:cstheme="majorBidi"/>
          <w:sz w:val="24"/>
          <w:szCs w:val="24"/>
        </w:rPr>
        <w:t>ps</w:t>
      </w:r>
      <w:r w:rsidRPr="00235CC9">
        <w:rPr>
          <w:rFonts w:asciiTheme="majorBidi" w:hAnsiTheme="majorBidi" w:cstheme="majorBidi"/>
          <w:sz w:val="24"/>
          <w:szCs w:val="24"/>
        </w:rPr>
        <w:t xml:space="preserve">nio nuostatomis. </w:t>
      </w:r>
      <w:r w:rsidR="00953F31" w:rsidRPr="00235CC9">
        <w:rPr>
          <w:rFonts w:asciiTheme="majorBidi" w:hAnsiTheme="majorBidi" w:cstheme="majorBidi"/>
          <w:sz w:val="24"/>
          <w:szCs w:val="24"/>
        </w:rPr>
        <w:t xml:space="preserve">Teisėjų kolegija apeliacinės instancijos teismo argumentus, kuriais atsisakyta priimti ieškovės paaiškinimus, pripažįsta pagrįstais, atitinkančiais nurodytą teisinį reguliavimą bei jį aiškinančią kasacinio teismo praktiką. </w:t>
      </w:r>
    </w:p>
    <w:p w14:paraId="68581CAB" w14:textId="77777777" w:rsidR="00DA1C3C" w:rsidRPr="00235CC9" w:rsidRDefault="00DA1C3C" w:rsidP="00A0691A">
      <w:pPr>
        <w:pStyle w:val="Sraopastraipa"/>
        <w:spacing w:after="120" w:line="240" w:lineRule="auto"/>
        <w:ind w:left="360" w:hanging="360"/>
        <w:contextualSpacing w:val="0"/>
        <w:rPr>
          <w:rFonts w:asciiTheme="majorBidi" w:hAnsiTheme="majorBidi" w:cstheme="majorBidi"/>
          <w:sz w:val="24"/>
          <w:szCs w:val="24"/>
        </w:rPr>
      </w:pPr>
    </w:p>
    <w:p w14:paraId="28E567D7" w14:textId="425A1B1D" w:rsidR="00AC2478" w:rsidRPr="00235CC9" w:rsidRDefault="006E1C52" w:rsidP="00BB34A4">
      <w:pPr>
        <w:spacing w:after="120"/>
        <w:ind w:firstLine="720"/>
        <w:jc w:val="both"/>
        <w:rPr>
          <w:rFonts w:asciiTheme="majorBidi" w:hAnsiTheme="majorBidi" w:cstheme="majorBidi"/>
          <w:i/>
          <w:iCs/>
        </w:rPr>
      </w:pPr>
      <w:r w:rsidRPr="00235CC9">
        <w:rPr>
          <w:rFonts w:asciiTheme="majorBidi" w:hAnsiTheme="majorBidi" w:cstheme="majorBidi"/>
          <w:i/>
          <w:iCs/>
        </w:rPr>
        <w:t xml:space="preserve">        </w:t>
      </w:r>
      <w:r w:rsidR="00DA1C3C" w:rsidRPr="00235CC9">
        <w:rPr>
          <w:rFonts w:asciiTheme="majorBidi" w:hAnsiTheme="majorBidi" w:cstheme="majorBidi"/>
          <w:i/>
          <w:iCs/>
        </w:rPr>
        <w:t>Dėl precedento horizontal</w:t>
      </w:r>
      <w:r w:rsidR="008E5769">
        <w:rPr>
          <w:rFonts w:asciiTheme="majorBidi" w:hAnsiTheme="majorBidi" w:cstheme="majorBidi"/>
          <w:i/>
          <w:iCs/>
        </w:rPr>
        <w:t>iojo</w:t>
      </w:r>
      <w:r w:rsidR="00DA1C3C" w:rsidRPr="00235CC9">
        <w:rPr>
          <w:rFonts w:asciiTheme="majorBidi" w:hAnsiTheme="majorBidi" w:cstheme="majorBidi"/>
          <w:i/>
          <w:iCs/>
        </w:rPr>
        <w:t xml:space="preserve"> poveikio</w:t>
      </w:r>
      <w:r w:rsidR="00DF34A3" w:rsidRPr="00235CC9">
        <w:rPr>
          <w:rFonts w:asciiTheme="majorBidi" w:hAnsiTheme="majorBidi" w:cstheme="majorBidi"/>
          <w:i/>
          <w:iCs/>
        </w:rPr>
        <w:t xml:space="preserve"> </w:t>
      </w:r>
    </w:p>
    <w:p w14:paraId="30E04D68" w14:textId="77777777" w:rsidR="00DA1C3C" w:rsidRPr="00235CC9" w:rsidRDefault="00DA1C3C" w:rsidP="00A0691A">
      <w:pPr>
        <w:spacing w:after="120"/>
        <w:ind w:left="360" w:hanging="360"/>
        <w:jc w:val="both"/>
        <w:rPr>
          <w:rFonts w:asciiTheme="majorBidi" w:hAnsiTheme="majorBidi" w:cstheme="majorBidi"/>
          <w:i/>
          <w:iCs/>
        </w:rPr>
      </w:pPr>
    </w:p>
    <w:p w14:paraId="0DC3E0E3" w14:textId="15CF0F2A" w:rsidR="006818B6" w:rsidRPr="00235CC9" w:rsidRDefault="008E5769" w:rsidP="00967E83">
      <w:pPr>
        <w:pStyle w:val="Sraopastraipa"/>
        <w:numPr>
          <w:ilvl w:val="0"/>
          <w:numId w:val="40"/>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Lietuvos Respublikos t</w:t>
      </w:r>
      <w:r w:rsidR="006818B6" w:rsidRPr="00235CC9">
        <w:rPr>
          <w:rFonts w:asciiTheme="majorBidi" w:hAnsiTheme="majorBidi" w:cstheme="majorBidi"/>
          <w:sz w:val="24"/>
          <w:szCs w:val="24"/>
        </w:rPr>
        <w:t>eismų įstatymo 33 straipsnio 4 dalyje nustatyta, kad teismai, priimdami sprendimus atitinkamų kategorijų bylose, yra saistomi savo pačių sukurtų teisės aiškinimo taisyklių, suformuluotų analogiškose ar iš esmės panašiose bylose. Žemesnės instancijos teismai, priimdami sprendimus atitinkamų kategorijų bylose, yra saistomi aukštesnės instancijos teismų teisės aiškinimo taisyklių, suformuluotų analogiškose ar iš esmės panašiose bylose.</w:t>
      </w:r>
    </w:p>
    <w:p w14:paraId="76E2BA2F" w14:textId="247B2F25" w:rsidR="006818B6" w:rsidRPr="00235CC9" w:rsidRDefault="006818B6" w:rsidP="00967E83">
      <w:pPr>
        <w:pStyle w:val="Sraopastraipa"/>
        <w:numPr>
          <w:ilvl w:val="0"/>
          <w:numId w:val="40"/>
        </w:numPr>
        <w:spacing w:after="120" w:line="240" w:lineRule="auto"/>
        <w:contextualSpacing w:val="0"/>
        <w:jc w:val="both"/>
        <w:rPr>
          <w:rFonts w:asciiTheme="majorBidi" w:hAnsiTheme="majorBidi" w:cstheme="majorBidi"/>
          <w:sz w:val="24"/>
          <w:szCs w:val="24"/>
        </w:rPr>
      </w:pPr>
      <w:r w:rsidRPr="00235CC9">
        <w:rPr>
          <w:rFonts w:asciiTheme="majorBidi" w:hAnsiTheme="majorBidi" w:cstheme="majorBidi"/>
          <w:sz w:val="24"/>
          <w:szCs w:val="24"/>
        </w:rPr>
        <w:t>Lietuvos Respublikos Konstitucinis Teismas yra išaiškinęs, kad</w:t>
      </w:r>
      <w:r w:rsidR="008E5769">
        <w:rPr>
          <w:rFonts w:asciiTheme="majorBidi" w:hAnsiTheme="majorBidi" w:cstheme="majorBidi"/>
          <w:sz w:val="24"/>
          <w:szCs w:val="24"/>
        </w:rPr>
        <w:t>,</w:t>
      </w:r>
      <w:r w:rsidRPr="00235CC9">
        <w:rPr>
          <w:rFonts w:asciiTheme="majorBidi" w:hAnsiTheme="majorBidi" w:cstheme="majorBidi"/>
          <w:sz w:val="24"/>
          <w:szCs w:val="24"/>
        </w:rPr>
        <w:t xml:space="preserve"> užtikrinant iš Lietuvos Respublikos Konstitucijos kylantį bendrosios kompetencijos teismų praktikos vienodumą (nuoseklumą, neprieštaringumą), taigi ir jurisprudencijos tęstinumą, lemiamą reikšmę (be kitų svarbių veiksnių) turi šie veiksniai: bendrosios kompetencijos teismai, priimdami sprendimus atitinkamų kategorijų bylose, yra saistomi savo pačių sukurtų precedentų – sprendimų analogiškose bylose; žemesnės instancijos bendrosios kompetencijos teismai, priimdami sprendimus atitinkamų kategorijų bylose, yra saistomi aukštesnės instancijos bendrosios kompetencijos teismų sprendimų – precedentų tų kategorijų bylose; aukštesnės instancijos bendrosios kompetencijos teismai privalo, peržiūrėdami žemesnės instancijos bendrosios kompetencijos teismų sprendimus, tuos sprendimus vertinti vadovaudamiesi visuomet tais pačiais teisiniais kriterijais; tie kriterijai turi būti aiškūs ir </w:t>
      </w:r>
      <w:proofErr w:type="spellStart"/>
      <w:r w:rsidRPr="005C6D53">
        <w:rPr>
          <w:rFonts w:asciiTheme="majorBidi" w:hAnsiTheme="majorBidi" w:cstheme="majorBidi"/>
          <w:i/>
          <w:iCs/>
          <w:sz w:val="24"/>
          <w:szCs w:val="24"/>
        </w:rPr>
        <w:t>ex</w:t>
      </w:r>
      <w:proofErr w:type="spellEnd"/>
      <w:r w:rsidRPr="005C6D53">
        <w:rPr>
          <w:rFonts w:asciiTheme="majorBidi" w:hAnsiTheme="majorBidi" w:cstheme="majorBidi"/>
          <w:i/>
          <w:iCs/>
          <w:sz w:val="24"/>
          <w:szCs w:val="24"/>
        </w:rPr>
        <w:t xml:space="preserve"> ante</w:t>
      </w:r>
      <w:r w:rsidRPr="00235CC9">
        <w:rPr>
          <w:rFonts w:asciiTheme="majorBidi" w:hAnsiTheme="majorBidi" w:cstheme="majorBidi"/>
          <w:sz w:val="24"/>
          <w:szCs w:val="24"/>
        </w:rPr>
        <w:t xml:space="preserve"> (iš anksto) žinomi teisės subjektams, </w:t>
      </w:r>
      <w:proofErr w:type="spellStart"/>
      <w:r w:rsidRPr="005C6D53">
        <w:rPr>
          <w:rFonts w:asciiTheme="majorBidi" w:hAnsiTheme="majorBidi" w:cstheme="majorBidi"/>
          <w:i/>
          <w:iCs/>
          <w:sz w:val="24"/>
          <w:szCs w:val="24"/>
        </w:rPr>
        <w:t>inter</w:t>
      </w:r>
      <w:proofErr w:type="spellEnd"/>
      <w:r w:rsidRPr="005C6D53">
        <w:rPr>
          <w:rFonts w:asciiTheme="majorBidi" w:hAnsiTheme="majorBidi" w:cstheme="majorBidi"/>
          <w:i/>
          <w:iCs/>
          <w:sz w:val="24"/>
          <w:szCs w:val="24"/>
        </w:rPr>
        <w:t xml:space="preserve"> alia</w:t>
      </w:r>
      <w:r w:rsidRPr="00235CC9">
        <w:rPr>
          <w:rFonts w:asciiTheme="majorBidi" w:hAnsiTheme="majorBidi" w:cstheme="majorBidi"/>
          <w:sz w:val="24"/>
          <w:szCs w:val="24"/>
        </w:rPr>
        <w:t xml:space="preserve"> (be kita ko), žemesnės instancijos bendrosios kompetencijos teismams (vadinasi, bendrosios kompetencijos teismų jurisprudencija turi būti prognozuojama); bendrosios kompetencijos teismų praktika atitinkamų kategorijų bylose turi būti koreguojama ir nauji teismo precedentai tų kategorijų bylose gali būti kuriami tik tada, kai tai yra neišvengiamai, objektyviai būtina; toks bendrosios kompetencijos teismų praktikos koregavimas (nukrypimas nuo teismus ligi tol saisčiusių ankstesnių precedentų ir naujų precedentų kūrimas) visais atvejais turi būti deramai (aiškiai ir racionaliai) argumentuojamas atitinkamuose bendrosios kompetencijos teismų sprendimuose (Konstitucinio Teismo 2006 m. kovo 28 d. nutarimas byloje Nr. 33/03). Esami aukštesnės instancijos bendrosios kompetencijos teismų sukurti precedentai atitinkamų kategorijų bylose susaisto ne tik žemesnės instancijos bendrosios kompetencijos teismus, priimančius sprendimus analogiškose bylose, bet ir tuos precedentus sukūrusius aukštesnės instancijos bendrosios kompetencijos teismus (</w:t>
      </w:r>
      <w:proofErr w:type="spellStart"/>
      <w:r w:rsidRPr="00235CC9">
        <w:rPr>
          <w:rFonts w:asciiTheme="majorBidi" w:hAnsiTheme="majorBidi" w:cstheme="majorBidi"/>
          <w:i/>
          <w:iCs/>
          <w:sz w:val="24"/>
          <w:szCs w:val="24"/>
        </w:rPr>
        <w:t>inter</w:t>
      </w:r>
      <w:proofErr w:type="spellEnd"/>
      <w:r w:rsidRPr="00235CC9">
        <w:rPr>
          <w:rFonts w:asciiTheme="majorBidi" w:hAnsiTheme="majorBidi" w:cstheme="majorBidi"/>
          <w:i/>
          <w:iCs/>
          <w:sz w:val="24"/>
          <w:szCs w:val="24"/>
        </w:rPr>
        <w:t xml:space="preserve"> alia</w:t>
      </w:r>
      <w:r w:rsidRPr="00235CC9">
        <w:rPr>
          <w:rFonts w:asciiTheme="majorBidi" w:hAnsiTheme="majorBidi" w:cstheme="majorBidi"/>
          <w:sz w:val="24"/>
          <w:szCs w:val="24"/>
        </w:rPr>
        <w:t>, Lietuvos apeliacinį teismą ir Lietuvos Aukščiausiąjį Teismą) (Konstitucinio Teismo 2007 m. spalio 24 d. nutarimas byloje Nr. 26/07).</w:t>
      </w:r>
    </w:p>
    <w:p w14:paraId="0B4BEDBE" w14:textId="50380222" w:rsidR="00896336" w:rsidRPr="00235CC9" w:rsidRDefault="00FC3DF7" w:rsidP="00F30048">
      <w:pPr>
        <w:pStyle w:val="Sraopastraipa"/>
        <w:numPr>
          <w:ilvl w:val="0"/>
          <w:numId w:val="40"/>
        </w:numPr>
        <w:spacing w:after="120" w:line="240" w:lineRule="auto"/>
        <w:contextualSpacing w:val="0"/>
        <w:jc w:val="both"/>
        <w:rPr>
          <w:rFonts w:asciiTheme="majorBidi" w:hAnsiTheme="majorBidi" w:cstheme="majorBidi"/>
          <w:sz w:val="24"/>
          <w:szCs w:val="24"/>
        </w:rPr>
      </w:pPr>
      <w:r w:rsidRPr="00235CC9">
        <w:rPr>
          <w:rFonts w:asciiTheme="majorBidi" w:hAnsiTheme="majorBidi" w:cstheme="majorBidi"/>
          <w:sz w:val="24"/>
          <w:szCs w:val="24"/>
        </w:rPr>
        <w:t>K</w:t>
      </w:r>
      <w:r w:rsidR="00DA1C3C" w:rsidRPr="00235CC9">
        <w:rPr>
          <w:rFonts w:asciiTheme="majorBidi" w:hAnsiTheme="majorBidi" w:cstheme="majorBidi"/>
          <w:sz w:val="24"/>
          <w:szCs w:val="24"/>
        </w:rPr>
        <w:t xml:space="preserve">asacinio teismo praktikoje yra išaiškinta, kad teismams sprendžiant bylas precedento galią turi tik tokie ankstesni teismų sprendimai, kurie buvo priimti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(Lietuvos Aukščiausiojo Teismo </w:t>
      </w:r>
      <w:r w:rsidR="00761745" w:rsidRPr="00235CC9">
        <w:rPr>
          <w:rFonts w:asciiTheme="majorBidi" w:hAnsiTheme="majorBidi" w:cstheme="majorBidi"/>
          <w:sz w:val="24"/>
          <w:szCs w:val="24"/>
        </w:rPr>
        <w:t>2015 m. birželio 9 d. nutartis civilinėje byloje Nr. 3K-3-337-690/2015</w:t>
      </w:r>
      <w:r w:rsidR="00761745">
        <w:rPr>
          <w:rFonts w:asciiTheme="majorBidi" w:hAnsiTheme="majorBidi" w:cstheme="majorBidi"/>
          <w:sz w:val="24"/>
          <w:szCs w:val="24"/>
        </w:rPr>
        <w:t xml:space="preserve">; </w:t>
      </w:r>
      <w:r w:rsidR="00DA1C3C" w:rsidRPr="00235CC9">
        <w:rPr>
          <w:rFonts w:asciiTheme="majorBidi" w:hAnsiTheme="majorBidi" w:cstheme="majorBidi"/>
          <w:sz w:val="24"/>
          <w:szCs w:val="24"/>
        </w:rPr>
        <w:t>2021 m. birželio 16 d. nutartis civilinėje byloje Nr. e3K-3-150-313/2021, 60 punktas ir jame nurodyta kasacinio teismo praktika; kt.).</w:t>
      </w:r>
    </w:p>
    <w:p w14:paraId="0847326B" w14:textId="6A81A733" w:rsidR="00E105F2" w:rsidRPr="00235CC9" w:rsidRDefault="00FC3DF7" w:rsidP="00F30048">
      <w:pPr>
        <w:pStyle w:val="Sraopastraipa"/>
        <w:numPr>
          <w:ilvl w:val="0"/>
          <w:numId w:val="40"/>
        </w:numPr>
        <w:spacing w:after="120" w:line="240" w:lineRule="auto"/>
        <w:contextualSpacing w:val="0"/>
        <w:jc w:val="both"/>
        <w:rPr>
          <w:rFonts w:asciiTheme="majorBidi" w:hAnsiTheme="majorBidi" w:cstheme="majorBidi"/>
          <w:sz w:val="24"/>
          <w:szCs w:val="24"/>
        </w:rPr>
      </w:pPr>
      <w:r w:rsidRPr="00235CC9">
        <w:rPr>
          <w:rFonts w:asciiTheme="majorBidi" w:hAnsiTheme="majorBidi" w:cstheme="majorBidi"/>
          <w:sz w:val="24"/>
          <w:szCs w:val="24"/>
        </w:rPr>
        <w:t>K</w:t>
      </w:r>
      <w:r w:rsidR="00DA1C3C" w:rsidRPr="00235CC9">
        <w:rPr>
          <w:rFonts w:asciiTheme="majorBidi" w:hAnsiTheme="majorBidi" w:cstheme="majorBidi"/>
          <w:sz w:val="24"/>
          <w:szCs w:val="24"/>
        </w:rPr>
        <w:t>asacinis teismas nuosekliai pabrėžia teismų pareigą laikytis savo pačių ar aukštesnės instancijos teismų analogiškose ar iš esmės panašiose bylose sukurtų precedentų, taip užtikrinant teismų praktikos nuoseklumą ir nuspėjamumą. Teismo precedento horizontalusis poveikis lemia teismo pareigą laikytis būtent tos pačios pakopos teismo pirmiau išnagrinėtoje analogiškoje ar iš esmės panašioje byloje suformuluotų teisės taikymo ir aiškinimo taisyklių tiek, kiek bylose nagrinėjami santykiai yra tapatūs (Lietuvos Aukščiausiojo Teismo 2019 m. gruodžio 16 d. nutartis civilinėje byloje Nr. e3K-3-386-1075/2019, 3</w:t>
      </w:r>
      <w:r w:rsidR="00935487">
        <w:rPr>
          <w:rFonts w:asciiTheme="majorBidi" w:hAnsiTheme="majorBidi" w:cstheme="majorBidi"/>
          <w:sz w:val="24"/>
          <w:szCs w:val="24"/>
        </w:rPr>
        <w:t>3</w:t>
      </w:r>
      <w:r w:rsidR="00DA1C3C" w:rsidRPr="00235CC9">
        <w:rPr>
          <w:rFonts w:asciiTheme="majorBidi" w:hAnsiTheme="majorBidi" w:cstheme="majorBidi"/>
          <w:sz w:val="24"/>
          <w:szCs w:val="24"/>
        </w:rPr>
        <w:t xml:space="preserve"> punktas ir jame nurodyta kasacinio teismo praktika). Tačiau, kai precedentai nėra sukurti kasacine tvarka priimtomis nutartimis, Lietuvos Aukščiausiasis Teismas nėra įpareigotas vadovautis pirmosios ar apeliacinės instancijos teismų procesiniais sprendimais. Teismų praktiką formuoja tas teismas, kuris yra paskutinė instancija atitinkamos kategorijos civilinėms byloms</w:t>
      </w:r>
      <w:r w:rsidR="006818B6" w:rsidRPr="00235CC9">
        <w:rPr>
          <w:rFonts w:asciiTheme="majorBidi" w:hAnsiTheme="majorBidi" w:cstheme="majorBidi"/>
          <w:sz w:val="24"/>
          <w:szCs w:val="24"/>
        </w:rPr>
        <w:t xml:space="preserve"> (Lietuvos Aukščiausiojo Teismo 2021 m. rugsėjo 21 d. nutartis civilinėje byloje Nr. 3K-3-220-684</w:t>
      </w:r>
      <w:r w:rsidRPr="00235CC9">
        <w:rPr>
          <w:rFonts w:asciiTheme="majorBidi" w:hAnsiTheme="majorBidi" w:cstheme="majorBidi"/>
          <w:sz w:val="24"/>
          <w:szCs w:val="24"/>
        </w:rPr>
        <w:t>/2021</w:t>
      </w:r>
      <w:r w:rsidR="006818B6" w:rsidRPr="00235CC9">
        <w:rPr>
          <w:rFonts w:asciiTheme="majorBidi" w:hAnsiTheme="majorBidi" w:cstheme="majorBidi"/>
          <w:sz w:val="24"/>
          <w:szCs w:val="24"/>
        </w:rPr>
        <w:t>, 52 punktas)</w:t>
      </w:r>
      <w:r w:rsidR="00DA1C3C" w:rsidRPr="00235CC9">
        <w:rPr>
          <w:rFonts w:asciiTheme="majorBidi" w:hAnsiTheme="majorBidi" w:cstheme="majorBidi"/>
          <w:sz w:val="24"/>
          <w:szCs w:val="24"/>
        </w:rPr>
        <w:t xml:space="preserve">. </w:t>
      </w:r>
      <w:r w:rsidR="006818B6" w:rsidRPr="00235CC9">
        <w:rPr>
          <w:rFonts w:asciiTheme="majorBidi" w:hAnsiTheme="majorBidi" w:cstheme="majorBidi"/>
          <w:sz w:val="24"/>
          <w:szCs w:val="24"/>
        </w:rPr>
        <w:t>Horizontal</w:t>
      </w:r>
      <w:r w:rsidR="008E5769">
        <w:rPr>
          <w:rFonts w:asciiTheme="majorBidi" w:hAnsiTheme="majorBidi" w:cstheme="majorBidi"/>
          <w:sz w:val="24"/>
          <w:szCs w:val="24"/>
        </w:rPr>
        <w:t>iojo</w:t>
      </w:r>
      <w:r w:rsidR="006818B6" w:rsidRPr="00235CC9">
        <w:rPr>
          <w:rFonts w:asciiTheme="majorBidi" w:hAnsiTheme="majorBidi" w:cstheme="majorBidi"/>
          <w:sz w:val="24"/>
          <w:szCs w:val="24"/>
        </w:rPr>
        <w:t xml:space="preserve"> precedento taisyklės nėra aktualios aukštesniam, </w:t>
      </w:r>
      <w:r w:rsidR="006818B6" w:rsidRPr="00235CC9">
        <w:rPr>
          <w:rFonts w:asciiTheme="majorBidi" w:hAnsiTheme="majorBidi" w:cstheme="majorBidi"/>
          <w:i/>
          <w:iCs/>
          <w:sz w:val="24"/>
          <w:szCs w:val="24"/>
        </w:rPr>
        <w:t xml:space="preserve">a </w:t>
      </w:r>
      <w:proofErr w:type="spellStart"/>
      <w:r w:rsidR="006818B6" w:rsidRPr="00235CC9">
        <w:rPr>
          <w:rFonts w:asciiTheme="majorBidi" w:hAnsiTheme="majorBidi" w:cstheme="majorBidi"/>
          <w:i/>
          <w:iCs/>
          <w:sz w:val="24"/>
          <w:szCs w:val="24"/>
        </w:rPr>
        <w:t>fortiori</w:t>
      </w:r>
      <w:proofErr w:type="spellEnd"/>
      <w:r w:rsidR="006818B6" w:rsidRPr="00235CC9">
        <w:rPr>
          <w:rFonts w:asciiTheme="majorBidi" w:hAnsiTheme="majorBidi" w:cstheme="majorBidi"/>
          <w:sz w:val="24"/>
          <w:szCs w:val="24"/>
        </w:rPr>
        <w:t xml:space="preserve"> (ypač; juo labiau) kasaciniam teismui, ta dalimi, kiek precedentai suformuoti žemesnės instancijos teismo procesiniuose sprendimuose (žr., pvz., Lietuvos Aukščiausiojo Teismo 2016 m. vasario 4 d. nutarties civilinėje byloje Nr. 3K-3-30-378/2016 31</w:t>
      </w:r>
      <w:r w:rsidR="008E5769">
        <w:rPr>
          <w:rFonts w:asciiTheme="majorBidi" w:hAnsiTheme="majorBidi" w:cstheme="majorBidi"/>
          <w:sz w:val="24"/>
          <w:szCs w:val="24"/>
        </w:rPr>
        <w:t> </w:t>
      </w:r>
      <w:r w:rsidR="006818B6" w:rsidRPr="00235CC9">
        <w:rPr>
          <w:rFonts w:asciiTheme="majorBidi" w:hAnsiTheme="majorBidi" w:cstheme="majorBidi"/>
          <w:sz w:val="24"/>
          <w:szCs w:val="24"/>
        </w:rPr>
        <w:t>punktą).</w:t>
      </w:r>
    </w:p>
    <w:p w14:paraId="17AFC595" w14:textId="577CD9F8" w:rsidR="00E105F2" w:rsidRPr="00235CC9" w:rsidRDefault="00E105F2" w:rsidP="00F30048">
      <w:pPr>
        <w:pStyle w:val="Sraopastraipa"/>
        <w:numPr>
          <w:ilvl w:val="0"/>
          <w:numId w:val="40"/>
        </w:numPr>
        <w:spacing w:after="120" w:line="240" w:lineRule="auto"/>
        <w:contextualSpacing w:val="0"/>
        <w:jc w:val="both"/>
        <w:rPr>
          <w:rFonts w:asciiTheme="majorBidi" w:hAnsiTheme="majorBidi" w:cstheme="majorBidi"/>
          <w:sz w:val="24"/>
          <w:szCs w:val="24"/>
        </w:rPr>
      </w:pPr>
      <w:r w:rsidRPr="00235CC9">
        <w:rPr>
          <w:rFonts w:asciiTheme="majorBidi" w:hAnsiTheme="majorBidi" w:cstheme="majorBidi"/>
          <w:sz w:val="24"/>
          <w:szCs w:val="24"/>
        </w:rPr>
        <w:t>Kasacinio teismo ne kartą nurodyta, kad kai apeliacinės instancijos teismas nukrypsta nuo savo sukurtų horizontaliųjų precedentų, kurie niekada nebuvo peržiūrėti kasacine tvarka, tai ši aplinkybė savaime nesudaro pagrindo spręsti, jog tik dėl to skundžiamas apeliacinės instancijos teismo sprendimas naikintinas; kasacinis teismas, formuodamas vienodą teismų praktiką kasacine tvarka priimtomis precedentinėmis nutartimis, nėra saistomas pirmosios ir (ar) apeliacinės instancijos teismų priimtų procesinių sprendimų kaip precedentų, jis gali formuoti kitokius precedentus, o šie privalomi visiems teismams (žr., pvz., Lietuvos Aukščiausiojo Teismo 2017</w:t>
      </w:r>
      <w:r w:rsidR="008E5769">
        <w:rPr>
          <w:rFonts w:asciiTheme="majorBidi" w:hAnsiTheme="majorBidi" w:cstheme="majorBidi"/>
          <w:sz w:val="24"/>
          <w:szCs w:val="24"/>
        </w:rPr>
        <w:t> </w:t>
      </w:r>
      <w:r w:rsidRPr="00235CC9">
        <w:rPr>
          <w:rFonts w:asciiTheme="majorBidi" w:hAnsiTheme="majorBidi" w:cstheme="majorBidi"/>
          <w:sz w:val="24"/>
          <w:szCs w:val="24"/>
        </w:rPr>
        <w:t>m. liepos 12 d. nutarties civilinėje byloje Nr. </w:t>
      </w:r>
      <w:bookmarkStart w:id="18" w:name="n7014919d-1b4e-4f54-84f4-98216b486b21"/>
      <w:r w:rsidRPr="00235CC9">
        <w:rPr>
          <w:rFonts w:asciiTheme="majorBidi" w:hAnsiTheme="majorBidi" w:cstheme="majorBidi"/>
          <w:color w:val="auto"/>
          <w:sz w:val="24"/>
          <w:szCs w:val="24"/>
        </w:rPr>
        <w:fldChar w:fldCharType="begin"/>
      </w:r>
      <w:r w:rsidRPr="00235CC9">
        <w:rPr>
          <w:rFonts w:asciiTheme="majorBidi" w:hAnsiTheme="majorBidi" w:cstheme="majorBidi"/>
          <w:color w:val="auto"/>
          <w:sz w:val="24"/>
          <w:szCs w:val="24"/>
        </w:rPr>
        <w:instrText>HYPERLINK "https://www.infolex.lt/tp/1501714" \o "e3K-3-322-916/2017 Dėl viešojo pirkimo sąlygų panaikinimo" \t "_blank"</w:instrText>
      </w:r>
      <w:r w:rsidRPr="00235CC9">
        <w:rPr>
          <w:rFonts w:asciiTheme="majorBidi" w:hAnsiTheme="majorBidi" w:cstheme="majorBidi"/>
          <w:color w:val="auto"/>
          <w:sz w:val="24"/>
          <w:szCs w:val="24"/>
        </w:rPr>
      </w:r>
      <w:r w:rsidRPr="00235CC9">
        <w:rPr>
          <w:rFonts w:asciiTheme="majorBidi" w:hAnsiTheme="majorBidi" w:cstheme="majorBidi"/>
          <w:color w:val="auto"/>
          <w:sz w:val="24"/>
          <w:szCs w:val="24"/>
        </w:rPr>
        <w:fldChar w:fldCharType="separate"/>
      </w:r>
      <w:r w:rsidRPr="00235CC9">
        <w:rPr>
          <w:rStyle w:val="Hipersaitas"/>
          <w:rFonts w:asciiTheme="majorBidi" w:hAnsiTheme="majorBidi" w:cstheme="majorBidi"/>
          <w:color w:val="auto"/>
          <w:sz w:val="24"/>
          <w:szCs w:val="24"/>
        </w:rPr>
        <w:t>e3K-3-322-916/2017</w:t>
      </w:r>
      <w:r w:rsidRPr="00235CC9">
        <w:rPr>
          <w:rFonts w:asciiTheme="majorBidi" w:hAnsiTheme="majorBidi" w:cstheme="majorBidi"/>
          <w:color w:val="auto"/>
          <w:sz w:val="24"/>
          <w:szCs w:val="24"/>
        </w:rPr>
        <w:fldChar w:fldCharType="end"/>
      </w:r>
      <w:bookmarkStart w:id="19" w:name="pn7014919d-1b4e-4f54-84f4-98216b486b21"/>
      <w:bookmarkEnd w:id="18"/>
      <w:bookmarkEnd w:id="19"/>
      <w:r w:rsidRPr="00235CC9">
        <w:rPr>
          <w:rFonts w:asciiTheme="majorBidi" w:hAnsiTheme="majorBidi" w:cstheme="majorBidi"/>
          <w:color w:val="auto"/>
          <w:sz w:val="24"/>
          <w:szCs w:val="24"/>
        </w:rPr>
        <w:t> 51 punktą; 2020 m. lapkričio 4 d. nutarties civilinėje byloje Nr. </w:t>
      </w:r>
      <w:bookmarkStart w:id="20" w:name="n31b86bc4-aaec-449d-9f76-aa9009160ea9"/>
      <w:r w:rsidRPr="00235CC9">
        <w:rPr>
          <w:rFonts w:asciiTheme="majorBidi" w:hAnsiTheme="majorBidi" w:cstheme="majorBidi"/>
          <w:color w:val="auto"/>
          <w:sz w:val="24"/>
          <w:szCs w:val="24"/>
        </w:rPr>
        <w:fldChar w:fldCharType="begin"/>
      </w:r>
      <w:r w:rsidRPr="00235CC9">
        <w:rPr>
          <w:rFonts w:asciiTheme="majorBidi" w:hAnsiTheme="majorBidi" w:cstheme="majorBidi"/>
          <w:color w:val="auto"/>
          <w:sz w:val="24"/>
          <w:szCs w:val="24"/>
        </w:rPr>
        <w:instrText>HYPERLINK "https://www.infolex.lt/tp/1952191" \o "e3K-3-289-916/2020 Dėl teisės normų, reglamentuojančių įstatymo nustatyto termino kreditoriaus reikalavimui palikėjo įpėdiniams pareikšti atnaujinimą, aiškinimo ir taikymo" \t "_blank"</w:instrText>
      </w:r>
      <w:r w:rsidRPr="00235CC9">
        <w:rPr>
          <w:rFonts w:asciiTheme="majorBidi" w:hAnsiTheme="majorBidi" w:cstheme="majorBidi"/>
          <w:color w:val="auto"/>
          <w:sz w:val="24"/>
          <w:szCs w:val="24"/>
        </w:rPr>
      </w:r>
      <w:r w:rsidRPr="00235CC9">
        <w:rPr>
          <w:rFonts w:asciiTheme="majorBidi" w:hAnsiTheme="majorBidi" w:cstheme="majorBidi"/>
          <w:color w:val="auto"/>
          <w:sz w:val="24"/>
          <w:szCs w:val="24"/>
        </w:rPr>
        <w:fldChar w:fldCharType="separate"/>
      </w:r>
      <w:r w:rsidRPr="00235CC9">
        <w:rPr>
          <w:rStyle w:val="Hipersaitas"/>
          <w:rFonts w:asciiTheme="majorBidi" w:hAnsiTheme="majorBidi" w:cstheme="majorBidi"/>
          <w:color w:val="auto"/>
          <w:sz w:val="24"/>
          <w:szCs w:val="24"/>
        </w:rPr>
        <w:t>e3K-3-289-916/2020</w:t>
      </w:r>
      <w:r w:rsidRPr="00235CC9">
        <w:rPr>
          <w:rFonts w:asciiTheme="majorBidi" w:hAnsiTheme="majorBidi" w:cstheme="majorBidi"/>
          <w:color w:val="auto"/>
          <w:sz w:val="24"/>
          <w:szCs w:val="24"/>
        </w:rPr>
        <w:fldChar w:fldCharType="end"/>
      </w:r>
      <w:bookmarkStart w:id="21" w:name="pn31b86bc4-aaec-449d-9f76-aa9009160ea9"/>
      <w:bookmarkEnd w:id="20"/>
      <w:bookmarkEnd w:id="21"/>
      <w:r w:rsidRPr="00235CC9">
        <w:rPr>
          <w:rFonts w:asciiTheme="majorBidi" w:hAnsiTheme="majorBidi" w:cstheme="majorBidi"/>
          <w:sz w:val="24"/>
          <w:szCs w:val="24"/>
        </w:rPr>
        <w:t> 41 punktą).</w:t>
      </w:r>
    </w:p>
    <w:p w14:paraId="6BCC484D" w14:textId="64DB89E6" w:rsidR="00817894" w:rsidRDefault="00DA1C3C" w:rsidP="00F30048">
      <w:pPr>
        <w:pStyle w:val="Sraopastraipa"/>
        <w:numPr>
          <w:ilvl w:val="0"/>
          <w:numId w:val="40"/>
        </w:numPr>
        <w:spacing w:after="120" w:line="240" w:lineRule="auto"/>
        <w:contextualSpacing w:val="0"/>
        <w:jc w:val="both"/>
        <w:rPr>
          <w:rFonts w:asciiTheme="majorBidi" w:hAnsiTheme="majorBidi" w:cstheme="majorBidi"/>
          <w:sz w:val="24"/>
          <w:szCs w:val="24"/>
        </w:rPr>
      </w:pPr>
      <w:r w:rsidRPr="00235CC9">
        <w:rPr>
          <w:rFonts w:asciiTheme="majorBidi" w:hAnsiTheme="majorBidi" w:cstheme="majorBidi"/>
          <w:sz w:val="24"/>
          <w:szCs w:val="24"/>
        </w:rPr>
        <w:t>Taigi, nagrinėdama šią bylą teisėjų kolegija nėra saistoma įsiteisėjusios Vilniaus apygardos teismo 20</w:t>
      </w:r>
      <w:r w:rsidR="00896336" w:rsidRPr="00235CC9">
        <w:rPr>
          <w:rFonts w:asciiTheme="majorBidi" w:hAnsiTheme="majorBidi" w:cstheme="majorBidi"/>
          <w:sz w:val="24"/>
          <w:szCs w:val="24"/>
        </w:rPr>
        <w:t>24</w:t>
      </w:r>
      <w:r w:rsidRPr="00235CC9">
        <w:rPr>
          <w:rFonts w:asciiTheme="majorBidi" w:hAnsiTheme="majorBidi" w:cstheme="majorBidi"/>
          <w:sz w:val="24"/>
          <w:szCs w:val="24"/>
        </w:rPr>
        <w:t xml:space="preserve"> m. </w:t>
      </w:r>
      <w:r w:rsidR="00896336" w:rsidRPr="00235CC9">
        <w:rPr>
          <w:rFonts w:asciiTheme="majorBidi" w:hAnsiTheme="majorBidi" w:cstheme="majorBidi"/>
          <w:sz w:val="24"/>
          <w:szCs w:val="24"/>
        </w:rPr>
        <w:t>gegužės 28</w:t>
      </w:r>
      <w:r w:rsidRPr="00235CC9">
        <w:rPr>
          <w:rFonts w:asciiTheme="majorBidi" w:hAnsiTheme="majorBidi" w:cstheme="majorBidi"/>
          <w:sz w:val="24"/>
          <w:szCs w:val="24"/>
        </w:rPr>
        <w:t xml:space="preserve"> d. nutarties civilinėje byloje Nr. </w:t>
      </w:r>
      <w:r w:rsidR="00896336" w:rsidRPr="00235CC9">
        <w:rPr>
          <w:rFonts w:asciiTheme="majorBidi" w:hAnsiTheme="majorBidi" w:cstheme="majorBidi"/>
          <w:sz w:val="24"/>
          <w:szCs w:val="24"/>
        </w:rPr>
        <w:t>e2A-979-432/2024</w:t>
      </w:r>
      <w:r w:rsidRPr="00235CC9">
        <w:rPr>
          <w:rFonts w:asciiTheme="majorBidi" w:hAnsiTheme="majorBidi" w:cstheme="majorBidi"/>
          <w:sz w:val="24"/>
          <w:szCs w:val="24"/>
        </w:rPr>
        <w:t xml:space="preserve"> kaip precedent</w:t>
      </w:r>
      <w:r w:rsidR="00FC3DF7" w:rsidRPr="00235CC9">
        <w:rPr>
          <w:rFonts w:asciiTheme="majorBidi" w:hAnsiTheme="majorBidi" w:cstheme="majorBidi"/>
          <w:sz w:val="24"/>
          <w:szCs w:val="24"/>
        </w:rPr>
        <w:t xml:space="preserve">o ir ta aplinkybė, kad apeliacinės instancijos teismas skundžiamoje nutartyje minėta nutartimi nesivadovavo, savaime nelemia šio procesinio sprendimo neteisėtumo. </w:t>
      </w:r>
      <w:r w:rsidR="00423F32" w:rsidRPr="00235CC9">
        <w:rPr>
          <w:rFonts w:asciiTheme="majorBidi" w:hAnsiTheme="majorBidi" w:cstheme="majorBidi"/>
          <w:sz w:val="24"/>
          <w:szCs w:val="24"/>
        </w:rPr>
        <w:t>Teisėjų kolegija nagrinėjamoje byloje vertina ieškovės kasacinio skundo argumentus dėl jų atitikties teisės aktuose įtvirtintam teisiniam reglamentavimui.</w:t>
      </w:r>
    </w:p>
    <w:p w14:paraId="4A90C131" w14:textId="77777777" w:rsidR="00BB34A4" w:rsidRPr="00235CC9" w:rsidRDefault="00BB34A4" w:rsidP="00BB34A4">
      <w:pPr>
        <w:pStyle w:val="Sraopastraipa"/>
        <w:spacing w:after="120" w:line="240" w:lineRule="auto"/>
        <w:ind w:left="360"/>
        <w:contextualSpacing w:val="0"/>
        <w:jc w:val="both"/>
        <w:rPr>
          <w:rFonts w:asciiTheme="majorBidi" w:hAnsiTheme="majorBidi" w:cstheme="majorBidi"/>
          <w:sz w:val="24"/>
          <w:szCs w:val="24"/>
        </w:rPr>
      </w:pPr>
    </w:p>
    <w:p w14:paraId="070F969B" w14:textId="6BC2D1BD" w:rsidR="00817894" w:rsidRDefault="006E1C52" w:rsidP="00BB34A4">
      <w:pPr>
        <w:spacing w:after="120"/>
        <w:ind w:firstLine="720"/>
        <w:jc w:val="both"/>
        <w:rPr>
          <w:i/>
          <w:iCs/>
          <w:color w:val="auto"/>
          <w:lang w:eastAsia="en-US"/>
        </w:rPr>
      </w:pPr>
      <w:r w:rsidRPr="00235CC9">
        <w:rPr>
          <w:i/>
          <w:iCs/>
          <w:color w:val="auto"/>
          <w:lang w:eastAsia="en-US"/>
        </w:rPr>
        <w:t xml:space="preserve">     </w:t>
      </w:r>
      <w:r w:rsidR="00817894" w:rsidRPr="00235CC9">
        <w:rPr>
          <w:i/>
          <w:iCs/>
          <w:color w:val="auto"/>
          <w:lang w:eastAsia="en-US"/>
        </w:rPr>
        <w:t>Dėl prašymo pasirašyti ketinimų protokolą ir protokolo pasirašymo tvarką reglamentuojančių Elektros energetikos įstatymo bei Elektros energijos gamintojų pasinaudojimo elektros perdavimo tinklais tvarkos aprašo nuostatų aiškinimo ir taikymo</w:t>
      </w:r>
    </w:p>
    <w:p w14:paraId="5BE2845C" w14:textId="77777777" w:rsidR="00BB34A4" w:rsidRPr="00235CC9" w:rsidRDefault="00BB34A4" w:rsidP="00BB34A4">
      <w:pPr>
        <w:spacing w:after="120"/>
        <w:ind w:firstLine="720"/>
        <w:jc w:val="both"/>
        <w:rPr>
          <w:i/>
          <w:iCs/>
          <w:color w:val="auto"/>
          <w:lang w:eastAsia="en-US"/>
        </w:rPr>
      </w:pPr>
    </w:p>
    <w:p w14:paraId="56B39A3B" w14:textId="76E29E2B" w:rsidR="00DA2D2A" w:rsidRPr="00235CC9" w:rsidRDefault="00817894" w:rsidP="00BB34A4">
      <w:pPr>
        <w:pStyle w:val="list-paragraph"/>
        <w:numPr>
          <w:ilvl w:val="0"/>
          <w:numId w:val="40"/>
        </w:numPr>
        <w:spacing w:before="0" w:beforeAutospacing="0" w:after="120" w:afterAutospacing="0"/>
        <w:jc w:val="both"/>
        <w:rPr>
          <w:lang w:val="lt-LT"/>
        </w:rPr>
      </w:pPr>
      <w:r w:rsidRPr="00235CC9">
        <w:rPr>
          <w:lang w:val="lt-LT"/>
        </w:rPr>
        <w:t xml:space="preserve">Tarp šalių kilo ginčas dėl elektros gamybos įrenginių prijungimo prie elektros perdavimo tinklų ketinimų protokolo pasirašymo. Ieškovė, turėdama galiojančias išankstines prijungimo sąlygas, kreipėsi į atsakovę dėl ketinimų protokolo sudarymo, tačiau </w:t>
      </w:r>
      <w:r w:rsidR="001131DC">
        <w:rPr>
          <w:lang w:val="lt-LT"/>
        </w:rPr>
        <w:t>atsakovė</w:t>
      </w:r>
      <w:r w:rsidRPr="00235CC9">
        <w:rPr>
          <w:lang w:val="lt-LT"/>
        </w:rPr>
        <w:t>, nurodžiusi, kad nėra pakankamų elektros perdavimo tinklo pralaidumų ir ieškovės elektrin</w:t>
      </w:r>
      <w:r w:rsidR="008E5769">
        <w:rPr>
          <w:lang w:val="lt-LT"/>
        </w:rPr>
        <w:t>ėms</w:t>
      </w:r>
      <w:r w:rsidRPr="00235CC9">
        <w:rPr>
          <w:lang w:val="lt-LT"/>
        </w:rPr>
        <w:t xml:space="preserve"> prijung</w:t>
      </w:r>
      <w:r w:rsidR="008E5769">
        <w:rPr>
          <w:lang w:val="lt-LT"/>
        </w:rPr>
        <w:t>t</w:t>
      </w:r>
      <w:r w:rsidRPr="00235CC9">
        <w:rPr>
          <w:lang w:val="lt-LT"/>
        </w:rPr>
        <w:t>i reikalinga perdavimo tinklo plėtra, ketinimų protokolo su ieškove nesudarė.</w:t>
      </w:r>
    </w:p>
    <w:p w14:paraId="53A32FA3" w14:textId="5E4999CA" w:rsidR="00DA2D2A" w:rsidRPr="00235CC9" w:rsidRDefault="00817894" w:rsidP="00DA2D2A">
      <w:pPr>
        <w:pStyle w:val="list-paragraph"/>
        <w:numPr>
          <w:ilvl w:val="0"/>
          <w:numId w:val="40"/>
        </w:numPr>
        <w:spacing w:before="0" w:beforeAutospacing="0" w:after="120" w:afterAutospacing="0"/>
        <w:jc w:val="both"/>
        <w:rPr>
          <w:lang w:val="lt-LT"/>
        </w:rPr>
      </w:pPr>
      <w:r w:rsidRPr="00235CC9">
        <w:rPr>
          <w:lang w:val="lt-LT"/>
        </w:rPr>
        <w:t xml:space="preserve">Bylą nagrinėję teismai </w:t>
      </w:r>
      <w:r w:rsidR="008E5769">
        <w:rPr>
          <w:lang w:val="lt-LT"/>
        </w:rPr>
        <w:t>nu</w:t>
      </w:r>
      <w:r w:rsidRPr="00235CC9">
        <w:rPr>
          <w:lang w:val="lt-LT"/>
        </w:rPr>
        <w:t>sprendė, kad byloje tarp šalių kilęs ginčas</w:t>
      </w:r>
      <w:r w:rsidR="008E5769">
        <w:rPr>
          <w:lang w:val="lt-LT"/>
        </w:rPr>
        <w:t>,</w:t>
      </w:r>
      <w:r w:rsidRPr="00235CC9">
        <w:rPr>
          <w:lang w:val="lt-LT"/>
        </w:rPr>
        <w:t xml:space="preserve"> ar prašymo sudaryti ketinimų protokolą metu 330 </w:t>
      </w:r>
      <w:proofErr w:type="spellStart"/>
      <w:r w:rsidRPr="00235CC9">
        <w:rPr>
          <w:lang w:val="lt-LT"/>
        </w:rPr>
        <w:t>kV</w:t>
      </w:r>
      <w:proofErr w:type="spellEnd"/>
      <w:r w:rsidRPr="00235CC9">
        <w:rPr>
          <w:lang w:val="lt-LT"/>
        </w:rPr>
        <w:t xml:space="preserve"> elektros linijos Utena–Panevėžys elektros tinklų pralaidumas buvo pakankamas 250 MW leistinos generuoti galios vėjo elektrin</w:t>
      </w:r>
      <w:r w:rsidR="008E5769">
        <w:rPr>
          <w:lang w:val="lt-LT"/>
        </w:rPr>
        <w:t>ei prijungti</w:t>
      </w:r>
      <w:r w:rsidRPr="00235CC9">
        <w:rPr>
          <w:lang w:val="lt-LT"/>
        </w:rPr>
        <w:t xml:space="preserve">. </w:t>
      </w:r>
      <w:bookmarkStart w:id="22" w:name="_Hlk193266998"/>
      <w:r w:rsidRPr="00235CC9">
        <w:rPr>
          <w:lang w:val="lt-LT"/>
        </w:rPr>
        <w:t>Apeliacinės instancijos teismas padarė išvadą, kad 2022 m. gruodžio 19 d. ieškovė prie linijos galėjo būti prijun</w:t>
      </w:r>
      <w:r w:rsidR="00354B07">
        <w:rPr>
          <w:lang w:val="lt-LT"/>
        </w:rPr>
        <w:t>g</w:t>
      </w:r>
      <w:r w:rsidRPr="00235CC9">
        <w:rPr>
          <w:lang w:val="lt-LT"/>
        </w:rPr>
        <w:t>ta tik taikant technines ar organizacines generuojamos galios ribojimo priemones, tačiau pagal 2022</w:t>
      </w:r>
      <w:r w:rsidR="008E5769">
        <w:rPr>
          <w:lang w:val="lt-LT"/>
        </w:rPr>
        <w:t> </w:t>
      </w:r>
      <w:r w:rsidRPr="00235CC9">
        <w:rPr>
          <w:lang w:val="lt-LT"/>
        </w:rPr>
        <w:t xml:space="preserve">PETA 93 punktą techninės ar organizacinės generuojamos galios ribojimo priemonės galėjo būti taikomos tik dėl objektyvių priežasčių (tinklo avarijos arba remonto darbų) arba dėl kitų techninių priežasčių, </w:t>
      </w:r>
      <w:r w:rsidR="008E5769">
        <w:rPr>
          <w:lang w:val="lt-LT"/>
        </w:rPr>
        <w:t>ir</w:t>
      </w:r>
      <w:r w:rsidRPr="00235CC9">
        <w:rPr>
          <w:lang w:val="lt-LT"/>
        </w:rPr>
        <w:t xml:space="preserve"> tik nediskriminaciniais pagrindais. </w:t>
      </w:r>
      <w:bookmarkEnd w:id="22"/>
      <w:r w:rsidRPr="00235CC9">
        <w:rPr>
          <w:lang w:val="lt-LT"/>
        </w:rPr>
        <w:t>Tik 2023 PETA buvo įtvirtinti papildomi ribojimai, būtini dėl saulės ir vėjo elektrinių generavimo sutapties, kurių nenu</w:t>
      </w:r>
      <w:r w:rsidR="00E91949">
        <w:rPr>
          <w:lang w:val="lt-LT"/>
        </w:rPr>
        <w:t>stat</w:t>
      </w:r>
      <w:r w:rsidRPr="00235CC9">
        <w:rPr>
          <w:lang w:val="lt-LT"/>
        </w:rPr>
        <w:t>ė 2022 PETA. Be to, 2022 PETA apskritai nenu</w:t>
      </w:r>
      <w:r w:rsidR="00E91949">
        <w:rPr>
          <w:lang w:val="lt-LT"/>
        </w:rPr>
        <w:t>sta</w:t>
      </w:r>
      <w:r w:rsidRPr="00235CC9">
        <w:rPr>
          <w:lang w:val="lt-LT"/>
        </w:rPr>
        <w:t>tė pralaidumų skaičiavimų principo, t. y. konkretus tinklo pralaidumas buvo skirstomas visų prie tinklo jungiamų įrenginių leistiną generuoti galią atimant iš bendro perdavimo tinklo pralaidumo. Taigi, tam, kad atsakovė 2022</w:t>
      </w:r>
      <w:r w:rsidR="00F528C9">
        <w:rPr>
          <w:lang w:val="lt-LT"/>
        </w:rPr>
        <w:t> </w:t>
      </w:r>
      <w:r w:rsidRPr="00235CC9">
        <w:rPr>
          <w:lang w:val="lt-LT"/>
        </w:rPr>
        <w:t>metais būtų galėjusi prijungti ieškovę prie tinklo pagal esamą galingumą</w:t>
      </w:r>
      <w:r w:rsidR="008E5769">
        <w:rPr>
          <w:lang w:val="lt-LT"/>
        </w:rPr>
        <w:t>,</w:t>
      </w:r>
      <w:r w:rsidRPr="00235CC9">
        <w:rPr>
          <w:lang w:val="lt-LT"/>
        </w:rPr>
        <w:t xml:space="preserve"> reikėjo papildomų techninių galimybių ir atitinkamo teisinio reguliavimo, kuris </w:t>
      </w:r>
      <w:r w:rsidR="008E5769">
        <w:rPr>
          <w:lang w:val="lt-LT"/>
        </w:rPr>
        <w:t xml:space="preserve">būtų </w:t>
      </w:r>
      <w:r w:rsidRPr="00235CC9">
        <w:rPr>
          <w:lang w:val="lt-LT"/>
        </w:rPr>
        <w:t>lei</w:t>
      </w:r>
      <w:r w:rsidR="008E5769">
        <w:rPr>
          <w:lang w:val="lt-LT"/>
        </w:rPr>
        <w:t>dęs</w:t>
      </w:r>
      <w:r w:rsidRPr="00235CC9">
        <w:rPr>
          <w:lang w:val="lt-LT"/>
        </w:rPr>
        <w:t xml:space="preserve"> atsakovei taikyti technines priemones, tačiau to nenu</w:t>
      </w:r>
      <w:r w:rsidR="00E91949">
        <w:rPr>
          <w:lang w:val="lt-LT"/>
        </w:rPr>
        <w:t>stat</w:t>
      </w:r>
      <w:r w:rsidRPr="00235CC9">
        <w:rPr>
          <w:lang w:val="lt-LT"/>
        </w:rPr>
        <w:t>ė 2022 PETA.</w:t>
      </w:r>
    </w:p>
    <w:p w14:paraId="0B86CA9C" w14:textId="45384FF7" w:rsidR="00817894" w:rsidRPr="00BA352B" w:rsidRDefault="00817894" w:rsidP="00DA2D2A">
      <w:pPr>
        <w:pStyle w:val="list-paragraph"/>
        <w:numPr>
          <w:ilvl w:val="0"/>
          <w:numId w:val="40"/>
        </w:numPr>
        <w:spacing w:before="0" w:beforeAutospacing="0" w:after="120" w:afterAutospacing="0"/>
        <w:jc w:val="both"/>
        <w:rPr>
          <w:lang w:val="lt-LT"/>
        </w:rPr>
      </w:pPr>
      <w:r w:rsidRPr="00235CC9">
        <w:rPr>
          <w:lang w:val="lt-LT"/>
        </w:rPr>
        <w:t xml:space="preserve">Kasaciniame skunde ieškovė teigia, kad </w:t>
      </w:r>
      <w:r w:rsidR="00CE73C8" w:rsidRPr="00235CC9">
        <w:rPr>
          <w:lang w:val="lt-LT"/>
        </w:rPr>
        <w:t xml:space="preserve">prašymo sudaryti ketinimų protokolą pateikimo metu galiojantis teisinis reguliavimas buvo pakankamas spręsti dėl pralaidumo rezervavimo atsižvelgiant į elektros energijos gamybos ir energijos kaupimo įrenginių patiekiamos į elektros tinklą galios </w:t>
      </w:r>
      <w:proofErr w:type="spellStart"/>
      <w:r w:rsidR="00CE73C8" w:rsidRPr="00235CC9">
        <w:rPr>
          <w:lang w:val="lt-LT"/>
        </w:rPr>
        <w:t>nevienalaikiškumą</w:t>
      </w:r>
      <w:proofErr w:type="spellEnd"/>
      <w:r w:rsidR="00CE73C8" w:rsidRPr="00235CC9">
        <w:rPr>
          <w:lang w:val="lt-LT"/>
        </w:rPr>
        <w:t xml:space="preserve">. Ieškovė argumentuoja, kad net nepaisant to, </w:t>
      </w:r>
      <w:r w:rsidR="00F7785C">
        <w:rPr>
          <w:lang w:val="lt-LT"/>
        </w:rPr>
        <w:t>jog</w:t>
      </w:r>
      <w:r w:rsidR="00CE73C8" w:rsidRPr="00235CC9">
        <w:rPr>
          <w:lang w:val="lt-LT"/>
        </w:rPr>
        <w:t xml:space="preserve"> pagal prašymo sudaryti ketinimų protokolą pateikimo metu galioj</w:t>
      </w:r>
      <w:r w:rsidR="00F7785C">
        <w:rPr>
          <w:lang w:val="lt-LT"/>
        </w:rPr>
        <w:t>us</w:t>
      </w:r>
      <w:r w:rsidR="00CE73C8" w:rsidRPr="00235CC9">
        <w:rPr>
          <w:lang w:val="lt-LT"/>
        </w:rPr>
        <w:t xml:space="preserve">į teisinį reguliavimą atsakovė turėjo taikyti </w:t>
      </w:r>
      <w:proofErr w:type="spellStart"/>
      <w:r w:rsidR="00CE73C8" w:rsidRPr="00235CC9">
        <w:rPr>
          <w:lang w:val="lt-LT"/>
        </w:rPr>
        <w:t>nevienalaikiškumo</w:t>
      </w:r>
      <w:proofErr w:type="spellEnd"/>
      <w:r w:rsidR="00CE73C8" w:rsidRPr="00235CC9">
        <w:rPr>
          <w:lang w:val="lt-LT"/>
        </w:rPr>
        <w:t xml:space="preserve"> principą, technine prasme tinklo pralaidumas tiek iki </w:t>
      </w:r>
      <w:proofErr w:type="spellStart"/>
      <w:r w:rsidR="00CE73C8" w:rsidRPr="00235CC9">
        <w:rPr>
          <w:lang w:val="lt-LT"/>
        </w:rPr>
        <w:t>nevienalaikiškumo</w:t>
      </w:r>
      <w:proofErr w:type="spellEnd"/>
      <w:r w:rsidR="00CE73C8" w:rsidRPr="00235CC9">
        <w:rPr>
          <w:lang w:val="lt-LT"/>
        </w:rPr>
        <w:t xml:space="preserve"> principo nustatymo įstatyme, tiek </w:t>
      </w:r>
      <w:r w:rsidR="00F528C9">
        <w:rPr>
          <w:lang w:val="lt-LT"/>
        </w:rPr>
        <w:t>vėliau</w:t>
      </w:r>
      <w:r w:rsidR="00CE73C8" w:rsidRPr="00235CC9">
        <w:rPr>
          <w:lang w:val="lt-LT"/>
        </w:rPr>
        <w:t xml:space="preserve"> nesikeitė, nes bylos nagrinėjimo metu atsakovė pripažino, </w:t>
      </w:r>
      <w:r w:rsidR="00CE73C8" w:rsidRPr="00BA352B">
        <w:rPr>
          <w:lang w:val="lt-LT"/>
        </w:rPr>
        <w:t>kad nurodytu laikotarpiu jokių techninių tinklo plėtros darbų neatliko, o teisini</w:t>
      </w:r>
      <w:r w:rsidR="00415651">
        <w:rPr>
          <w:lang w:val="lt-LT"/>
        </w:rPr>
        <w:t>o</w:t>
      </w:r>
      <w:r w:rsidR="00CE73C8" w:rsidRPr="00BA352B">
        <w:rPr>
          <w:lang w:val="lt-LT"/>
        </w:rPr>
        <w:t xml:space="preserve"> reguliavimo pasikeitimai iš esmės negali lemti faktinio tinklo pralaidumo buvimo arba nebuvimo. </w:t>
      </w:r>
    </w:p>
    <w:p w14:paraId="4303EF47" w14:textId="0D50407C" w:rsidR="00700C97" w:rsidRPr="00BA352B" w:rsidRDefault="00E47849" w:rsidP="00C01B97">
      <w:pPr>
        <w:pStyle w:val="list-paragraph"/>
        <w:numPr>
          <w:ilvl w:val="0"/>
          <w:numId w:val="40"/>
        </w:numPr>
        <w:spacing w:before="0" w:beforeAutospacing="0" w:after="120" w:afterAutospacing="0"/>
        <w:jc w:val="both"/>
        <w:rPr>
          <w:lang w:val="lt-LT"/>
        </w:rPr>
      </w:pPr>
      <w:r w:rsidRPr="00BA352B">
        <w:rPr>
          <w:rFonts w:eastAsia="Times New Roman"/>
          <w:lang w:val="lt-LT"/>
        </w:rPr>
        <w:t>Teisėjų kolegija pažymi, kad prašymus pasirašyti ketinimų protokolą ir ketinimų protokolų sudarymo tvarką reglamentuoja specialusis Elektros energetikos įstatymas ir jį detalizuojantis Elektros energijos gamintojų pasinaudojimo elektros perdavimo tinklais tvarkos aprašas, kurie taikytini nagrinėjamoje byloje.</w:t>
      </w:r>
      <w:r w:rsidR="00BA352B" w:rsidRPr="00BA352B">
        <w:rPr>
          <w:rFonts w:eastAsia="Times New Roman"/>
          <w:lang w:val="lt-LT"/>
        </w:rPr>
        <w:t xml:space="preserve"> </w:t>
      </w:r>
      <w:r w:rsidR="00AB5CF3" w:rsidRPr="00BA352B">
        <w:rPr>
          <w:lang w:val="lt-LT"/>
        </w:rPr>
        <w:t xml:space="preserve">Nagrinėjamoje byloje taikytinos Elektros energetikos įstatymo (įstatymo redakcija, galiojusi prašymų pasirašyti ketinimų protokolą pateikimo metu, t. y. nuo 2022 m. spalio 15 d. iki 2022 m. gruodžio 22 d.) ir Valstybinės energetikos reguliavimo tarybos 2022 m. birželio 3 d. nutarimu Nr. O3E-832 patvirtinto Elektros energijos gamintojų pasinaudojimo elektros perdavimo tinklais tvarkos aprašo </w:t>
      </w:r>
      <w:r w:rsidR="00E2296D">
        <w:rPr>
          <w:lang w:val="lt-LT"/>
        </w:rPr>
        <w:t xml:space="preserve">(2022 PETA) </w:t>
      </w:r>
      <w:r w:rsidR="00AB5CF3" w:rsidRPr="00BA352B">
        <w:rPr>
          <w:lang w:val="lt-LT"/>
        </w:rPr>
        <w:t>nuostatos, reglamentuojančios</w:t>
      </w:r>
      <w:r w:rsidR="00BA352B">
        <w:rPr>
          <w:lang w:val="lt-LT"/>
        </w:rPr>
        <w:t xml:space="preserve"> </w:t>
      </w:r>
      <w:r w:rsidR="00AB5CF3" w:rsidRPr="00BA352B">
        <w:rPr>
          <w:lang w:val="lt-LT"/>
        </w:rPr>
        <w:t>prašymo pasirašyti ketinimų protokolą pateikimo operatoriui ir ketinimų protokolo pasirašymo tvarką.</w:t>
      </w:r>
    </w:p>
    <w:p w14:paraId="28B5C99F" w14:textId="1C607F0A" w:rsidR="0078185C" w:rsidRPr="00235CC9" w:rsidRDefault="00700C97" w:rsidP="00866F0B">
      <w:pPr>
        <w:pStyle w:val="list-paragraph"/>
        <w:numPr>
          <w:ilvl w:val="0"/>
          <w:numId w:val="40"/>
        </w:numPr>
        <w:spacing w:before="0" w:beforeAutospacing="0" w:after="120" w:afterAutospacing="0"/>
        <w:jc w:val="both"/>
        <w:rPr>
          <w:lang w:val="lt-LT"/>
        </w:rPr>
      </w:pPr>
      <w:r w:rsidRPr="00235CC9">
        <w:rPr>
          <w:lang w:val="lt-LT"/>
        </w:rPr>
        <w:t>Pagal E</w:t>
      </w:r>
      <w:r w:rsidR="00F528C9">
        <w:rPr>
          <w:lang w:val="lt-LT"/>
        </w:rPr>
        <w:t>EĮ</w:t>
      </w:r>
      <w:r w:rsidRPr="00235CC9">
        <w:rPr>
          <w:lang w:val="lt-LT"/>
        </w:rPr>
        <w:t xml:space="preserve"> 2 straipsnio 55 punktą, elektros įrenginių prijungimo prie elektros tinklų ketinimų protokolas – elektros tinklų operatoriaus ir tinklų naudotojo, kuris ketina statyti ar įrengti elektros energijos gamybos įrenginį ir (arba) energijos kaupimo įrenginį, susitarimas, kuriuo tinklų naudotojas įsipareigoja per nustatytą laikotarpį parengti savo elektros įrenginius prijungti prie elektros tinklų, o elektros tinklų operatorius – per nustatytą laikotarpį prijungti šio asmens elektros įrenginius prie savo valdomų elektros tinklų.</w:t>
      </w:r>
    </w:p>
    <w:p w14:paraId="4FC0631A" w14:textId="3CF660F9" w:rsidR="00866F0B" w:rsidRPr="00235CC9" w:rsidRDefault="005F5177" w:rsidP="00866F0B">
      <w:pPr>
        <w:pStyle w:val="list-paragraph"/>
        <w:numPr>
          <w:ilvl w:val="0"/>
          <w:numId w:val="40"/>
        </w:numPr>
        <w:spacing w:before="0" w:beforeAutospacing="0" w:after="120" w:afterAutospacing="0"/>
        <w:jc w:val="both"/>
        <w:rPr>
          <w:lang w:val="lt-LT"/>
        </w:rPr>
      </w:pPr>
      <w:r w:rsidRPr="00235CC9">
        <w:rPr>
          <w:lang w:val="lt-LT"/>
        </w:rPr>
        <w:t xml:space="preserve">Kasacinis teismas, analizuodamas EEĮ nuostatas ir vertindamas ketinimų protokolo dalyką, yra nurodęs, kad elektros tinklų galia ir pralaidumai yra riboti, o elektros įrenginių statyba užtrunka tam tikrą laiką, todėl gamintojas, sudarydamas ketinimų protokolą, siekia užsitikrinti, kad jo planuojamai statyti elektrinei bus rezervuota reikiama elektros tinklų galia ir pralaidumai, o elektros tinklų operatorius siekia užtikrinti, kad elektros tinklų galia bus pradėta naudoti per atitinkamą laiką įstatymų ir juos </w:t>
      </w:r>
      <w:r w:rsidR="00F24380">
        <w:rPr>
          <w:lang w:val="lt-LT"/>
        </w:rPr>
        <w:t>į</w:t>
      </w:r>
      <w:r w:rsidRPr="00235CC9">
        <w:rPr>
          <w:lang w:val="lt-LT"/>
        </w:rPr>
        <w:t xml:space="preserve">gyvendinančių teisės aktų nustatyta tvarka. Gamintojui, siekiančiam prijungti elektrinę prie operatoriaus elektros tinklų, ketinimų protokolo sudarymas yra tik vienas iš prijungimo proceso etapų, turintis konkretų tikslą ir paskirtį – užtikrinti elektros tinklų galios ir pralaidumų rezervavimą, reikalingą projektui toliau vykdyti. Operatoriui, siekiančiam, kad elektros tinklų galia ir pralaidumai būtų naudojami kuo efektyviau, ketinimų protokolo sudarymas yra būtinas tam, kad būtų užtikrintas gamintojo ketinimų realumas, t. y. kad būtų užtikrinta, jog arba gamintojas pastatys elektrinę ir atliks kitus veiksmus, būtinus elektrinei prijungti prie elektros tinklo linijos, kurioje galia ir pralaidumai rezervuoti, </w:t>
      </w:r>
      <w:r w:rsidR="009F7F28">
        <w:rPr>
          <w:lang w:val="lt-LT"/>
        </w:rPr>
        <w:t>ir</w:t>
      </w:r>
      <w:r w:rsidRPr="00235CC9">
        <w:rPr>
          <w:lang w:val="lt-LT"/>
        </w:rPr>
        <w:t xml:space="preserve"> gaus leidimą gaminti elektros energiją, arba operatorius turės teisę pasinaudoti gamintojo pateiktu prievolių įvykdymo užtikrinimu (EEĮ 211 straipsnio 3 dalis) (Lietuvos Aukščiausiojo Teismo 2024 m. spalio 23 d. nutartis civilinėje byloje </w:t>
      </w:r>
      <w:bookmarkStart w:id="23" w:name="n_5"/>
      <w:r w:rsidRPr="00235CC9">
        <w:rPr>
          <w:lang w:val="lt-LT"/>
        </w:rPr>
        <w:t>Nr. e3K-3-213-1075/2024</w:t>
      </w:r>
      <w:bookmarkEnd w:id="23"/>
      <w:r w:rsidRPr="00235CC9">
        <w:rPr>
          <w:lang w:val="lt-LT"/>
        </w:rPr>
        <w:t>, 55 punktas). </w:t>
      </w:r>
    </w:p>
    <w:p w14:paraId="6E8BB643" w14:textId="52F30F17" w:rsidR="00866F0B" w:rsidRPr="00235CC9" w:rsidRDefault="00866F0B" w:rsidP="00866F0B">
      <w:pPr>
        <w:pStyle w:val="list-paragraph"/>
        <w:numPr>
          <w:ilvl w:val="0"/>
          <w:numId w:val="40"/>
        </w:numPr>
        <w:spacing w:before="0" w:beforeAutospacing="0" w:after="120" w:afterAutospacing="0"/>
        <w:jc w:val="both"/>
        <w:rPr>
          <w:lang w:val="lt-LT"/>
        </w:rPr>
      </w:pPr>
      <w:r w:rsidRPr="00235CC9">
        <w:rPr>
          <w:rFonts w:eastAsia="Times New Roman"/>
          <w:lang w:val="lt-LT"/>
        </w:rPr>
        <w:t>EEĮ 22 straipsnio, reglamentuojančio gamintojų elektros energijos gamybos įrenginių prijungimą prie elektros tinklų, 1 dalyje įtvirtinta, kad gamintojų elektros energijos gamybos įrenginiai prijungiami prie elektros tinklų šiame įstatyme, Europos Sąjungos reglamentuose, reglamentuojančiuose elektros energijos gamybos įrenginių prijungimą prie elektros tinklų ir naudojimąsi elektros tinklais, ir jų įgyvendinamuosiuose teisės aktuose nustatyta tvarka ir sąlygomis. Pagal nurodyto straipsnio 2 dalį, tinklų operatorius parengia ir, suderinęs su Valstybine energetikos reguliavimo taryba, savo interneto svetainėje skelbia naudojimosi elektros tinklais tvarką. Ši tvarka grindžiama objektyviais, skaidriais ir nediskriminaciniais kriterijais, kuriais atsižvelgiama į visą naudą ir sąnaudas, susijusias su gamintojų elektros įrenginių prijungimu prie elektros tinklų, ir į konkrečias gamintojų, įsikūrusių atokiuose ir menkai apgyvendintuose regionuose, ūkinės veiklos aplinkybes. Pagal EEĮ 22 straipsnio 8 dalies 1</w:t>
      </w:r>
      <w:r w:rsidR="00F528C9">
        <w:rPr>
          <w:rFonts w:eastAsia="Times New Roman"/>
          <w:lang w:val="lt-LT"/>
        </w:rPr>
        <w:t> </w:t>
      </w:r>
      <w:r w:rsidRPr="00235CC9">
        <w:rPr>
          <w:rFonts w:eastAsia="Times New Roman"/>
          <w:lang w:val="lt-LT"/>
        </w:rPr>
        <w:t>punktą, parengti ir pateikti elektros tinklų operatoriui prašymą pasirašyti ketinimų protokolą privalo gamintojas, gavęs išankstines prijungimo sąlygas.</w:t>
      </w:r>
    </w:p>
    <w:p w14:paraId="31F43B5A" w14:textId="5EAEEA1F" w:rsidR="001E11A7" w:rsidRPr="00235CC9" w:rsidRDefault="00E2296D" w:rsidP="00866F0B">
      <w:pPr>
        <w:pStyle w:val="list-paragraph"/>
        <w:numPr>
          <w:ilvl w:val="0"/>
          <w:numId w:val="40"/>
        </w:numPr>
        <w:spacing w:before="0" w:beforeAutospacing="0" w:after="120" w:afterAutospacing="0"/>
        <w:jc w:val="both"/>
        <w:rPr>
          <w:lang w:val="lt-LT"/>
        </w:rPr>
      </w:pPr>
      <w:r>
        <w:rPr>
          <w:rFonts w:eastAsia="Times New Roman"/>
          <w:lang w:val="lt-LT"/>
        </w:rPr>
        <w:t>2022 PETA</w:t>
      </w:r>
      <w:r w:rsidR="001E11A7" w:rsidRPr="00235CC9">
        <w:rPr>
          <w:rFonts w:eastAsia="Times New Roman"/>
          <w:lang w:val="lt-LT"/>
        </w:rPr>
        <w:t xml:space="preserve"> IV skyrius taip pat reglamentuoja ketinimų protokolo sudarymą. Jo 17 punkte nustatyta, kad prašymą pasirašyti ketinimų protokolą gamintojas operatoriui teikia, turėdamas galiojančias išankstines prijungimo sąlygas ir apsisprendęs dėl investicijų tikslingumo. </w:t>
      </w:r>
      <w:r>
        <w:rPr>
          <w:rFonts w:eastAsia="Times New Roman"/>
          <w:lang w:val="lt-LT"/>
        </w:rPr>
        <w:t>2022 PETA</w:t>
      </w:r>
      <w:r w:rsidR="001E11A7" w:rsidRPr="00235CC9">
        <w:rPr>
          <w:rFonts w:eastAsia="Times New Roman"/>
          <w:lang w:val="lt-LT"/>
        </w:rPr>
        <w:t xml:space="preserve"> 19 punkte nurodyta, kad ketinimų protokolas gali būti sudaromas tik tokiu atveju, jei gamintojui išduotose išankstinėse prijungimo sąlygose nurodytai planuojamai įrengtosios galios elektrinei prijungti esamas elektros tinklų pralaidumas prašymo sudaryti ketinimų protokolą metu yra pakankamas. Operatorius, gavęs gamintojo prašymą pasirašyti ketinimų protokolą (su visa reikalaujama pateikti informacija, nurodyta šio </w:t>
      </w:r>
      <w:r>
        <w:rPr>
          <w:rFonts w:eastAsia="Times New Roman"/>
          <w:lang w:val="lt-LT"/>
        </w:rPr>
        <w:t>a</w:t>
      </w:r>
      <w:r w:rsidR="001E11A7" w:rsidRPr="00235CC9">
        <w:rPr>
          <w:rFonts w:eastAsia="Times New Roman"/>
          <w:lang w:val="lt-LT"/>
        </w:rPr>
        <w:t xml:space="preserve">prašo 18 punkte), įvertinęs galimus rezervuoti pralaidumus bei galimas juos rezervuoti sąlygas, nustatytas šio </w:t>
      </w:r>
      <w:r>
        <w:rPr>
          <w:rFonts w:eastAsia="Times New Roman"/>
          <w:lang w:val="lt-LT"/>
        </w:rPr>
        <w:t>a</w:t>
      </w:r>
      <w:r w:rsidR="001E11A7" w:rsidRPr="00235CC9">
        <w:rPr>
          <w:rFonts w:eastAsia="Times New Roman"/>
          <w:lang w:val="lt-LT"/>
        </w:rPr>
        <w:t>prašo 19 punkte, per 20 kalendorinių dienų parengia ir elektroniniu paštu pateikia gamintojui ketinimų protokolo projektą (4 ir 5 priedai) bei paskiria laiko intervalą pasirašyti ketinimų protokolą vienu iš 21.1–21.3 punktuose nurodytų būdų (21 punktas).</w:t>
      </w:r>
    </w:p>
    <w:p w14:paraId="4BAD3852" w14:textId="55A09171" w:rsidR="001E11A7" w:rsidRPr="00235CC9" w:rsidRDefault="001E11A7" w:rsidP="00866F0B">
      <w:pPr>
        <w:pStyle w:val="list-paragraph"/>
        <w:numPr>
          <w:ilvl w:val="0"/>
          <w:numId w:val="40"/>
        </w:numPr>
        <w:spacing w:before="0" w:beforeAutospacing="0" w:after="120" w:afterAutospacing="0"/>
        <w:jc w:val="both"/>
        <w:rPr>
          <w:lang w:val="lt-LT"/>
        </w:rPr>
      </w:pPr>
      <w:r w:rsidRPr="00235CC9">
        <w:rPr>
          <w:rFonts w:eastAsia="Times New Roman"/>
          <w:lang w:val="lt-LT"/>
        </w:rPr>
        <w:t xml:space="preserve">Kasacinio teismo praktikoje konstatuota, kad </w:t>
      </w:r>
      <w:r w:rsidR="00F9447D" w:rsidRPr="00235CC9">
        <w:rPr>
          <w:rFonts w:eastAsia="Times New Roman"/>
          <w:lang w:val="lt-LT"/>
        </w:rPr>
        <w:t>a</w:t>
      </w:r>
      <w:r w:rsidRPr="00235CC9">
        <w:rPr>
          <w:rFonts w:eastAsia="Times New Roman"/>
          <w:lang w:val="lt-LT"/>
        </w:rPr>
        <w:t xml:space="preserve">ptartos EEĮ ir </w:t>
      </w:r>
      <w:r w:rsidR="00E2296D">
        <w:rPr>
          <w:rFonts w:eastAsia="Times New Roman"/>
          <w:lang w:val="lt-LT"/>
        </w:rPr>
        <w:t>2022 PETA</w:t>
      </w:r>
      <w:r w:rsidRPr="00235CC9">
        <w:rPr>
          <w:rFonts w:eastAsia="Times New Roman"/>
          <w:lang w:val="lt-LT"/>
        </w:rPr>
        <w:t xml:space="preserve"> nuostatos sudaro pagrindą išvadai, jog tam, kad pagal gamintojo prašymą būtų pasirašytas ketinimų protokolas, pirma, gamintojas privalo turėti galiojančias išankstines prijungimo sąlygas (EEĮ 22 straipsnio 8 dalies 1 punktas, </w:t>
      </w:r>
      <w:r w:rsidR="00E2296D">
        <w:rPr>
          <w:rFonts w:eastAsia="Times New Roman"/>
          <w:lang w:val="lt-LT"/>
        </w:rPr>
        <w:t>2022 PETA</w:t>
      </w:r>
      <w:r w:rsidRPr="00235CC9">
        <w:rPr>
          <w:rFonts w:eastAsia="Times New Roman"/>
          <w:lang w:val="lt-LT"/>
        </w:rPr>
        <w:t xml:space="preserve"> 17 punktas); antra, prašymas pasirašyti ketinimų protokolą turi atitikti EEĮ ir </w:t>
      </w:r>
      <w:r w:rsidR="00E2296D">
        <w:rPr>
          <w:rFonts w:eastAsia="Times New Roman"/>
          <w:lang w:val="lt-LT"/>
        </w:rPr>
        <w:t>2022 PETA</w:t>
      </w:r>
      <w:r w:rsidRPr="00235CC9">
        <w:rPr>
          <w:rFonts w:eastAsia="Times New Roman"/>
          <w:lang w:val="lt-LT"/>
        </w:rPr>
        <w:t xml:space="preserve"> nustatytus reikalavimus, prie prašymo privalo būti pridėti nurodyti dokumentai (EEĮ 22</w:t>
      </w:r>
      <w:r w:rsidR="00F528C9">
        <w:rPr>
          <w:rFonts w:eastAsia="Times New Roman"/>
          <w:lang w:val="lt-LT"/>
        </w:rPr>
        <w:t> </w:t>
      </w:r>
      <w:r w:rsidRPr="00235CC9">
        <w:rPr>
          <w:rFonts w:eastAsia="Times New Roman"/>
          <w:lang w:val="lt-LT"/>
        </w:rPr>
        <w:t xml:space="preserve">straipsnio 93 dalis, </w:t>
      </w:r>
      <w:r w:rsidR="00E2296D">
        <w:rPr>
          <w:rFonts w:eastAsia="Times New Roman"/>
          <w:lang w:val="lt-LT"/>
        </w:rPr>
        <w:t>2022 PETA</w:t>
      </w:r>
      <w:r w:rsidRPr="00235CC9">
        <w:rPr>
          <w:rFonts w:eastAsia="Times New Roman"/>
          <w:lang w:val="lt-LT"/>
        </w:rPr>
        <w:t xml:space="preserve"> 18 punktas); trečia, gamintojui išduotose išankstinėse prijungimo sąlygose nurodytai planuojamai įrengtosios galios elektrinei prijungti esamas elektros tinklų pralaidumas prašymo sudaryti ketinimų protokolą metu yra pakankamas (</w:t>
      </w:r>
      <w:r w:rsidR="00E2296D">
        <w:rPr>
          <w:rFonts w:eastAsia="Times New Roman"/>
          <w:lang w:val="lt-LT"/>
        </w:rPr>
        <w:t>2022 PETA</w:t>
      </w:r>
      <w:r w:rsidRPr="00235CC9">
        <w:rPr>
          <w:rFonts w:eastAsia="Times New Roman"/>
          <w:lang w:val="lt-LT"/>
        </w:rPr>
        <w:t xml:space="preserve"> 19 punktas) ir, ketvirta, ketinimų protokolą siekiantis pasirašyti asmuo ir (ar) ketinimų protokolo pasirašymas nekelia rizikos ar atitinka nacionalinio saugumo interesus (EEĮ 73</w:t>
      </w:r>
      <w:r w:rsidRPr="00235CC9">
        <w:rPr>
          <w:rFonts w:eastAsia="Times New Roman"/>
          <w:vertAlign w:val="superscript"/>
          <w:lang w:val="lt-LT"/>
        </w:rPr>
        <w:t>2</w:t>
      </w:r>
      <w:r w:rsidRPr="00235CC9">
        <w:rPr>
          <w:rFonts w:eastAsia="Times New Roman"/>
          <w:lang w:val="lt-LT"/>
        </w:rPr>
        <w:t> straipsnis)</w:t>
      </w:r>
      <w:r w:rsidR="00F9447D" w:rsidRPr="00235CC9">
        <w:rPr>
          <w:rFonts w:eastAsia="Times New Roman"/>
          <w:lang w:val="lt-LT"/>
        </w:rPr>
        <w:t xml:space="preserve"> (Lietuvos Aukščiausiojo Teismo 2025 m. sausio 9 d. nutartis civilinėje byloje Nr.e3K-3-26-611/2025, 34</w:t>
      </w:r>
      <w:r w:rsidR="00F528C9">
        <w:rPr>
          <w:rFonts w:eastAsia="Times New Roman"/>
          <w:lang w:val="lt-LT"/>
        </w:rPr>
        <w:t> </w:t>
      </w:r>
      <w:r w:rsidR="00F9447D" w:rsidRPr="00235CC9">
        <w:rPr>
          <w:rFonts w:eastAsia="Times New Roman"/>
          <w:lang w:val="lt-LT"/>
        </w:rPr>
        <w:t xml:space="preserve">punktas). </w:t>
      </w:r>
    </w:p>
    <w:p w14:paraId="76A8213D" w14:textId="3DF8B4B8" w:rsidR="008736FB" w:rsidRPr="00235CC9" w:rsidRDefault="00D52DA8" w:rsidP="00111D46">
      <w:pPr>
        <w:pStyle w:val="Sraopastraipa"/>
        <w:numPr>
          <w:ilvl w:val="0"/>
          <w:numId w:val="40"/>
        </w:numPr>
        <w:spacing w:after="120" w:line="240" w:lineRule="auto"/>
        <w:contextualSpacing w:val="0"/>
        <w:jc w:val="both"/>
        <w:rPr>
          <w:rFonts w:ascii="Times New Roman" w:eastAsiaTheme="minorEastAsia" w:hAnsi="Times New Roman"/>
          <w:color w:val="auto"/>
          <w:sz w:val="24"/>
          <w:szCs w:val="24"/>
          <w:lang w:eastAsia="en-US"/>
        </w:rPr>
      </w:pPr>
      <w:r w:rsidRPr="00235CC9">
        <w:rPr>
          <w:rFonts w:ascii="Times New Roman" w:eastAsiaTheme="minorEastAsia" w:hAnsi="Times New Roman"/>
          <w:color w:val="auto"/>
          <w:sz w:val="24"/>
          <w:szCs w:val="24"/>
          <w:lang w:eastAsia="en-US"/>
        </w:rPr>
        <w:t xml:space="preserve">Taigi, </w:t>
      </w:r>
      <w:r w:rsidR="009C2762" w:rsidRPr="00235CC9">
        <w:rPr>
          <w:rFonts w:ascii="Times New Roman" w:eastAsiaTheme="minorEastAsia" w:hAnsi="Times New Roman"/>
          <w:color w:val="auto"/>
          <w:sz w:val="24"/>
          <w:szCs w:val="24"/>
          <w:lang w:eastAsia="en-US"/>
        </w:rPr>
        <w:t>2022 PETA 19 punkte buvo nu</w:t>
      </w:r>
      <w:r w:rsidR="00E91949">
        <w:rPr>
          <w:rFonts w:ascii="Times New Roman" w:eastAsiaTheme="minorEastAsia" w:hAnsi="Times New Roman"/>
          <w:color w:val="auto"/>
          <w:sz w:val="24"/>
          <w:szCs w:val="24"/>
          <w:lang w:eastAsia="en-US"/>
        </w:rPr>
        <w:t>stat</w:t>
      </w:r>
      <w:r w:rsidR="009C2762" w:rsidRPr="00235CC9">
        <w:rPr>
          <w:rFonts w:ascii="Times New Roman" w:eastAsiaTheme="minorEastAsia" w:hAnsi="Times New Roman"/>
          <w:color w:val="auto"/>
          <w:sz w:val="24"/>
          <w:szCs w:val="24"/>
          <w:lang w:eastAsia="en-US"/>
        </w:rPr>
        <w:t>yt</w:t>
      </w:r>
      <w:r w:rsidRPr="00235CC9">
        <w:rPr>
          <w:rFonts w:ascii="Times New Roman" w:eastAsiaTheme="minorEastAsia" w:hAnsi="Times New Roman"/>
          <w:color w:val="auto"/>
          <w:sz w:val="24"/>
          <w:szCs w:val="24"/>
          <w:lang w:eastAsia="en-US"/>
        </w:rPr>
        <w:t>a būtinoji</w:t>
      </w:r>
      <w:r w:rsidR="009C2762" w:rsidRPr="00235CC9">
        <w:rPr>
          <w:rFonts w:ascii="Times New Roman" w:eastAsiaTheme="minorEastAsia" w:hAnsi="Times New Roman"/>
          <w:color w:val="auto"/>
          <w:sz w:val="24"/>
          <w:szCs w:val="24"/>
          <w:lang w:eastAsia="en-US"/>
        </w:rPr>
        <w:t xml:space="preserve"> sąlyg</w:t>
      </w:r>
      <w:r w:rsidRPr="00235CC9">
        <w:rPr>
          <w:rFonts w:ascii="Times New Roman" w:eastAsiaTheme="minorEastAsia" w:hAnsi="Times New Roman"/>
          <w:color w:val="auto"/>
          <w:sz w:val="24"/>
          <w:szCs w:val="24"/>
          <w:lang w:eastAsia="en-US"/>
        </w:rPr>
        <w:t>a</w:t>
      </w:r>
      <w:r w:rsidR="009C2762" w:rsidRPr="00235CC9">
        <w:rPr>
          <w:rFonts w:ascii="Times New Roman" w:eastAsiaTheme="minorEastAsia" w:hAnsi="Times New Roman"/>
          <w:color w:val="auto"/>
          <w:sz w:val="24"/>
          <w:szCs w:val="24"/>
          <w:lang w:eastAsia="en-US"/>
        </w:rPr>
        <w:t>, kuri</w:t>
      </w:r>
      <w:r w:rsidRPr="00235CC9">
        <w:rPr>
          <w:rFonts w:ascii="Times New Roman" w:eastAsiaTheme="minorEastAsia" w:hAnsi="Times New Roman"/>
          <w:color w:val="auto"/>
          <w:sz w:val="24"/>
          <w:szCs w:val="24"/>
          <w:lang w:eastAsia="en-US"/>
        </w:rPr>
        <w:t>ai</w:t>
      </w:r>
      <w:r w:rsidR="009C2762" w:rsidRPr="00235CC9">
        <w:rPr>
          <w:rFonts w:ascii="Times New Roman" w:eastAsiaTheme="minorEastAsia" w:hAnsi="Times New Roman"/>
          <w:color w:val="auto"/>
          <w:sz w:val="24"/>
          <w:szCs w:val="24"/>
          <w:lang w:eastAsia="en-US"/>
        </w:rPr>
        <w:t xml:space="preserve"> esant ketinimų protokolas gali būti sudarytas</w:t>
      </w:r>
      <w:r w:rsidR="00F528C9">
        <w:rPr>
          <w:rFonts w:ascii="Times New Roman" w:eastAsiaTheme="minorEastAsia" w:hAnsi="Times New Roman"/>
          <w:color w:val="auto"/>
          <w:sz w:val="24"/>
          <w:szCs w:val="24"/>
          <w:lang w:eastAsia="en-US"/>
        </w:rPr>
        <w:t>,</w:t>
      </w:r>
      <w:r w:rsidRPr="00235CC9">
        <w:rPr>
          <w:rFonts w:ascii="Times New Roman" w:eastAsiaTheme="minorEastAsia" w:hAnsi="Times New Roman"/>
          <w:color w:val="auto"/>
          <w:sz w:val="24"/>
          <w:szCs w:val="24"/>
          <w:lang w:eastAsia="en-US"/>
        </w:rPr>
        <w:t xml:space="preserve"> </w:t>
      </w:r>
      <w:r w:rsidR="00F528C9">
        <w:rPr>
          <w:rFonts w:ascii="Times New Roman" w:eastAsiaTheme="minorEastAsia" w:hAnsi="Times New Roman"/>
          <w:color w:val="auto"/>
          <w:sz w:val="24"/>
          <w:szCs w:val="24"/>
          <w:lang w:eastAsia="en-US"/>
        </w:rPr>
        <w:t>–</w:t>
      </w:r>
      <w:r w:rsidRPr="00235CC9">
        <w:rPr>
          <w:rFonts w:ascii="Times New Roman" w:eastAsiaTheme="minorEastAsia" w:hAnsi="Times New Roman"/>
          <w:color w:val="auto"/>
          <w:sz w:val="24"/>
          <w:szCs w:val="24"/>
          <w:lang w:eastAsia="en-US"/>
        </w:rPr>
        <w:t xml:space="preserve"> </w:t>
      </w:r>
      <w:r w:rsidR="009C2762" w:rsidRPr="00235CC9">
        <w:rPr>
          <w:rFonts w:ascii="Times New Roman" w:eastAsiaTheme="minorEastAsia" w:hAnsi="Times New Roman"/>
          <w:color w:val="auto"/>
          <w:sz w:val="24"/>
          <w:szCs w:val="24"/>
          <w:lang w:eastAsia="en-US"/>
        </w:rPr>
        <w:t>gamintojui išduotose išankstinėse prijungimo sąlygose nurodytai planuojamai įrengtosios galios elektrinei prijungti esamas elektros tinklų pralaidumas prašymo sudaryti ketinimų protokolą metu yra pakankamas.</w:t>
      </w:r>
      <w:r w:rsidR="008736FB" w:rsidRPr="00235CC9">
        <w:rPr>
          <w:rFonts w:ascii="Times New Roman" w:eastAsiaTheme="minorEastAsia" w:hAnsi="Times New Roman"/>
          <w:color w:val="auto"/>
          <w:sz w:val="24"/>
          <w:szCs w:val="24"/>
          <w:lang w:eastAsia="en-US"/>
        </w:rPr>
        <w:t xml:space="preserve"> Tarp šalių kilęs ginčas</w:t>
      </w:r>
      <w:r w:rsidR="00F528C9">
        <w:rPr>
          <w:rFonts w:ascii="Times New Roman" w:eastAsiaTheme="minorEastAsia" w:hAnsi="Times New Roman"/>
          <w:color w:val="auto"/>
          <w:sz w:val="24"/>
          <w:szCs w:val="24"/>
          <w:lang w:eastAsia="en-US"/>
        </w:rPr>
        <w:t>,</w:t>
      </w:r>
      <w:r w:rsidR="008736FB" w:rsidRPr="00235CC9">
        <w:rPr>
          <w:rFonts w:ascii="Times New Roman" w:eastAsiaTheme="minorEastAsia" w:hAnsi="Times New Roman"/>
          <w:color w:val="auto"/>
          <w:sz w:val="24"/>
          <w:szCs w:val="24"/>
          <w:lang w:eastAsia="en-US"/>
        </w:rPr>
        <w:t xml:space="preserve"> ar prašymo sudaryti ketinimų protokolą metu prie 330 </w:t>
      </w:r>
      <w:proofErr w:type="spellStart"/>
      <w:r w:rsidR="008736FB" w:rsidRPr="00235CC9">
        <w:rPr>
          <w:rFonts w:ascii="Times New Roman" w:eastAsiaTheme="minorEastAsia" w:hAnsi="Times New Roman"/>
          <w:color w:val="auto"/>
          <w:sz w:val="24"/>
          <w:szCs w:val="24"/>
          <w:lang w:eastAsia="en-US"/>
        </w:rPr>
        <w:t>kV</w:t>
      </w:r>
      <w:proofErr w:type="spellEnd"/>
      <w:r w:rsidR="008736FB" w:rsidRPr="00235CC9">
        <w:rPr>
          <w:rFonts w:ascii="Times New Roman" w:eastAsiaTheme="minorEastAsia" w:hAnsi="Times New Roman"/>
          <w:color w:val="auto"/>
          <w:sz w:val="24"/>
          <w:szCs w:val="24"/>
          <w:lang w:eastAsia="en-US"/>
        </w:rPr>
        <w:t xml:space="preserve"> elektros linijos Utena–Panevėžys elektros tinklų pralaidumas buvo pakankamas 250 MW leistinos generuoti galios vėjo elektrin</w:t>
      </w:r>
      <w:r w:rsidR="0017069C">
        <w:rPr>
          <w:rFonts w:ascii="Times New Roman" w:eastAsiaTheme="minorEastAsia" w:hAnsi="Times New Roman"/>
          <w:color w:val="auto"/>
          <w:sz w:val="24"/>
          <w:szCs w:val="24"/>
          <w:lang w:eastAsia="en-US"/>
        </w:rPr>
        <w:t>ei prijungti</w:t>
      </w:r>
      <w:r w:rsidR="008736FB" w:rsidRPr="00235CC9">
        <w:rPr>
          <w:rFonts w:ascii="Times New Roman" w:eastAsiaTheme="minorEastAsia" w:hAnsi="Times New Roman"/>
          <w:color w:val="auto"/>
          <w:sz w:val="24"/>
          <w:szCs w:val="24"/>
          <w:lang w:eastAsia="en-US"/>
        </w:rPr>
        <w:t xml:space="preserve">. Byloje teismų nustatyta, kad 2022 m. gruodžio 19 d. ieškovė prie linijos galėjo būti prijunta tik taikant technines ar organizacines generuojamos galios ribojimo priemones. </w:t>
      </w:r>
    </w:p>
    <w:p w14:paraId="515E37E7" w14:textId="530EE867" w:rsidR="00111D46" w:rsidRPr="00235CC9" w:rsidRDefault="00111D46" w:rsidP="00111D46">
      <w:pPr>
        <w:pStyle w:val="Sraopastraipa"/>
        <w:numPr>
          <w:ilvl w:val="0"/>
          <w:numId w:val="40"/>
        </w:numPr>
        <w:spacing w:after="120" w:line="240" w:lineRule="auto"/>
        <w:contextualSpacing w:val="0"/>
        <w:jc w:val="both"/>
        <w:rPr>
          <w:rFonts w:ascii="Times New Roman" w:eastAsiaTheme="minorEastAsia" w:hAnsi="Times New Roman"/>
          <w:color w:val="auto"/>
          <w:sz w:val="24"/>
          <w:szCs w:val="24"/>
          <w:lang w:eastAsia="en-US"/>
        </w:rPr>
      </w:pPr>
      <w:r w:rsidRPr="00235CC9">
        <w:rPr>
          <w:rFonts w:ascii="Times New Roman" w:eastAsiaTheme="minorEastAsia" w:hAnsi="Times New Roman"/>
          <w:color w:val="auto"/>
          <w:sz w:val="24"/>
          <w:szCs w:val="24"/>
          <w:lang w:eastAsia="en-US"/>
        </w:rPr>
        <w:t>2022 m. gruodžio 19 d. galiojusio</w:t>
      </w:r>
      <w:r w:rsidR="0017069C">
        <w:rPr>
          <w:rFonts w:ascii="Times New Roman" w:eastAsiaTheme="minorEastAsia" w:hAnsi="Times New Roman"/>
          <w:color w:val="auto"/>
          <w:sz w:val="24"/>
          <w:szCs w:val="24"/>
          <w:lang w:eastAsia="en-US"/>
        </w:rPr>
        <w:t>s</w:t>
      </w:r>
      <w:r w:rsidRPr="00235CC9">
        <w:rPr>
          <w:rFonts w:ascii="Times New Roman" w:eastAsiaTheme="minorEastAsia" w:hAnsi="Times New Roman"/>
          <w:color w:val="auto"/>
          <w:sz w:val="24"/>
          <w:szCs w:val="24"/>
          <w:lang w:eastAsia="en-US"/>
        </w:rPr>
        <w:t xml:space="preserve"> 2022 PETA 93–93.3 punktai nu</w:t>
      </w:r>
      <w:r w:rsidR="00E91949">
        <w:rPr>
          <w:rFonts w:ascii="Times New Roman" w:eastAsiaTheme="minorEastAsia" w:hAnsi="Times New Roman"/>
          <w:color w:val="auto"/>
          <w:sz w:val="24"/>
          <w:szCs w:val="24"/>
          <w:lang w:eastAsia="en-US"/>
        </w:rPr>
        <w:t>stat</w:t>
      </w:r>
      <w:r w:rsidRPr="00235CC9">
        <w:rPr>
          <w:rFonts w:ascii="Times New Roman" w:eastAsiaTheme="minorEastAsia" w:hAnsi="Times New Roman"/>
          <w:color w:val="auto"/>
          <w:sz w:val="24"/>
          <w:szCs w:val="24"/>
          <w:lang w:eastAsia="en-US"/>
        </w:rPr>
        <w:t>ė, kad „</w:t>
      </w:r>
      <w:r w:rsidR="0017069C">
        <w:rPr>
          <w:rFonts w:ascii="Times New Roman" w:eastAsiaTheme="minorEastAsia" w:hAnsi="Times New Roman"/>
          <w:color w:val="auto"/>
          <w:sz w:val="24"/>
          <w:szCs w:val="24"/>
          <w:lang w:eastAsia="en-US"/>
        </w:rPr>
        <w:t>e</w:t>
      </w:r>
      <w:r w:rsidRPr="00235CC9">
        <w:rPr>
          <w:rFonts w:ascii="Times New Roman" w:eastAsiaTheme="minorEastAsia" w:hAnsi="Times New Roman"/>
          <w:color w:val="auto"/>
          <w:sz w:val="24"/>
          <w:szCs w:val="24"/>
          <w:lang w:eastAsia="en-US"/>
        </w:rPr>
        <w:t xml:space="preserve">lektros energijos, pagamintos iš atsinaujinančių energijos išteklių, persiuntimas elektros tinklais teisės aktų nustatyta tvarka gali būti ribojamas ar laikinai sustabdomas šiais atvejais: 93.1 esant energetikos sistemos avarinei situacijai; 93.2 elektros tinklų rekonstravimo, modernizavimo, remontų, profilaktikos, techninės priežiūros, bandymų, naujų įrenginių įrengimo ar jų įjungimo darbui atvejais, atjungimus suderinus su gamintoju Dispečerinio elektros energetikos sistemos valdymo nuostatuose nustatyta tvarka; 93.3 dėl kitų techninių priežasčių, kai nediskriminaciniais pagrindais ribojamas elektros tinklų pralaidumas“. Apeliacinės instancijos teismas </w:t>
      </w:r>
      <w:r w:rsidR="0017069C">
        <w:rPr>
          <w:rFonts w:ascii="Times New Roman" w:eastAsiaTheme="minorEastAsia" w:hAnsi="Times New Roman"/>
          <w:color w:val="auto"/>
          <w:sz w:val="24"/>
          <w:szCs w:val="24"/>
          <w:lang w:eastAsia="en-US"/>
        </w:rPr>
        <w:t>nu</w:t>
      </w:r>
      <w:r w:rsidRPr="00235CC9">
        <w:rPr>
          <w:rFonts w:ascii="Times New Roman" w:eastAsiaTheme="minorEastAsia" w:hAnsi="Times New Roman"/>
          <w:color w:val="auto"/>
          <w:sz w:val="24"/>
          <w:szCs w:val="24"/>
          <w:lang w:eastAsia="en-US"/>
        </w:rPr>
        <w:t>sprendė, kad pagal 2022 PETA 93 punktą galėjo būti taikomi ribojimai tik dėl objektyvių priežasčių (tinklo avarijos arba remonto darbų) arba dėl kitų techninių priežasčių, tačiau tik nediskriminaciniais pagrindais.</w:t>
      </w:r>
    </w:p>
    <w:p w14:paraId="3BFBE408" w14:textId="6C1A995E" w:rsidR="00325AC4" w:rsidRPr="00235CC9" w:rsidRDefault="00325AC4" w:rsidP="00D01277">
      <w:pPr>
        <w:pStyle w:val="Sraopastraipa"/>
        <w:numPr>
          <w:ilvl w:val="0"/>
          <w:numId w:val="40"/>
        </w:numPr>
        <w:spacing w:line="240" w:lineRule="auto"/>
        <w:contextualSpacing w:val="0"/>
        <w:jc w:val="both"/>
        <w:rPr>
          <w:rFonts w:ascii="Times New Roman" w:eastAsiaTheme="minorEastAsia" w:hAnsi="Times New Roman"/>
          <w:color w:val="auto"/>
          <w:sz w:val="24"/>
          <w:szCs w:val="24"/>
          <w:lang w:eastAsia="en-US"/>
        </w:rPr>
      </w:pPr>
      <w:r w:rsidRPr="00235CC9">
        <w:rPr>
          <w:rFonts w:ascii="Times New Roman" w:eastAsiaTheme="minorEastAsia" w:hAnsi="Times New Roman"/>
          <w:color w:val="auto"/>
          <w:sz w:val="24"/>
          <w:szCs w:val="24"/>
          <w:lang w:eastAsia="en-US"/>
        </w:rPr>
        <w:t xml:space="preserve">Priėmus naują PETA redakciją 2023 metais, ribojimai buvo </w:t>
      </w:r>
      <w:r w:rsidR="0017069C">
        <w:rPr>
          <w:rFonts w:ascii="Times New Roman" w:eastAsiaTheme="minorEastAsia" w:hAnsi="Times New Roman"/>
          <w:color w:val="auto"/>
          <w:sz w:val="24"/>
          <w:szCs w:val="24"/>
          <w:lang w:eastAsia="en-US"/>
        </w:rPr>
        <w:t>gerok</w:t>
      </w:r>
      <w:r w:rsidRPr="00235CC9">
        <w:rPr>
          <w:rFonts w:ascii="Times New Roman" w:eastAsiaTheme="minorEastAsia" w:hAnsi="Times New Roman"/>
          <w:color w:val="auto"/>
          <w:sz w:val="24"/>
          <w:szCs w:val="24"/>
          <w:lang w:eastAsia="en-US"/>
        </w:rPr>
        <w:t>ai išplėsti ir jų tikslas buvo sudaryti galimybę kuo didesniam ratui elektros gamintojų prisijungti prie elektros tinklo. 2023</w:t>
      </w:r>
      <w:r w:rsidR="0017069C">
        <w:rPr>
          <w:rFonts w:ascii="Times New Roman" w:eastAsiaTheme="minorEastAsia" w:hAnsi="Times New Roman"/>
          <w:color w:val="auto"/>
          <w:sz w:val="24"/>
          <w:szCs w:val="24"/>
          <w:lang w:eastAsia="en-US"/>
        </w:rPr>
        <w:t> </w:t>
      </w:r>
      <w:r w:rsidRPr="00235CC9">
        <w:rPr>
          <w:rFonts w:ascii="Times New Roman" w:eastAsiaTheme="minorEastAsia" w:hAnsi="Times New Roman"/>
          <w:color w:val="auto"/>
          <w:sz w:val="24"/>
          <w:szCs w:val="24"/>
          <w:lang w:eastAsia="en-US"/>
        </w:rPr>
        <w:t xml:space="preserve">PETA 25 punkte buvo įtvirtinti leistinos generuoti galios elektros įrenginių prijungimo prie elektros perdavimo tinklo principai: 1) elektros perdavimo tinkle išskiriamos susijusios perdavimo tinklo pastotės ir į šias pastotes prijungtos linijos; 2) prie PT zonos 100 </w:t>
      </w:r>
      <w:r w:rsidR="0017069C">
        <w:rPr>
          <w:rFonts w:ascii="Times New Roman" w:eastAsiaTheme="minorEastAsia" w:hAnsi="Times New Roman"/>
          <w:color w:val="auto"/>
          <w:sz w:val="24"/>
          <w:szCs w:val="24"/>
          <w:lang w:eastAsia="en-US"/>
        </w:rPr>
        <w:t>proc.</w:t>
      </w:r>
      <w:r w:rsidRPr="00235CC9">
        <w:rPr>
          <w:rFonts w:ascii="Times New Roman" w:eastAsiaTheme="minorEastAsia" w:hAnsi="Times New Roman"/>
          <w:color w:val="auto"/>
          <w:sz w:val="24"/>
          <w:szCs w:val="24"/>
          <w:lang w:eastAsia="en-US"/>
        </w:rPr>
        <w:t xml:space="preserve"> pralaidumo galios galima jungti: 2.1. 100 </w:t>
      </w:r>
      <w:r w:rsidR="0017069C">
        <w:rPr>
          <w:rFonts w:ascii="Times New Roman" w:eastAsiaTheme="minorEastAsia" w:hAnsi="Times New Roman"/>
          <w:color w:val="auto"/>
          <w:sz w:val="24"/>
          <w:szCs w:val="24"/>
          <w:lang w:eastAsia="en-US"/>
        </w:rPr>
        <w:t>proc.</w:t>
      </w:r>
      <w:r w:rsidRPr="00235CC9">
        <w:rPr>
          <w:rFonts w:ascii="Times New Roman" w:eastAsiaTheme="minorEastAsia" w:hAnsi="Times New Roman"/>
          <w:color w:val="auto"/>
          <w:sz w:val="24"/>
          <w:szCs w:val="24"/>
          <w:lang w:eastAsia="en-US"/>
        </w:rPr>
        <w:t xml:space="preserve"> saulės elektrinių leistinos generuoti galios; 2.2.</w:t>
      </w:r>
      <w:r w:rsidR="0017069C">
        <w:rPr>
          <w:rFonts w:ascii="Times New Roman" w:eastAsiaTheme="minorEastAsia" w:hAnsi="Times New Roman"/>
          <w:color w:val="auto"/>
          <w:sz w:val="24"/>
          <w:szCs w:val="24"/>
          <w:lang w:eastAsia="en-US"/>
        </w:rPr>
        <w:t> </w:t>
      </w:r>
      <w:r w:rsidRPr="00235CC9">
        <w:rPr>
          <w:rFonts w:ascii="Times New Roman" w:eastAsiaTheme="minorEastAsia" w:hAnsi="Times New Roman"/>
          <w:color w:val="auto"/>
          <w:sz w:val="24"/>
          <w:szCs w:val="24"/>
          <w:lang w:eastAsia="en-US"/>
        </w:rPr>
        <w:t xml:space="preserve">100 </w:t>
      </w:r>
      <w:r w:rsidR="0017069C">
        <w:rPr>
          <w:rFonts w:ascii="Times New Roman" w:eastAsiaTheme="minorEastAsia" w:hAnsi="Times New Roman"/>
          <w:color w:val="auto"/>
          <w:sz w:val="24"/>
          <w:szCs w:val="24"/>
          <w:lang w:eastAsia="en-US"/>
        </w:rPr>
        <w:t>proc.</w:t>
      </w:r>
      <w:r w:rsidRPr="00235CC9">
        <w:rPr>
          <w:rFonts w:ascii="Times New Roman" w:eastAsiaTheme="minorEastAsia" w:hAnsi="Times New Roman"/>
          <w:color w:val="auto"/>
          <w:sz w:val="24"/>
          <w:szCs w:val="24"/>
          <w:lang w:eastAsia="en-US"/>
        </w:rPr>
        <w:t xml:space="preserve"> vėjo elektrinių leistinos generuoti galios; 2.3. 100 </w:t>
      </w:r>
      <w:r w:rsidR="0017069C">
        <w:rPr>
          <w:rFonts w:ascii="Times New Roman" w:eastAsiaTheme="minorEastAsia" w:hAnsi="Times New Roman"/>
          <w:color w:val="auto"/>
          <w:sz w:val="24"/>
          <w:szCs w:val="24"/>
          <w:lang w:eastAsia="en-US"/>
        </w:rPr>
        <w:t>proc.</w:t>
      </w:r>
      <w:r w:rsidRPr="00235CC9">
        <w:rPr>
          <w:rFonts w:ascii="Times New Roman" w:eastAsiaTheme="minorEastAsia" w:hAnsi="Times New Roman"/>
          <w:color w:val="auto"/>
          <w:sz w:val="24"/>
          <w:szCs w:val="24"/>
          <w:lang w:eastAsia="en-US"/>
        </w:rPr>
        <w:t xml:space="preserve"> energijos kaupimo įrenginių leistinos generuoti galios. PETA 25.4 punkte nu</w:t>
      </w:r>
      <w:r w:rsidR="00E91949">
        <w:rPr>
          <w:rFonts w:ascii="Times New Roman" w:eastAsiaTheme="minorEastAsia" w:hAnsi="Times New Roman"/>
          <w:color w:val="auto"/>
          <w:sz w:val="24"/>
          <w:szCs w:val="24"/>
          <w:lang w:eastAsia="en-US"/>
        </w:rPr>
        <w:t>stat</w:t>
      </w:r>
      <w:r w:rsidRPr="00235CC9">
        <w:rPr>
          <w:rFonts w:ascii="Times New Roman" w:eastAsiaTheme="minorEastAsia" w:hAnsi="Times New Roman"/>
          <w:color w:val="auto"/>
          <w:sz w:val="24"/>
          <w:szCs w:val="24"/>
          <w:lang w:eastAsia="en-US"/>
        </w:rPr>
        <w:t>yta, kad prisijungusiems prie tinklo taikomi galimi generacijos ribojimai, nurodyti PETA 26 punkte. PETA 26 punkte nurodyta, kad Operatorius PETA 172 punkte nurodytais atvejais turi teisę taikyti šiuos generacijos (išskyrus A</w:t>
      </w:r>
      <w:r w:rsidR="009F7F28">
        <w:rPr>
          <w:rFonts w:ascii="Times New Roman" w:eastAsiaTheme="minorEastAsia" w:hAnsi="Times New Roman"/>
          <w:color w:val="auto"/>
          <w:sz w:val="24"/>
          <w:szCs w:val="24"/>
          <w:lang w:eastAsia="en-US"/>
        </w:rPr>
        <w:t> </w:t>
      </w:r>
      <w:r w:rsidRPr="00235CC9">
        <w:rPr>
          <w:rFonts w:ascii="Times New Roman" w:eastAsiaTheme="minorEastAsia" w:hAnsi="Times New Roman"/>
          <w:color w:val="auto"/>
          <w:sz w:val="24"/>
          <w:szCs w:val="24"/>
          <w:lang w:eastAsia="en-US"/>
        </w:rPr>
        <w:t xml:space="preserve">tipo elektrines) eksploatavimo ribojimus: 26.1. dėl perdavimo tinklo galimybių, kaip nurodyta PETA 172.1 ir 172.2 papunkčiuose. Vidutiniška ribojimų tikimybė iki 10 </w:t>
      </w:r>
      <w:r w:rsidR="0017069C">
        <w:rPr>
          <w:rFonts w:ascii="Times New Roman" w:eastAsiaTheme="minorEastAsia" w:hAnsi="Times New Roman"/>
          <w:color w:val="auto"/>
          <w:sz w:val="24"/>
          <w:szCs w:val="24"/>
          <w:lang w:eastAsia="en-US"/>
        </w:rPr>
        <w:t>proc.</w:t>
      </w:r>
      <w:r w:rsidRPr="00235CC9">
        <w:rPr>
          <w:rFonts w:ascii="Times New Roman" w:eastAsiaTheme="minorEastAsia" w:hAnsi="Times New Roman"/>
          <w:color w:val="auto"/>
          <w:sz w:val="24"/>
          <w:szCs w:val="24"/>
          <w:lang w:eastAsia="en-US"/>
        </w:rPr>
        <w:t xml:space="preserve"> pagaminamos energijos per metus normaliomis darbo sąlygomis (neįskaitant darbo perdavimo tinklo avarijų ir remontų bei rekonstrukcijų laikotarpi</w:t>
      </w:r>
      <w:r w:rsidR="0017069C">
        <w:rPr>
          <w:rFonts w:ascii="Times New Roman" w:eastAsiaTheme="minorEastAsia" w:hAnsi="Times New Roman"/>
          <w:color w:val="auto"/>
          <w:sz w:val="24"/>
          <w:szCs w:val="24"/>
          <w:lang w:eastAsia="en-US"/>
        </w:rPr>
        <w:t>ų</w:t>
      </w:r>
      <w:r w:rsidRPr="00235CC9">
        <w:rPr>
          <w:rFonts w:ascii="Times New Roman" w:eastAsiaTheme="minorEastAsia" w:hAnsi="Times New Roman"/>
          <w:color w:val="auto"/>
          <w:sz w:val="24"/>
          <w:szCs w:val="24"/>
          <w:lang w:eastAsia="en-US"/>
        </w:rPr>
        <w:t xml:space="preserve">); 26.2. dėl sistemos balanso galimybių, kaip nurodyta PETA 172.3 papunktyje. Prognozinius eksploatavimo ribojimus dėl sistemos balanso galimybių Operatorius skelbia Lietuvos elektros energetikos sistemos 400-110 </w:t>
      </w:r>
      <w:proofErr w:type="spellStart"/>
      <w:r w:rsidRPr="00235CC9">
        <w:rPr>
          <w:rFonts w:ascii="Times New Roman" w:eastAsiaTheme="minorEastAsia" w:hAnsi="Times New Roman"/>
          <w:color w:val="auto"/>
          <w:sz w:val="24"/>
          <w:szCs w:val="24"/>
          <w:lang w:eastAsia="en-US"/>
        </w:rPr>
        <w:t>kV</w:t>
      </w:r>
      <w:proofErr w:type="spellEnd"/>
      <w:r w:rsidRPr="00235CC9">
        <w:rPr>
          <w:rFonts w:ascii="Times New Roman" w:eastAsiaTheme="minorEastAsia" w:hAnsi="Times New Roman"/>
          <w:color w:val="auto"/>
          <w:sz w:val="24"/>
          <w:szCs w:val="24"/>
          <w:lang w:eastAsia="en-US"/>
        </w:rPr>
        <w:t xml:space="preserve"> tinklų plėtros plane s</w:t>
      </w:r>
      <w:r w:rsidR="009F7F28">
        <w:rPr>
          <w:rFonts w:ascii="Times New Roman" w:eastAsiaTheme="minorEastAsia" w:hAnsi="Times New Roman"/>
          <w:color w:val="auto"/>
          <w:sz w:val="24"/>
          <w:szCs w:val="24"/>
          <w:lang w:eastAsia="en-US"/>
        </w:rPr>
        <w:t>avo</w:t>
      </w:r>
      <w:r w:rsidRPr="00235CC9">
        <w:rPr>
          <w:rFonts w:ascii="Times New Roman" w:eastAsiaTheme="minorEastAsia" w:hAnsi="Times New Roman"/>
          <w:color w:val="auto"/>
          <w:sz w:val="24"/>
          <w:szCs w:val="24"/>
          <w:lang w:eastAsia="en-US"/>
        </w:rPr>
        <w:t xml:space="preserve"> tinkla</w:t>
      </w:r>
      <w:r w:rsidR="0017069C">
        <w:rPr>
          <w:rFonts w:ascii="Times New Roman" w:eastAsiaTheme="minorEastAsia" w:hAnsi="Times New Roman"/>
          <w:color w:val="auto"/>
          <w:sz w:val="24"/>
          <w:szCs w:val="24"/>
          <w:lang w:eastAsia="en-US"/>
        </w:rPr>
        <w:t>la</w:t>
      </w:r>
      <w:r w:rsidRPr="00235CC9">
        <w:rPr>
          <w:rFonts w:ascii="Times New Roman" w:eastAsiaTheme="minorEastAsia" w:hAnsi="Times New Roman"/>
          <w:color w:val="auto"/>
          <w:sz w:val="24"/>
          <w:szCs w:val="24"/>
          <w:lang w:eastAsia="en-US"/>
        </w:rPr>
        <w:t xml:space="preserve">pyje. </w:t>
      </w:r>
    </w:p>
    <w:p w14:paraId="25EFC7CB" w14:textId="537A95FF" w:rsidR="009C2762" w:rsidRPr="00235CC9" w:rsidRDefault="00D01277" w:rsidP="00D01277">
      <w:pPr>
        <w:pStyle w:val="Sraopastraipa"/>
        <w:numPr>
          <w:ilvl w:val="0"/>
          <w:numId w:val="40"/>
        </w:numPr>
        <w:spacing w:line="240" w:lineRule="auto"/>
        <w:contextualSpacing w:val="0"/>
        <w:jc w:val="both"/>
        <w:rPr>
          <w:rFonts w:ascii="Times New Roman" w:eastAsiaTheme="minorEastAsia" w:hAnsi="Times New Roman"/>
          <w:color w:val="auto"/>
          <w:sz w:val="24"/>
          <w:szCs w:val="24"/>
          <w:lang w:eastAsia="en-US"/>
        </w:rPr>
      </w:pPr>
      <w:r w:rsidRPr="00235CC9">
        <w:rPr>
          <w:rFonts w:ascii="Times New Roman" w:hAnsi="Times New Roman"/>
          <w:color w:val="auto"/>
          <w:sz w:val="24"/>
          <w:szCs w:val="24"/>
          <w:lang w:eastAsia="en-US"/>
        </w:rPr>
        <w:t>2023 PETA buvo įtvirtinti papildomi ribojimai, būtini dėl saulės ir vėjo elektrinių generavimo sutapties, kurių nenu</w:t>
      </w:r>
      <w:r w:rsidR="00E91949">
        <w:rPr>
          <w:rFonts w:ascii="Times New Roman" w:hAnsi="Times New Roman"/>
          <w:color w:val="auto"/>
          <w:sz w:val="24"/>
          <w:szCs w:val="24"/>
          <w:lang w:eastAsia="en-US"/>
        </w:rPr>
        <w:t>stat</w:t>
      </w:r>
      <w:r w:rsidRPr="00235CC9">
        <w:rPr>
          <w:rFonts w:ascii="Times New Roman" w:hAnsi="Times New Roman"/>
          <w:color w:val="auto"/>
          <w:sz w:val="24"/>
          <w:szCs w:val="24"/>
          <w:lang w:eastAsia="en-US"/>
        </w:rPr>
        <w:t xml:space="preserve">ė 2022 PETA. Be to, 2022 PETA apskritai </w:t>
      </w:r>
      <w:r w:rsidR="00E91949">
        <w:rPr>
          <w:rFonts w:ascii="Times New Roman" w:hAnsi="Times New Roman"/>
          <w:color w:val="auto"/>
          <w:sz w:val="24"/>
          <w:szCs w:val="24"/>
          <w:lang w:eastAsia="en-US"/>
        </w:rPr>
        <w:t>neįtvirtino</w:t>
      </w:r>
      <w:r w:rsidRPr="00235CC9">
        <w:rPr>
          <w:rFonts w:ascii="Times New Roman" w:hAnsi="Times New Roman"/>
          <w:color w:val="auto"/>
          <w:sz w:val="24"/>
          <w:szCs w:val="24"/>
          <w:lang w:eastAsia="en-US"/>
        </w:rPr>
        <w:t xml:space="preserve"> pralaidumų skaičiavimų principo, t. y. konkretus tinklo pralaidumas buvo skirstomas visų prie tinklo jungiamų įrenginių leistiną generuoti galią atimant iš bendro perdavimo tinklo pralaidumo. </w:t>
      </w:r>
      <w:r w:rsidR="00C918B3" w:rsidRPr="00235CC9">
        <w:rPr>
          <w:rFonts w:ascii="Times New Roman" w:hAnsi="Times New Roman"/>
          <w:color w:val="auto"/>
          <w:sz w:val="24"/>
          <w:szCs w:val="24"/>
          <w:lang w:eastAsia="en-US"/>
        </w:rPr>
        <w:t xml:space="preserve">Sutiktina su apeliacinės instancijos teismo išvada, jog </w:t>
      </w:r>
      <w:r w:rsidRPr="00235CC9">
        <w:rPr>
          <w:rFonts w:ascii="Times New Roman" w:hAnsi="Times New Roman"/>
          <w:color w:val="auto"/>
          <w:sz w:val="24"/>
          <w:szCs w:val="24"/>
          <w:lang w:eastAsia="en-US"/>
        </w:rPr>
        <w:t>tam, kad atsakovė 2022 metais būtų galėjusi prijungti ieškovę prie tinklo pagal esamą galingumą</w:t>
      </w:r>
      <w:r w:rsidR="0017069C">
        <w:rPr>
          <w:rFonts w:ascii="Times New Roman" w:hAnsi="Times New Roman"/>
          <w:color w:val="auto"/>
          <w:sz w:val="24"/>
          <w:szCs w:val="24"/>
          <w:lang w:eastAsia="en-US"/>
        </w:rPr>
        <w:t>,</w:t>
      </w:r>
      <w:r w:rsidRPr="00235CC9">
        <w:rPr>
          <w:rFonts w:ascii="Times New Roman" w:hAnsi="Times New Roman"/>
          <w:color w:val="auto"/>
          <w:sz w:val="24"/>
          <w:szCs w:val="24"/>
          <w:lang w:eastAsia="en-US"/>
        </w:rPr>
        <w:t xml:space="preserve"> reikėjo papildomų techninių galimybių ir atitinkamo teisinio reguliavimo, kuris </w:t>
      </w:r>
      <w:r w:rsidR="00EA4B4C">
        <w:rPr>
          <w:rFonts w:ascii="Times New Roman" w:hAnsi="Times New Roman"/>
          <w:color w:val="auto"/>
          <w:sz w:val="24"/>
          <w:szCs w:val="24"/>
          <w:lang w:eastAsia="en-US"/>
        </w:rPr>
        <w:t xml:space="preserve">būtų </w:t>
      </w:r>
      <w:r w:rsidRPr="00235CC9">
        <w:rPr>
          <w:rFonts w:ascii="Times New Roman" w:hAnsi="Times New Roman"/>
          <w:color w:val="auto"/>
          <w:sz w:val="24"/>
          <w:szCs w:val="24"/>
          <w:lang w:eastAsia="en-US"/>
        </w:rPr>
        <w:t>lei</w:t>
      </w:r>
      <w:r w:rsidR="00EA4B4C">
        <w:rPr>
          <w:rFonts w:ascii="Times New Roman" w:hAnsi="Times New Roman"/>
          <w:color w:val="auto"/>
          <w:sz w:val="24"/>
          <w:szCs w:val="24"/>
          <w:lang w:eastAsia="en-US"/>
        </w:rPr>
        <w:t>dęs</w:t>
      </w:r>
      <w:r w:rsidRPr="00235CC9">
        <w:rPr>
          <w:rFonts w:ascii="Times New Roman" w:hAnsi="Times New Roman"/>
          <w:color w:val="auto"/>
          <w:sz w:val="24"/>
          <w:szCs w:val="24"/>
          <w:lang w:eastAsia="en-US"/>
        </w:rPr>
        <w:t xml:space="preserve"> atsakovei taikyti technines priemones, tačiau to nenu</w:t>
      </w:r>
      <w:r w:rsidR="00E91949">
        <w:rPr>
          <w:rFonts w:ascii="Times New Roman" w:hAnsi="Times New Roman"/>
          <w:color w:val="auto"/>
          <w:sz w:val="24"/>
          <w:szCs w:val="24"/>
          <w:lang w:eastAsia="en-US"/>
        </w:rPr>
        <w:t>stat</w:t>
      </w:r>
      <w:r w:rsidRPr="00235CC9">
        <w:rPr>
          <w:rFonts w:ascii="Times New Roman" w:hAnsi="Times New Roman"/>
          <w:color w:val="auto"/>
          <w:sz w:val="24"/>
          <w:szCs w:val="24"/>
          <w:lang w:eastAsia="en-US"/>
        </w:rPr>
        <w:t>ė 2022 PETA, kurioje nebuvo nustatyta ribojimų riba, kriterijai, taigi ribojimai buvo neapibrėžti.</w:t>
      </w:r>
    </w:p>
    <w:p w14:paraId="3AFF1801" w14:textId="0CB487C7" w:rsidR="00EE2780" w:rsidRPr="00235CC9" w:rsidRDefault="00400573" w:rsidP="009A4990">
      <w:pPr>
        <w:pStyle w:val="Sraopastraipa"/>
        <w:numPr>
          <w:ilvl w:val="0"/>
          <w:numId w:val="40"/>
        </w:numPr>
        <w:spacing w:after="120" w:line="240" w:lineRule="auto"/>
        <w:contextualSpacing w:val="0"/>
        <w:jc w:val="both"/>
        <w:rPr>
          <w:rFonts w:ascii="Times New Roman" w:eastAsiaTheme="minorEastAsia" w:hAnsi="Times New Roman"/>
          <w:color w:val="auto"/>
          <w:sz w:val="24"/>
          <w:szCs w:val="24"/>
          <w:lang w:eastAsia="en-US"/>
        </w:rPr>
      </w:pPr>
      <w:r w:rsidRPr="00235CC9">
        <w:rPr>
          <w:rFonts w:ascii="Times New Roman" w:eastAsiaTheme="minorEastAsia" w:hAnsi="Times New Roman"/>
          <w:color w:val="auto"/>
          <w:sz w:val="24"/>
          <w:szCs w:val="24"/>
          <w:lang w:eastAsia="en-US"/>
        </w:rPr>
        <w:t>E</w:t>
      </w:r>
      <w:r w:rsidR="00EE2780" w:rsidRPr="00235CC9">
        <w:rPr>
          <w:rFonts w:ascii="Times New Roman" w:eastAsiaTheme="minorEastAsia" w:hAnsi="Times New Roman"/>
          <w:color w:val="auto"/>
          <w:sz w:val="24"/>
          <w:szCs w:val="24"/>
          <w:lang w:eastAsia="en-US"/>
        </w:rPr>
        <w:t>lektrinių, gaminančių elektros energiją iš atsinaujinančių išteklių, plėtra yra ūkinė komercinė veikla, kurios ribojimas turi būti aiškiai įtvirtintas teisės aktuose. Šiuo atveju asmenų, besiverčiančių elektrinių, gaminančių elektros energiją iš atsinaujinančių energijos išteklių, plėtra, ūkinės veiklos laisvė galėjo būti ribojama tik 2023 PETA įtvirtinus aiškias taisykles, kurių nebuvo 2022 PETA. 2022 PETA buvo įtvirtinti tik neapibrėžti ribojimai, iš esmės susiję su tinklo sistemos avarinėmis situacijomis, elektros tinklų rekonstravimu, modernizavimu, remont</w:t>
      </w:r>
      <w:r w:rsidR="00043EA8">
        <w:rPr>
          <w:rFonts w:ascii="Times New Roman" w:eastAsiaTheme="minorEastAsia" w:hAnsi="Times New Roman"/>
          <w:color w:val="auto"/>
          <w:sz w:val="24"/>
          <w:szCs w:val="24"/>
          <w:lang w:eastAsia="en-US"/>
        </w:rPr>
        <w:t>u</w:t>
      </w:r>
      <w:r w:rsidR="00EE2780" w:rsidRPr="00235CC9">
        <w:rPr>
          <w:rFonts w:ascii="Times New Roman" w:eastAsiaTheme="minorEastAsia" w:hAnsi="Times New Roman"/>
          <w:color w:val="auto"/>
          <w:sz w:val="24"/>
          <w:szCs w:val="24"/>
          <w:lang w:eastAsia="en-US"/>
        </w:rPr>
        <w:t>, profilaktikos, techninės priežiūros ir kitais darbais, tačiau nenu</w:t>
      </w:r>
      <w:r w:rsidR="00E91949">
        <w:rPr>
          <w:rFonts w:ascii="Times New Roman" w:eastAsiaTheme="minorEastAsia" w:hAnsi="Times New Roman"/>
          <w:color w:val="auto"/>
          <w:sz w:val="24"/>
          <w:szCs w:val="24"/>
          <w:lang w:eastAsia="en-US"/>
        </w:rPr>
        <w:t>stat</w:t>
      </w:r>
      <w:r w:rsidR="00EE2780" w:rsidRPr="00235CC9">
        <w:rPr>
          <w:rFonts w:ascii="Times New Roman" w:eastAsiaTheme="minorEastAsia" w:hAnsi="Times New Roman"/>
          <w:color w:val="auto"/>
          <w:sz w:val="24"/>
          <w:szCs w:val="24"/>
          <w:lang w:eastAsia="en-US"/>
        </w:rPr>
        <w:t>yti konkretūs ribojimai esant perteklin</w:t>
      </w:r>
      <w:r w:rsidR="00043EA8">
        <w:rPr>
          <w:rFonts w:ascii="Times New Roman" w:eastAsiaTheme="minorEastAsia" w:hAnsi="Times New Roman"/>
          <w:color w:val="auto"/>
          <w:sz w:val="24"/>
          <w:szCs w:val="24"/>
          <w:lang w:eastAsia="en-US"/>
        </w:rPr>
        <w:t>e</w:t>
      </w:r>
      <w:r w:rsidR="00EE2780" w:rsidRPr="00235CC9">
        <w:rPr>
          <w:rFonts w:ascii="Times New Roman" w:eastAsiaTheme="minorEastAsia" w:hAnsi="Times New Roman"/>
          <w:color w:val="auto"/>
          <w:sz w:val="24"/>
          <w:szCs w:val="24"/>
          <w:lang w:eastAsia="en-US"/>
        </w:rPr>
        <w:t>i elektros galiai. Todėl</w:t>
      </w:r>
      <w:r w:rsidR="0017069C">
        <w:rPr>
          <w:rFonts w:ascii="Times New Roman" w:eastAsiaTheme="minorEastAsia" w:hAnsi="Times New Roman"/>
          <w:color w:val="auto"/>
          <w:sz w:val="24"/>
          <w:szCs w:val="24"/>
          <w:lang w:eastAsia="en-US"/>
        </w:rPr>
        <w:t>,</w:t>
      </w:r>
      <w:r w:rsidR="00EE2780" w:rsidRPr="00235CC9">
        <w:rPr>
          <w:rFonts w:ascii="Times New Roman" w:eastAsiaTheme="minorEastAsia" w:hAnsi="Times New Roman"/>
          <w:color w:val="auto"/>
          <w:sz w:val="24"/>
          <w:szCs w:val="24"/>
          <w:lang w:eastAsia="en-US"/>
        </w:rPr>
        <w:t xml:space="preserve"> atsakovei sudarius ketinimų protokolą su ieškove pagal 2022</w:t>
      </w:r>
      <w:r w:rsidR="00EA4B4C">
        <w:rPr>
          <w:rFonts w:ascii="Times New Roman" w:eastAsiaTheme="minorEastAsia" w:hAnsi="Times New Roman"/>
          <w:color w:val="auto"/>
          <w:sz w:val="24"/>
          <w:szCs w:val="24"/>
          <w:lang w:eastAsia="en-US"/>
        </w:rPr>
        <w:t> </w:t>
      </w:r>
      <w:r w:rsidR="00EE2780" w:rsidRPr="00235CC9">
        <w:rPr>
          <w:rFonts w:ascii="Times New Roman" w:eastAsiaTheme="minorEastAsia" w:hAnsi="Times New Roman"/>
          <w:color w:val="auto"/>
          <w:sz w:val="24"/>
          <w:szCs w:val="24"/>
          <w:lang w:eastAsia="en-US"/>
        </w:rPr>
        <w:t xml:space="preserve">PETA išduotas sąlygas, ieškovei būtų </w:t>
      </w:r>
      <w:r w:rsidR="0017069C">
        <w:rPr>
          <w:rFonts w:ascii="Times New Roman" w:eastAsiaTheme="minorEastAsia" w:hAnsi="Times New Roman"/>
          <w:color w:val="auto"/>
          <w:sz w:val="24"/>
          <w:szCs w:val="24"/>
          <w:lang w:eastAsia="en-US"/>
        </w:rPr>
        <w:t xml:space="preserve">buvusios </w:t>
      </w:r>
      <w:r w:rsidR="00EE2780" w:rsidRPr="00235CC9">
        <w:rPr>
          <w:rFonts w:ascii="Times New Roman" w:eastAsiaTheme="minorEastAsia" w:hAnsi="Times New Roman"/>
          <w:color w:val="auto"/>
          <w:sz w:val="24"/>
          <w:szCs w:val="24"/>
          <w:lang w:eastAsia="en-US"/>
        </w:rPr>
        <w:t>sudarytos palankesnės sąlygos nei kitiems elektros gamintojams, kurie sąlygas gavo pagal 2023 PETA, o tai reikštų nediskriminavimo principo, įtvirtinto EEĮ, pažeidimą.</w:t>
      </w:r>
    </w:p>
    <w:p w14:paraId="18C6FC31" w14:textId="71366E59" w:rsidR="008736FB" w:rsidRPr="00235CC9" w:rsidRDefault="005C7750" w:rsidP="009A4990">
      <w:pPr>
        <w:pStyle w:val="Sraopastraipa"/>
        <w:numPr>
          <w:ilvl w:val="0"/>
          <w:numId w:val="40"/>
        </w:numPr>
        <w:spacing w:after="120" w:line="240" w:lineRule="auto"/>
        <w:contextualSpacing w:val="0"/>
        <w:jc w:val="both"/>
        <w:rPr>
          <w:rFonts w:ascii="Times New Roman" w:eastAsiaTheme="minorEastAsia" w:hAnsi="Times New Roman"/>
          <w:color w:val="auto"/>
          <w:sz w:val="24"/>
          <w:szCs w:val="24"/>
          <w:lang w:eastAsia="en-US"/>
        </w:rPr>
      </w:pPr>
      <w:r w:rsidRPr="00235CC9">
        <w:rPr>
          <w:rFonts w:ascii="Times New Roman" w:hAnsi="Times New Roman"/>
          <w:color w:val="auto"/>
          <w:sz w:val="24"/>
          <w:szCs w:val="24"/>
          <w:lang w:eastAsia="en-US"/>
        </w:rPr>
        <w:t xml:space="preserve">Toks aiškinimas išplaukia iš EEĮ 4 straipsnyje įtvirtinto elektros energetikos sektoriaus veiklos valstybinio valdymo, reguliavimo, priežiūros ir kontrolės grindimo, konkurencijos tarp rinkos dalyvių, nediskriminavimo, skaidrumo ir teisinio tikrumo principų, </w:t>
      </w:r>
      <w:r w:rsidR="005C6D53">
        <w:rPr>
          <w:rFonts w:ascii="Times New Roman" w:hAnsi="Times New Roman"/>
          <w:color w:val="auto"/>
          <w:sz w:val="24"/>
          <w:szCs w:val="24"/>
          <w:lang w:eastAsia="en-US"/>
        </w:rPr>
        <w:t xml:space="preserve">taip pat </w:t>
      </w:r>
      <w:r w:rsidRPr="00235CC9">
        <w:rPr>
          <w:rFonts w:ascii="Times New Roman" w:hAnsi="Times New Roman"/>
          <w:color w:val="auto"/>
          <w:sz w:val="24"/>
          <w:szCs w:val="24"/>
          <w:lang w:eastAsia="en-US"/>
        </w:rPr>
        <w:t xml:space="preserve">22 straipsnio 2 dalyje </w:t>
      </w:r>
      <w:r w:rsidR="005C6D53" w:rsidRPr="00235CC9">
        <w:rPr>
          <w:rFonts w:ascii="Times New Roman" w:hAnsi="Times New Roman"/>
          <w:color w:val="auto"/>
          <w:sz w:val="24"/>
          <w:szCs w:val="24"/>
          <w:lang w:eastAsia="en-US"/>
        </w:rPr>
        <w:t>įtvirtint</w:t>
      </w:r>
      <w:r w:rsidR="005C6D53">
        <w:rPr>
          <w:rFonts w:ascii="Times New Roman" w:hAnsi="Times New Roman"/>
          <w:color w:val="auto"/>
          <w:sz w:val="24"/>
          <w:szCs w:val="24"/>
          <w:lang w:eastAsia="en-US"/>
        </w:rPr>
        <w:t>os</w:t>
      </w:r>
      <w:r w:rsidR="005C6D53" w:rsidRPr="00235CC9">
        <w:rPr>
          <w:rFonts w:ascii="Times New Roman" w:hAnsi="Times New Roman"/>
          <w:color w:val="auto"/>
          <w:sz w:val="24"/>
          <w:szCs w:val="24"/>
          <w:lang w:eastAsia="en-US"/>
        </w:rPr>
        <w:t> </w:t>
      </w:r>
      <w:r w:rsidRPr="00235CC9">
        <w:rPr>
          <w:rFonts w:ascii="Times New Roman" w:hAnsi="Times New Roman"/>
          <w:color w:val="auto"/>
          <w:sz w:val="24"/>
          <w:szCs w:val="24"/>
          <w:lang w:eastAsia="en-US"/>
        </w:rPr>
        <w:t>naudojimosi elektros tinklais tvarkos grindimo objektyviais, skaidriais ir nediskriminaciniais kriterijais.</w:t>
      </w:r>
    </w:p>
    <w:p w14:paraId="01CB4AB2" w14:textId="0A96FF05" w:rsidR="009C2762" w:rsidRPr="00235CC9" w:rsidRDefault="004E7F11" w:rsidP="00524FB0">
      <w:pPr>
        <w:pStyle w:val="Sraopastraipa"/>
        <w:numPr>
          <w:ilvl w:val="0"/>
          <w:numId w:val="40"/>
        </w:numPr>
        <w:spacing w:after="120" w:line="240" w:lineRule="auto"/>
        <w:contextualSpacing w:val="0"/>
        <w:jc w:val="both"/>
        <w:rPr>
          <w:rFonts w:ascii="Times New Roman" w:eastAsiaTheme="minorEastAsia" w:hAnsi="Times New Roman"/>
          <w:color w:val="auto"/>
          <w:sz w:val="24"/>
          <w:szCs w:val="24"/>
          <w:lang w:eastAsia="en-US"/>
        </w:rPr>
      </w:pPr>
      <w:r w:rsidRPr="00235CC9">
        <w:rPr>
          <w:rFonts w:ascii="Times New Roman" w:eastAsiaTheme="minorEastAsia" w:hAnsi="Times New Roman"/>
          <w:color w:val="auto"/>
          <w:sz w:val="24"/>
          <w:szCs w:val="24"/>
          <w:lang w:eastAsia="en-US"/>
        </w:rPr>
        <w:t xml:space="preserve">Pralaidumų skaičiavimo taisyklė, pagrįsta </w:t>
      </w:r>
      <w:proofErr w:type="spellStart"/>
      <w:r w:rsidRPr="00235CC9">
        <w:rPr>
          <w:rFonts w:ascii="Times New Roman" w:eastAsiaTheme="minorEastAsia" w:hAnsi="Times New Roman"/>
          <w:color w:val="auto"/>
          <w:sz w:val="24"/>
          <w:szCs w:val="24"/>
          <w:lang w:eastAsia="en-US"/>
        </w:rPr>
        <w:t>nevienalaikiškumu</w:t>
      </w:r>
      <w:proofErr w:type="spellEnd"/>
      <w:r w:rsidRPr="00235CC9">
        <w:rPr>
          <w:rFonts w:ascii="Times New Roman" w:eastAsiaTheme="minorEastAsia" w:hAnsi="Times New Roman"/>
          <w:color w:val="auto"/>
          <w:sz w:val="24"/>
          <w:szCs w:val="24"/>
          <w:lang w:eastAsia="en-US"/>
        </w:rPr>
        <w:t xml:space="preserve">, buvo </w:t>
      </w:r>
      <w:r w:rsidR="00EA4B4C">
        <w:rPr>
          <w:rFonts w:ascii="Times New Roman" w:eastAsiaTheme="minorEastAsia" w:hAnsi="Times New Roman"/>
          <w:color w:val="auto"/>
          <w:sz w:val="24"/>
          <w:szCs w:val="24"/>
          <w:lang w:eastAsia="en-US"/>
        </w:rPr>
        <w:t>nustaty</w:t>
      </w:r>
      <w:r w:rsidR="00E91949">
        <w:rPr>
          <w:rFonts w:ascii="Times New Roman" w:eastAsiaTheme="minorEastAsia" w:hAnsi="Times New Roman"/>
          <w:color w:val="auto"/>
          <w:sz w:val="24"/>
          <w:szCs w:val="24"/>
          <w:lang w:eastAsia="en-US"/>
        </w:rPr>
        <w:t>ta</w:t>
      </w:r>
      <w:r w:rsidRPr="00235CC9">
        <w:rPr>
          <w:rFonts w:ascii="Times New Roman" w:eastAsiaTheme="minorEastAsia" w:hAnsi="Times New Roman"/>
          <w:color w:val="auto"/>
          <w:sz w:val="24"/>
          <w:szCs w:val="24"/>
          <w:lang w:eastAsia="en-US"/>
        </w:rPr>
        <w:t xml:space="preserve"> tik 2023 PETA, kuri įsigaliojo 2023 m. kovo 6 d. Taigi tuo metu, kai ieškovė pareiškė atsakovei prašymą sudaryti ketinimų protokolą, pagal galiojusią pralaidumų rezervavimo tvarką, nustatytą 2022 PETA, atsakovė tinklo pralaidumą galėjo skaičiuoti tik iš bendro perdavimo tinklo pralaidumo atimdama prie tinklo jungiamų įrenginių leistiną generuoti galią. Skaičiuojant pagal 2022 PETA</w:t>
      </w:r>
      <w:r w:rsidR="0017069C">
        <w:rPr>
          <w:rFonts w:ascii="Times New Roman" w:eastAsiaTheme="minorEastAsia" w:hAnsi="Times New Roman"/>
          <w:color w:val="auto"/>
          <w:sz w:val="24"/>
          <w:szCs w:val="24"/>
          <w:lang w:eastAsia="en-US"/>
        </w:rPr>
        <w:t>,</w:t>
      </w:r>
      <w:r w:rsidRPr="00235CC9">
        <w:rPr>
          <w:rFonts w:ascii="Times New Roman" w:eastAsiaTheme="minorEastAsia" w:hAnsi="Times New Roman"/>
          <w:color w:val="auto"/>
          <w:sz w:val="24"/>
          <w:szCs w:val="24"/>
          <w:lang w:eastAsia="en-US"/>
        </w:rPr>
        <w:t xml:space="preserve"> laisvas ir saugus pralaidumas vėjo elektrin</w:t>
      </w:r>
      <w:r w:rsidR="0017069C">
        <w:rPr>
          <w:rFonts w:ascii="Times New Roman" w:eastAsiaTheme="minorEastAsia" w:hAnsi="Times New Roman"/>
          <w:color w:val="auto"/>
          <w:sz w:val="24"/>
          <w:szCs w:val="24"/>
          <w:lang w:eastAsia="en-US"/>
        </w:rPr>
        <w:t>ei</w:t>
      </w:r>
      <w:r w:rsidRPr="00235CC9">
        <w:rPr>
          <w:rFonts w:ascii="Times New Roman" w:eastAsiaTheme="minorEastAsia" w:hAnsi="Times New Roman"/>
          <w:color w:val="auto"/>
          <w:sz w:val="24"/>
          <w:szCs w:val="24"/>
          <w:lang w:eastAsia="en-US"/>
        </w:rPr>
        <w:t xml:space="preserve"> prijung</w:t>
      </w:r>
      <w:r w:rsidR="0017069C">
        <w:rPr>
          <w:rFonts w:ascii="Times New Roman" w:eastAsiaTheme="minorEastAsia" w:hAnsi="Times New Roman"/>
          <w:color w:val="auto"/>
          <w:sz w:val="24"/>
          <w:szCs w:val="24"/>
          <w:lang w:eastAsia="en-US"/>
        </w:rPr>
        <w:t>ti</w:t>
      </w:r>
      <w:r w:rsidRPr="00235CC9">
        <w:rPr>
          <w:rFonts w:ascii="Times New Roman" w:eastAsiaTheme="minorEastAsia" w:hAnsi="Times New Roman"/>
          <w:color w:val="auto"/>
          <w:sz w:val="24"/>
          <w:szCs w:val="24"/>
          <w:lang w:eastAsia="en-US"/>
        </w:rPr>
        <w:t xml:space="preserve"> prie 330 </w:t>
      </w:r>
      <w:proofErr w:type="spellStart"/>
      <w:r w:rsidRPr="00235CC9">
        <w:rPr>
          <w:rFonts w:ascii="Times New Roman" w:eastAsiaTheme="minorEastAsia" w:hAnsi="Times New Roman"/>
          <w:color w:val="auto"/>
          <w:sz w:val="24"/>
          <w:szCs w:val="24"/>
          <w:lang w:eastAsia="en-US"/>
        </w:rPr>
        <w:t>kV</w:t>
      </w:r>
      <w:proofErr w:type="spellEnd"/>
      <w:r w:rsidRPr="00235CC9">
        <w:rPr>
          <w:rFonts w:ascii="Times New Roman" w:eastAsiaTheme="minorEastAsia" w:hAnsi="Times New Roman"/>
          <w:color w:val="auto"/>
          <w:sz w:val="24"/>
          <w:szCs w:val="24"/>
          <w:lang w:eastAsia="en-US"/>
        </w:rPr>
        <w:t xml:space="preserve"> elektros linijos Utena–Panevėžys 2022</w:t>
      </w:r>
      <w:r w:rsidR="0017069C">
        <w:rPr>
          <w:rFonts w:ascii="Times New Roman" w:eastAsiaTheme="minorEastAsia" w:hAnsi="Times New Roman"/>
          <w:color w:val="auto"/>
          <w:sz w:val="24"/>
          <w:szCs w:val="24"/>
          <w:lang w:eastAsia="en-US"/>
        </w:rPr>
        <w:t> </w:t>
      </w:r>
      <w:r w:rsidRPr="00235CC9">
        <w:rPr>
          <w:rFonts w:ascii="Times New Roman" w:eastAsiaTheme="minorEastAsia" w:hAnsi="Times New Roman"/>
          <w:color w:val="auto"/>
          <w:sz w:val="24"/>
          <w:szCs w:val="24"/>
          <w:lang w:eastAsia="en-US"/>
        </w:rPr>
        <w:t>m. gruodžio 19 d. buvo 120 MW, t.</w:t>
      </w:r>
      <w:r w:rsidR="009E3D55">
        <w:rPr>
          <w:rFonts w:ascii="Times New Roman" w:eastAsiaTheme="minorEastAsia" w:hAnsi="Times New Roman"/>
          <w:color w:val="auto"/>
          <w:sz w:val="24"/>
          <w:szCs w:val="24"/>
          <w:lang w:eastAsia="en-US"/>
        </w:rPr>
        <w:t xml:space="preserve"> </w:t>
      </w:r>
      <w:r w:rsidRPr="00235CC9">
        <w:rPr>
          <w:rFonts w:ascii="Times New Roman" w:eastAsiaTheme="minorEastAsia" w:hAnsi="Times New Roman"/>
          <w:color w:val="auto"/>
          <w:sz w:val="24"/>
          <w:szCs w:val="24"/>
          <w:lang w:eastAsia="en-US"/>
        </w:rPr>
        <w:t>y. egzistavo 2022 PETA 19 punkte nurodytos priežastys, dėl kurių ieškovės elektrinė prie elektros tinklų pagal įmonei išduotas išankstines prijungimo sąlygas negalėjo būti prijungta. Atsižvelgiant į tai, atsakovė pagrįstai atsisakė sudaryti ketinimų protokolą</w:t>
      </w:r>
      <w:r w:rsidR="00524FB0" w:rsidRPr="00235CC9">
        <w:rPr>
          <w:rFonts w:ascii="Times New Roman" w:eastAsiaTheme="minorEastAsia" w:hAnsi="Times New Roman"/>
          <w:color w:val="auto"/>
          <w:sz w:val="24"/>
          <w:szCs w:val="24"/>
          <w:lang w:eastAsia="en-US"/>
        </w:rPr>
        <w:t xml:space="preserve">, kadangi priešingas sprendimas būtų reiškęs individualių sąlygų taikymą ieškovei. </w:t>
      </w:r>
    </w:p>
    <w:p w14:paraId="0206F8CB" w14:textId="529252B0" w:rsidR="00524FB0" w:rsidRPr="00235CC9" w:rsidRDefault="00524FB0" w:rsidP="00524FB0">
      <w:pPr>
        <w:pStyle w:val="Sraopastraipa"/>
        <w:numPr>
          <w:ilvl w:val="0"/>
          <w:numId w:val="40"/>
        </w:numPr>
        <w:spacing w:after="120" w:line="240" w:lineRule="auto"/>
        <w:contextualSpacing w:val="0"/>
        <w:jc w:val="both"/>
        <w:rPr>
          <w:rFonts w:ascii="Times New Roman" w:eastAsiaTheme="minorEastAsia" w:hAnsi="Times New Roman"/>
          <w:color w:val="auto"/>
          <w:sz w:val="24"/>
          <w:szCs w:val="24"/>
          <w:lang w:eastAsia="en-US"/>
        </w:rPr>
      </w:pPr>
      <w:r w:rsidRPr="00235CC9">
        <w:rPr>
          <w:rFonts w:ascii="Times New Roman" w:eastAsiaTheme="minorEastAsia" w:hAnsi="Times New Roman"/>
          <w:color w:val="auto"/>
          <w:sz w:val="24"/>
          <w:szCs w:val="24"/>
          <w:lang w:eastAsia="en-US"/>
        </w:rPr>
        <w:t>Apibendrindama išdėstytus argumentus</w:t>
      </w:r>
      <w:r w:rsidR="0017069C">
        <w:rPr>
          <w:rFonts w:ascii="Times New Roman" w:eastAsiaTheme="minorEastAsia" w:hAnsi="Times New Roman"/>
          <w:color w:val="auto"/>
          <w:sz w:val="24"/>
          <w:szCs w:val="24"/>
          <w:lang w:eastAsia="en-US"/>
        </w:rPr>
        <w:t>,</w:t>
      </w:r>
      <w:r w:rsidRPr="00235CC9">
        <w:rPr>
          <w:rFonts w:ascii="Times New Roman" w:eastAsiaTheme="minorEastAsia" w:hAnsi="Times New Roman"/>
          <w:color w:val="auto"/>
          <w:sz w:val="24"/>
          <w:szCs w:val="24"/>
          <w:lang w:eastAsia="en-US"/>
        </w:rPr>
        <w:t xml:space="preserve"> teisėjų kolegija konstatuoja, kad nagrinėjamoje byloje sprendžiant</w:t>
      </w:r>
      <w:r w:rsidR="0017069C">
        <w:rPr>
          <w:rFonts w:ascii="Times New Roman" w:eastAsiaTheme="minorEastAsia" w:hAnsi="Times New Roman"/>
          <w:color w:val="auto"/>
          <w:sz w:val="24"/>
          <w:szCs w:val="24"/>
          <w:lang w:eastAsia="en-US"/>
        </w:rPr>
        <w:t>,</w:t>
      </w:r>
      <w:r w:rsidRPr="00235CC9">
        <w:rPr>
          <w:rFonts w:ascii="Times New Roman" w:eastAsiaTheme="minorEastAsia" w:hAnsi="Times New Roman"/>
          <w:color w:val="auto"/>
          <w:sz w:val="24"/>
          <w:szCs w:val="24"/>
          <w:lang w:eastAsia="en-US"/>
        </w:rPr>
        <w:t xml:space="preserve"> ar pagrįstai atsakovė atsisakė su ieškove sudaryti ketinimų protokolą, reikšmingos tik tos ginčo aplinkybės dėl elektros perdavimo tinklo pralaidumo, kurios egzistavo kilusio ginčo metu, t.</w:t>
      </w:r>
      <w:r w:rsidR="009E3D55">
        <w:rPr>
          <w:rFonts w:ascii="Times New Roman" w:eastAsiaTheme="minorEastAsia" w:hAnsi="Times New Roman"/>
          <w:color w:val="auto"/>
          <w:sz w:val="24"/>
          <w:szCs w:val="24"/>
          <w:lang w:eastAsia="en-US"/>
        </w:rPr>
        <w:t xml:space="preserve"> </w:t>
      </w:r>
      <w:r w:rsidRPr="00235CC9">
        <w:rPr>
          <w:rFonts w:ascii="Times New Roman" w:eastAsiaTheme="minorEastAsia" w:hAnsi="Times New Roman"/>
          <w:color w:val="auto"/>
          <w:sz w:val="24"/>
          <w:szCs w:val="24"/>
          <w:lang w:eastAsia="en-US"/>
        </w:rPr>
        <w:t>y. tuo metu, kai ieškovė pateikė prašymą atsakovei sudaryti ketinimų protokolą</w:t>
      </w:r>
      <w:r w:rsidR="00C8106E" w:rsidRPr="00235CC9">
        <w:rPr>
          <w:rFonts w:ascii="Times New Roman" w:eastAsiaTheme="minorEastAsia" w:hAnsi="Times New Roman"/>
          <w:color w:val="auto"/>
          <w:sz w:val="24"/>
          <w:szCs w:val="24"/>
          <w:lang w:eastAsia="en-US"/>
        </w:rPr>
        <w:t>, todėl bylą nagrinėję teismai pagrįstai atsakovės veiksmus vertino pagal prašymo pateikimo metu galiojusias 2022 PETA nuostatas.</w:t>
      </w:r>
    </w:p>
    <w:p w14:paraId="6766FC6D" w14:textId="77777777" w:rsidR="00524FB0" w:rsidRPr="00235CC9" w:rsidRDefault="00524FB0" w:rsidP="00153F61">
      <w:pPr>
        <w:spacing w:after="120"/>
        <w:jc w:val="both"/>
        <w:rPr>
          <w:rFonts w:eastAsiaTheme="minorEastAsia"/>
          <w:color w:val="auto"/>
          <w:lang w:eastAsia="en-US"/>
        </w:rPr>
      </w:pPr>
    </w:p>
    <w:p w14:paraId="0F6E3C16" w14:textId="77777777" w:rsidR="00BB34A4" w:rsidRDefault="00BB34A4" w:rsidP="00BB34A4">
      <w:pPr>
        <w:pStyle w:val="Sraopastraipa"/>
        <w:spacing w:after="120" w:line="240" w:lineRule="auto"/>
        <w:ind w:left="0" w:firstLine="720"/>
        <w:contextualSpacing w:val="0"/>
        <w:jc w:val="both"/>
        <w:rPr>
          <w:rFonts w:ascii="Times New Roman" w:hAnsi="Times New Roman"/>
          <w:i/>
          <w:iCs/>
          <w:color w:val="auto"/>
          <w:sz w:val="24"/>
          <w:szCs w:val="24"/>
          <w:lang w:eastAsia="en-US"/>
        </w:rPr>
      </w:pPr>
      <w:r w:rsidRPr="000B46A7">
        <w:rPr>
          <w:rFonts w:ascii="Times New Roman" w:hAnsi="Times New Roman"/>
          <w:i/>
          <w:iCs/>
          <w:color w:val="auto"/>
          <w:sz w:val="24"/>
          <w:szCs w:val="24"/>
          <w:lang w:eastAsia="en-US"/>
        </w:rPr>
        <w:t>Dėl bylos procesinės baigties ir bylinėjimosi išlaidų</w:t>
      </w:r>
    </w:p>
    <w:p w14:paraId="594DD507" w14:textId="77777777" w:rsidR="00BB34A4" w:rsidRPr="000B46A7" w:rsidRDefault="00BB34A4" w:rsidP="00BB34A4">
      <w:pPr>
        <w:pStyle w:val="Sraopastraipa"/>
        <w:spacing w:after="120" w:line="240" w:lineRule="auto"/>
        <w:ind w:left="0" w:firstLine="720"/>
        <w:contextualSpacing w:val="0"/>
        <w:jc w:val="both"/>
        <w:rPr>
          <w:rFonts w:ascii="Times New Roman" w:hAnsi="Times New Roman"/>
          <w:i/>
          <w:iCs/>
          <w:color w:val="auto"/>
          <w:sz w:val="24"/>
          <w:szCs w:val="24"/>
          <w:lang w:eastAsia="en-US"/>
        </w:rPr>
      </w:pPr>
    </w:p>
    <w:p w14:paraId="575A1850" w14:textId="0B5CF445" w:rsidR="00E5403C" w:rsidRPr="00E5403C" w:rsidRDefault="00BB34A4" w:rsidP="00066B5C">
      <w:pPr>
        <w:pStyle w:val="Sraopastraipa"/>
        <w:numPr>
          <w:ilvl w:val="0"/>
          <w:numId w:val="40"/>
        </w:numPr>
        <w:spacing w:after="120" w:line="240" w:lineRule="auto"/>
        <w:contextualSpacing w:val="0"/>
        <w:jc w:val="both"/>
        <w:rPr>
          <w:rFonts w:asciiTheme="majorBidi" w:hAnsiTheme="majorBidi" w:cstheme="majorBidi"/>
          <w:color w:val="auto"/>
          <w:sz w:val="24"/>
          <w:szCs w:val="24"/>
          <w:lang w:eastAsia="en-US"/>
        </w:rPr>
      </w:pPr>
      <w:r w:rsidRPr="00E5403C">
        <w:rPr>
          <w:rFonts w:ascii="Times New Roman" w:eastAsiaTheme="minorEastAsia" w:hAnsi="Times New Roman"/>
          <w:color w:val="auto"/>
          <w:sz w:val="24"/>
          <w:szCs w:val="24"/>
          <w:lang w:eastAsia="en-US"/>
        </w:rPr>
        <w:t xml:space="preserve">Remdamasi tuo, kas išdėstyta, teisėjų kolegija konstatuoja, kad teismai tinkamai taikė ir aiškino EEĮ ir </w:t>
      </w:r>
      <w:r w:rsidR="00E2296D">
        <w:rPr>
          <w:rFonts w:ascii="Times New Roman" w:eastAsiaTheme="minorEastAsia" w:hAnsi="Times New Roman"/>
          <w:color w:val="auto"/>
          <w:sz w:val="24"/>
          <w:szCs w:val="24"/>
          <w:lang w:eastAsia="en-US"/>
        </w:rPr>
        <w:t>2022 PETA</w:t>
      </w:r>
      <w:r w:rsidRPr="00E5403C">
        <w:rPr>
          <w:rFonts w:ascii="Times New Roman" w:eastAsiaTheme="minorEastAsia" w:hAnsi="Times New Roman"/>
          <w:color w:val="auto"/>
          <w:sz w:val="24"/>
          <w:szCs w:val="24"/>
          <w:lang w:eastAsia="en-US"/>
        </w:rPr>
        <w:t xml:space="preserve"> nuostatas, reglamentuojančias ketinimų protokolo pasirašymą, padarė pagrįstą išvadą, kad ketinimų protokolas su ieškove nepasirašytas esant teisiniam pagrindui, ieškovės ieškinys buvo atmestas pagrįstai, todėl teismų procesiniai sprendimai paliktini nepakeisti (CPK 359 straipsnio 1 dalies 1 punktas).</w:t>
      </w:r>
    </w:p>
    <w:p w14:paraId="341277C2" w14:textId="65323EB6" w:rsidR="00E5403C" w:rsidRDefault="00E5403C" w:rsidP="00066B5C">
      <w:pPr>
        <w:pStyle w:val="Sraopastraipa"/>
        <w:numPr>
          <w:ilvl w:val="0"/>
          <w:numId w:val="40"/>
        </w:numPr>
        <w:spacing w:after="120" w:line="240" w:lineRule="auto"/>
        <w:contextualSpacing w:val="0"/>
        <w:jc w:val="both"/>
        <w:rPr>
          <w:rFonts w:asciiTheme="majorBidi" w:hAnsiTheme="majorBidi" w:cstheme="majorBidi"/>
          <w:color w:val="auto"/>
          <w:sz w:val="24"/>
          <w:szCs w:val="24"/>
          <w:lang w:eastAsia="en-US"/>
        </w:rPr>
      </w:pPr>
      <w:r w:rsidRPr="00E5403C">
        <w:rPr>
          <w:rFonts w:asciiTheme="majorBidi" w:hAnsiTheme="majorBidi" w:cstheme="majorBidi"/>
          <w:color w:val="auto"/>
          <w:sz w:val="24"/>
          <w:szCs w:val="24"/>
          <w:lang w:eastAsia="en-US"/>
        </w:rPr>
        <w:t>Šaliai, kurios naudai priimtas sprendimas, jos turėtas bylinėjimosi išlaidas teismas priteisia iš antrosios šalies (CPK 93 straipsnio 1 dalis, 98 straipsnio 1 dalis). Ieškovės kasacinio skundo netenkinant, teisę į bylinėjimosi išlaidų atlyginimą įgijo atsakovė</w:t>
      </w:r>
      <w:r w:rsidR="00BA352B">
        <w:rPr>
          <w:rFonts w:asciiTheme="majorBidi" w:hAnsiTheme="majorBidi" w:cstheme="majorBidi"/>
          <w:color w:val="auto"/>
          <w:sz w:val="24"/>
          <w:szCs w:val="24"/>
          <w:lang w:eastAsia="en-US"/>
        </w:rPr>
        <w:t>, tačiau</w:t>
      </w:r>
      <w:r w:rsidR="00E91949">
        <w:rPr>
          <w:rFonts w:asciiTheme="majorBidi" w:hAnsiTheme="majorBidi" w:cstheme="majorBidi"/>
          <w:color w:val="auto"/>
          <w:sz w:val="24"/>
          <w:szCs w:val="24"/>
          <w:lang w:eastAsia="en-US"/>
        </w:rPr>
        <w:t xml:space="preserve"> prašymo atlyginti kasaciniame teisme patirtas bylinėjimosi išlaidas ji nepateikė.</w:t>
      </w:r>
    </w:p>
    <w:p w14:paraId="55223F0B" w14:textId="77777777" w:rsidR="00E5403C" w:rsidRPr="00E5403C" w:rsidRDefault="00E5403C" w:rsidP="00F24380">
      <w:pPr>
        <w:pStyle w:val="Sraopastraipa"/>
        <w:numPr>
          <w:ilvl w:val="0"/>
          <w:numId w:val="40"/>
        </w:numPr>
        <w:jc w:val="both"/>
        <w:rPr>
          <w:rFonts w:asciiTheme="majorBidi" w:hAnsiTheme="majorBidi" w:cstheme="majorBidi"/>
          <w:color w:val="auto"/>
          <w:sz w:val="24"/>
          <w:szCs w:val="24"/>
          <w:lang w:eastAsia="en-US"/>
        </w:rPr>
      </w:pPr>
      <w:r w:rsidRPr="00E5403C">
        <w:rPr>
          <w:rFonts w:asciiTheme="majorBidi" w:hAnsiTheme="majorBidi" w:cstheme="majorBidi"/>
          <w:color w:val="auto"/>
          <w:sz w:val="24"/>
          <w:szCs w:val="24"/>
          <w:lang w:eastAsia="en-US"/>
        </w:rPr>
        <w:t>Kasaciniame teisme bylinėjimosi išlaidų, susijusių su procesinių dokumentų įteikimu, nepatirta.</w:t>
      </w:r>
    </w:p>
    <w:p w14:paraId="35947F05" w14:textId="77777777" w:rsidR="00153F61" w:rsidRDefault="00153F61" w:rsidP="005C74FB">
      <w:pPr>
        <w:ind w:firstLine="720"/>
        <w:jc w:val="both"/>
        <w:rPr>
          <w:color w:val="auto"/>
          <w:lang w:eastAsia="en-US"/>
        </w:rPr>
      </w:pPr>
      <w:r w:rsidRPr="00235CC9">
        <w:rPr>
          <w:color w:val="auto"/>
          <w:lang w:eastAsia="en-US"/>
        </w:rPr>
        <w:t>Lietuvos Aukščiausiojo Teismo Civilinių bylų skyriaus teisėjų kolegija, vadovaudamasi Lietuvos Respublikos civilinio proceso kodekso 359 straipsnio 1 dalies 1 punktu, 362 straipsnio 1 dalimi,</w:t>
      </w:r>
    </w:p>
    <w:p w14:paraId="01CB39E7" w14:textId="77777777" w:rsidR="00E5403C" w:rsidRPr="00235CC9" w:rsidRDefault="00E5403C" w:rsidP="005C74FB">
      <w:pPr>
        <w:ind w:firstLine="720"/>
        <w:jc w:val="both"/>
        <w:rPr>
          <w:color w:val="auto"/>
          <w:lang w:eastAsia="en-US"/>
        </w:rPr>
      </w:pPr>
    </w:p>
    <w:p w14:paraId="1CD9BA1C" w14:textId="77777777" w:rsidR="00153F61" w:rsidRDefault="00153F61" w:rsidP="005C74FB">
      <w:pPr>
        <w:jc w:val="both"/>
        <w:rPr>
          <w:color w:val="auto"/>
          <w:lang w:eastAsia="en-US"/>
        </w:rPr>
      </w:pPr>
      <w:r w:rsidRPr="00235CC9">
        <w:rPr>
          <w:color w:val="auto"/>
          <w:lang w:eastAsia="en-US"/>
        </w:rPr>
        <w:t>n u t a r i a :</w:t>
      </w:r>
    </w:p>
    <w:p w14:paraId="78D7AF4C" w14:textId="77777777" w:rsidR="00E5403C" w:rsidRPr="00235CC9" w:rsidRDefault="00E5403C" w:rsidP="005C74FB">
      <w:pPr>
        <w:jc w:val="both"/>
        <w:rPr>
          <w:color w:val="auto"/>
          <w:lang w:eastAsia="en-US"/>
        </w:rPr>
      </w:pPr>
    </w:p>
    <w:p w14:paraId="228A82F1" w14:textId="7384FB48" w:rsidR="00153F61" w:rsidRDefault="00153F61" w:rsidP="005C74FB">
      <w:pPr>
        <w:ind w:firstLine="720"/>
        <w:jc w:val="both"/>
        <w:rPr>
          <w:rFonts w:asciiTheme="majorBidi" w:hAnsiTheme="majorBidi" w:cstheme="majorBidi"/>
          <w:color w:val="auto"/>
          <w:lang w:eastAsia="en-US"/>
        </w:rPr>
      </w:pPr>
      <w:r w:rsidRPr="00235CC9">
        <w:rPr>
          <w:rFonts w:asciiTheme="majorBidi" w:hAnsiTheme="majorBidi" w:cstheme="majorBidi"/>
          <w:color w:val="auto"/>
          <w:lang w:eastAsia="en-US"/>
        </w:rPr>
        <w:t xml:space="preserve">Vilniaus apygardos teismo </w:t>
      </w:r>
      <w:r w:rsidR="00140F5B" w:rsidRPr="00140F5B">
        <w:rPr>
          <w:rFonts w:asciiTheme="majorBidi" w:hAnsiTheme="majorBidi" w:cstheme="majorBidi"/>
          <w:color w:val="auto"/>
          <w:lang w:eastAsia="en-US"/>
        </w:rPr>
        <w:t>Civilinių bylų skyriaus teisėjų kolegijos</w:t>
      </w:r>
      <w:r w:rsidR="00140F5B">
        <w:rPr>
          <w:rFonts w:asciiTheme="majorBidi" w:hAnsiTheme="majorBidi" w:cstheme="majorBidi"/>
          <w:color w:val="auto"/>
          <w:lang w:eastAsia="en-US"/>
        </w:rPr>
        <w:t xml:space="preserve"> </w:t>
      </w:r>
      <w:r w:rsidR="009F6099" w:rsidRPr="00235CC9">
        <w:rPr>
          <w:rFonts w:asciiTheme="majorBidi" w:hAnsiTheme="majorBidi" w:cstheme="majorBidi"/>
          <w:color w:val="auto"/>
          <w:lang w:eastAsia="en-US"/>
        </w:rPr>
        <w:t xml:space="preserve">2024 m. rugsėjo 24 d. nutartį palikti nepakeistą. </w:t>
      </w:r>
    </w:p>
    <w:p w14:paraId="01464DE3" w14:textId="785A0A84" w:rsidR="003D302B" w:rsidRDefault="00BD65F4" w:rsidP="005C74FB">
      <w:pPr>
        <w:ind w:firstLine="720"/>
        <w:jc w:val="both"/>
        <w:rPr>
          <w:rFonts w:asciiTheme="majorBidi" w:hAnsiTheme="majorBidi" w:cstheme="majorBidi"/>
          <w:color w:val="auto"/>
          <w:lang w:eastAsia="en-US"/>
        </w:rPr>
      </w:pPr>
      <w:r w:rsidRPr="00BD65F4">
        <w:rPr>
          <w:rFonts w:asciiTheme="majorBidi" w:hAnsiTheme="majorBidi" w:cstheme="majorBidi"/>
          <w:color w:val="auto"/>
          <w:lang w:eastAsia="en-US"/>
        </w:rPr>
        <w:t xml:space="preserve">Atsisakyti priimti atsakovės akcinės bendrovės </w:t>
      </w:r>
      <w:r>
        <w:rPr>
          <w:rFonts w:asciiTheme="majorBidi" w:hAnsiTheme="majorBidi" w:cstheme="majorBidi"/>
          <w:color w:val="auto"/>
          <w:lang w:eastAsia="en-US"/>
        </w:rPr>
        <w:t>LITGRID</w:t>
      </w:r>
      <w:r w:rsidRPr="00BD65F4">
        <w:rPr>
          <w:rFonts w:asciiTheme="majorBidi" w:hAnsiTheme="majorBidi" w:cstheme="majorBidi"/>
          <w:color w:val="auto"/>
          <w:lang w:eastAsia="en-US"/>
        </w:rPr>
        <w:t xml:space="preserve"> kartu su </w:t>
      </w:r>
      <w:r>
        <w:rPr>
          <w:rFonts w:asciiTheme="majorBidi" w:hAnsiTheme="majorBidi" w:cstheme="majorBidi"/>
          <w:color w:val="auto"/>
          <w:lang w:eastAsia="en-US"/>
        </w:rPr>
        <w:t>atsiliepimu į kasacinį skundą</w:t>
      </w:r>
      <w:r w:rsidRPr="00BD65F4">
        <w:rPr>
          <w:rFonts w:asciiTheme="majorBidi" w:hAnsiTheme="majorBidi" w:cstheme="majorBidi"/>
          <w:color w:val="auto"/>
          <w:lang w:eastAsia="en-US"/>
        </w:rPr>
        <w:t xml:space="preserve"> pateikt</w:t>
      </w:r>
      <w:r>
        <w:rPr>
          <w:rFonts w:asciiTheme="majorBidi" w:hAnsiTheme="majorBidi" w:cstheme="majorBidi"/>
          <w:color w:val="auto"/>
          <w:lang w:eastAsia="en-US"/>
        </w:rPr>
        <w:t>ą</w:t>
      </w:r>
      <w:r w:rsidRPr="00BD65F4">
        <w:rPr>
          <w:rFonts w:asciiTheme="majorBidi" w:hAnsiTheme="majorBidi" w:cstheme="majorBidi"/>
          <w:color w:val="auto"/>
          <w:lang w:eastAsia="en-US"/>
        </w:rPr>
        <w:t xml:space="preserve"> nauj</w:t>
      </w:r>
      <w:r>
        <w:rPr>
          <w:rFonts w:asciiTheme="majorBidi" w:hAnsiTheme="majorBidi" w:cstheme="majorBidi"/>
          <w:color w:val="auto"/>
          <w:lang w:eastAsia="en-US"/>
        </w:rPr>
        <w:t>ą</w:t>
      </w:r>
      <w:r w:rsidRPr="00BD65F4">
        <w:rPr>
          <w:rFonts w:asciiTheme="majorBidi" w:hAnsiTheme="majorBidi" w:cstheme="majorBidi"/>
          <w:color w:val="auto"/>
          <w:lang w:eastAsia="en-US"/>
        </w:rPr>
        <w:t xml:space="preserve"> rašytin</w:t>
      </w:r>
      <w:r>
        <w:rPr>
          <w:rFonts w:asciiTheme="majorBidi" w:hAnsiTheme="majorBidi" w:cstheme="majorBidi"/>
          <w:color w:val="auto"/>
          <w:lang w:eastAsia="en-US"/>
        </w:rPr>
        <w:t>į</w:t>
      </w:r>
      <w:r w:rsidRPr="00BD65F4">
        <w:rPr>
          <w:rFonts w:asciiTheme="majorBidi" w:hAnsiTheme="majorBidi" w:cstheme="majorBidi"/>
          <w:color w:val="auto"/>
          <w:lang w:eastAsia="en-US"/>
        </w:rPr>
        <w:t xml:space="preserve"> įrodym</w:t>
      </w:r>
      <w:r>
        <w:rPr>
          <w:rFonts w:asciiTheme="majorBidi" w:hAnsiTheme="majorBidi" w:cstheme="majorBidi"/>
          <w:color w:val="auto"/>
          <w:lang w:eastAsia="en-US"/>
        </w:rPr>
        <w:t>ą</w:t>
      </w:r>
      <w:r w:rsidRPr="00BD65F4">
        <w:rPr>
          <w:rFonts w:asciiTheme="majorBidi" w:hAnsiTheme="majorBidi" w:cstheme="majorBidi"/>
          <w:color w:val="auto"/>
          <w:lang w:eastAsia="en-US"/>
        </w:rPr>
        <w:t xml:space="preserve"> – </w:t>
      </w:r>
      <w:r>
        <w:rPr>
          <w:rFonts w:asciiTheme="majorBidi" w:hAnsiTheme="majorBidi" w:cstheme="majorBidi"/>
          <w:color w:val="auto"/>
          <w:lang w:eastAsia="en-US"/>
        </w:rPr>
        <w:t>uždarosios akcinės bendrovės</w:t>
      </w:r>
      <w:r w:rsidRPr="00BD65F4">
        <w:rPr>
          <w:rFonts w:asciiTheme="majorBidi" w:hAnsiTheme="majorBidi" w:cstheme="majorBidi"/>
          <w:color w:val="auto"/>
          <w:lang w:eastAsia="en-US"/>
        </w:rPr>
        <w:t xml:space="preserve"> „</w:t>
      </w:r>
      <w:proofErr w:type="spellStart"/>
      <w:r w:rsidRPr="00BD65F4">
        <w:rPr>
          <w:rFonts w:asciiTheme="majorBidi" w:hAnsiTheme="majorBidi" w:cstheme="majorBidi"/>
          <w:color w:val="auto"/>
          <w:lang w:eastAsia="en-US"/>
        </w:rPr>
        <w:t>Vašuokėnų</w:t>
      </w:r>
      <w:proofErr w:type="spellEnd"/>
      <w:r w:rsidRPr="00BD65F4">
        <w:rPr>
          <w:rFonts w:asciiTheme="majorBidi" w:hAnsiTheme="majorBidi" w:cstheme="majorBidi"/>
          <w:color w:val="auto"/>
          <w:lang w:eastAsia="en-US"/>
        </w:rPr>
        <w:t xml:space="preserve"> vėjas“ prašymą sudaryti ketinimų protokolą – ir j</w:t>
      </w:r>
      <w:r>
        <w:rPr>
          <w:rFonts w:asciiTheme="majorBidi" w:hAnsiTheme="majorBidi" w:cstheme="majorBidi"/>
          <w:color w:val="auto"/>
          <w:lang w:eastAsia="en-US"/>
        </w:rPr>
        <w:t>į</w:t>
      </w:r>
      <w:r w:rsidRPr="00BD65F4">
        <w:rPr>
          <w:rFonts w:asciiTheme="majorBidi" w:hAnsiTheme="majorBidi" w:cstheme="majorBidi"/>
          <w:color w:val="auto"/>
          <w:lang w:eastAsia="en-US"/>
        </w:rPr>
        <w:t xml:space="preserve"> grąžinti atsakovei.</w:t>
      </w:r>
    </w:p>
    <w:p w14:paraId="691C86B2" w14:textId="77777777" w:rsidR="009F6099" w:rsidRPr="00235CC9" w:rsidRDefault="009F6099" w:rsidP="005C74FB">
      <w:pPr>
        <w:ind w:firstLine="720"/>
        <w:jc w:val="both"/>
        <w:rPr>
          <w:color w:val="auto"/>
          <w:lang w:eastAsia="en-US"/>
        </w:rPr>
      </w:pPr>
      <w:r w:rsidRPr="00235CC9">
        <w:rPr>
          <w:color w:val="auto"/>
          <w:lang w:eastAsia="en-US"/>
        </w:rPr>
        <w:t>Ši Lietuvos Aukščiausiojo Teismo nutartis yra galutinė, neskundžiama ir įsiteisėja nuo priėmimo dienos.</w:t>
      </w:r>
    </w:p>
    <w:p w14:paraId="6CAA777C" w14:textId="77777777" w:rsidR="009F6099" w:rsidRDefault="009F6099" w:rsidP="005C74FB">
      <w:pPr>
        <w:jc w:val="both"/>
        <w:rPr>
          <w:color w:val="auto"/>
          <w:lang w:eastAsia="en-US"/>
        </w:rPr>
      </w:pPr>
    </w:p>
    <w:p w14:paraId="7A562352" w14:textId="77777777" w:rsidR="005C74FB" w:rsidRPr="00235CC9" w:rsidRDefault="005C74FB" w:rsidP="005C74FB">
      <w:pPr>
        <w:jc w:val="both"/>
        <w:rPr>
          <w:color w:val="auto"/>
          <w:lang w:eastAsia="en-US"/>
        </w:rPr>
      </w:pPr>
    </w:p>
    <w:p w14:paraId="27921AB5" w14:textId="23F48FD4" w:rsidR="006A0F24" w:rsidRDefault="009F6099" w:rsidP="005C74FB">
      <w:pPr>
        <w:jc w:val="both"/>
        <w:rPr>
          <w:color w:val="auto"/>
          <w:lang w:eastAsia="en-US"/>
        </w:rPr>
      </w:pPr>
      <w:r w:rsidRPr="00235CC9">
        <w:rPr>
          <w:color w:val="auto"/>
          <w:lang w:eastAsia="en-US"/>
        </w:rPr>
        <w:t xml:space="preserve">Teisėjai                                                                               </w:t>
      </w:r>
      <w:r w:rsidR="006A0F24" w:rsidRPr="00235CC9">
        <w:rPr>
          <w:color w:val="auto"/>
          <w:lang w:eastAsia="en-US"/>
        </w:rPr>
        <w:t xml:space="preserve">Goda </w:t>
      </w:r>
      <w:proofErr w:type="spellStart"/>
      <w:r w:rsidR="006A0F24" w:rsidRPr="00235CC9">
        <w:rPr>
          <w:color w:val="auto"/>
          <w:lang w:eastAsia="en-US"/>
        </w:rPr>
        <w:t>Ambrasaitė</w:t>
      </w:r>
      <w:proofErr w:type="spellEnd"/>
      <w:r w:rsidR="006A0F24" w:rsidRPr="00235CC9">
        <w:rPr>
          <w:color w:val="auto"/>
          <w:lang w:eastAsia="en-US"/>
        </w:rPr>
        <w:t>-Balynienė</w:t>
      </w:r>
    </w:p>
    <w:p w14:paraId="3C30832E" w14:textId="77777777" w:rsidR="00ED24E4" w:rsidRDefault="00ED24E4" w:rsidP="005C74FB">
      <w:pPr>
        <w:jc w:val="both"/>
        <w:rPr>
          <w:color w:val="auto"/>
          <w:lang w:eastAsia="en-US"/>
        </w:rPr>
      </w:pPr>
    </w:p>
    <w:p w14:paraId="450A85E4" w14:textId="77777777" w:rsidR="00ED24E4" w:rsidRPr="00235CC9" w:rsidRDefault="00ED24E4" w:rsidP="005C74FB">
      <w:pPr>
        <w:jc w:val="both"/>
        <w:rPr>
          <w:color w:val="auto"/>
          <w:lang w:eastAsia="en-US"/>
        </w:rPr>
      </w:pPr>
    </w:p>
    <w:p w14:paraId="182F7225" w14:textId="4165C0A1" w:rsidR="009F6099" w:rsidRDefault="006A0F24" w:rsidP="005C74FB">
      <w:pPr>
        <w:jc w:val="both"/>
        <w:rPr>
          <w:color w:val="auto"/>
          <w:lang w:eastAsia="en-US"/>
        </w:rPr>
      </w:pPr>
      <w:r w:rsidRPr="00235CC9">
        <w:rPr>
          <w:color w:val="auto"/>
          <w:lang w:eastAsia="en-US"/>
        </w:rPr>
        <w:t xml:space="preserve">                                                                                            Gražina </w:t>
      </w:r>
      <w:proofErr w:type="spellStart"/>
      <w:r w:rsidRPr="00235CC9">
        <w:rPr>
          <w:color w:val="auto"/>
          <w:lang w:eastAsia="en-US"/>
        </w:rPr>
        <w:t>Davidonienė</w:t>
      </w:r>
      <w:proofErr w:type="spellEnd"/>
    </w:p>
    <w:p w14:paraId="2F2795B5" w14:textId="77777777" w:rsidR="00ED24E4" w:rsidRDefault="00ED24E4" w:rsidP="005C74FB">
      <w:pPr>
        <w:jc w:val="both"/>
        <w:rPr>
          <w:color w:val="auto"/>
          <w:lang w:eastAsia="en-US"/>
        </w:rPr>
      </w:pPr>
    </w:p>
    <w:p w14:paraId="2B040A42" w14:textId="77777777" w:rsidR="00ED24E4" w:rsidRPr="00235CC9" w:rsidRDefault="00ED24E4" w:rsidP="005C74FB">
      <w:pPr>
        <w:jc w:val="both"/>
        <w:rPr>
          <w:color w:val="auto"/>
          <w:lang w:eastAsia="en-US"/>
        </w:rPr>
      </w:pPr>
    </w:p>
    <w:p w14:paraId="70F69624" w14:textId="44DF3658" w:rsidR="006A0F24" w:rsidRPr="00235CC9" w:rsidRDefault="006A0F24" w:rsidP="005C74FB">
      <w:pPr>
        <w:jc w:val="both"/>
        <w:rPr>
          <w:color w:val="auto"/>
          <w:lang w:eastAsia="en-US"/>
        </w:rPr>
      </w:pPr>
      <w:r w:rsidRPr="00235CC9">
        <w:rPr>
          <w:color w:val="auto"/>
          <w:lang w:eastAsia="en-US"/>
        </w:rPr>
        <w:t xml:space="preserve">                                                                                            Artūras </w:t>
      </w:r>
      <w:proofErr w:type="spellStart"/>
      <w:r w:rsidRPr="00235CC9">
        <w:rPr>
          <w:color w:val="auto"/>
          <w:lang w:eastAsia="en-US"/>
        </w:rPr>
        <w:t>Driukas</w:t>
      </w:r>
      <w:proofErr w:type="spellEnd"/>
    </w:p>
    <w:p w14:paraId="791681DE" w14:textId="165EE97F" w:rsidR="006A0F24" w:rsidRPr="00235CC9" w:rsidRDefault="006A0F24" w:rsidP="005C74FB">
      <w:pPr>
        <w:jc w:val="both"/>
        <w:rPr>
          <w:color w:val="auto"/>
          <w:lang w:eastAsia="en-US"/>
        </w:rPr>
      </w:pPr>
      <w:r w:rsidRPr="00235CC9">
        <w:rPr>
          <w:color w:val="auto"/>
          <w:lang w:eastAsia="en-US"/>
        </w:rPr>
        <w:t xml:space="preserve">                                                      </w:t>
      </w:r>
    </w:p>
    <w:p w14:paraId="487CFCD3" w14:textId="77777777" w:rsidR="009F6099" w:rsidRPr="00235CC9" w:rsidRDefault="009F6099" w:rsidP="00153F61">
      <w:pPr>
        <w:spacing w:before="100" w:beforeAutospacing="1" w:after="120"/>
        <w:jc w:val="both"/>
        <w:rPr>
          <w:rFonts w:asciiTheme="majorBidi" w:hAnsiTheme="majorBidi" w:cstheme="majorBidi"/>
          <w:color w:val="auto"/>
          <w:lang w:eastAsia="en-US"/>
        </w:rPr>
      </w:pPr>
    </w:p>
    <w:p w14:paraId="0EE94D07" w14:textId="77777777" w:rsidR="008B4DBD" w:rsidRPr="00235CC9" w:rsidRDefault="008B4DBD" w:rsidP="004E758B">
      <w:pPr>
        <w:spacing w:after="120"/>
        <w:jc w:val="both"/>
      </w:pPr>
    </w:p>
    <w:sectPr w:rsidR="008B4DBD" w:rsidRPr="00235CC9" w:rsidSect="00534E91">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8E5A8" w14:textId="77777777" w:rsidR="00ED456C" w:rsidRDefault="00ED456C">
      <w:r>
        <w:separator/>
      </w:r>
    </w:p>
  </w:endnote>
  <w:endnote w:type="continuationSeparator" w:id="0">
    <w:p w14:paraId="61957E34" w14:textId="77777777" w:rsidR="00ED456C" w:rsidRDefault="00ED4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4E379" w14:textId="77777777" w:rsidR="00ED456C" w:rsidRDefault="00ED456C">
      <w:r>
        <w:separator/>
      </w:r>
    </w:p>
  </w:footnote>
  <w:footnote w:type="continuationSeparator" w:id="0">
    <w:p w14:paraId="5E38D91B" w14:textId="77777777" w:rsidR="00ED456C" w:rsidRDefault="00ED4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E03EF"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end"/>
    </w:r>
  </w:p>
  <w:p w14:paraId="3449DB24"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C02E"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separate"/>
    </w:r>
    <w:r w:rsidR="00942450">
      <w:rPr>
        <w:noProof/>
      </w:rPr>
      <w:t>12</w:t>
    </w:r>
    <w:r>
      <w:fldChar w:fldCharType="end"/>
    </w:r>
  </w:p>
  <w:p w14:paraId="736358DC" w14:textId="77777777"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83CD" w14:textId="0C7C76C7" w:rsidR="00BA5EA4" w:rsidRDefault="00BA5EA4" w:rsidP="00D02EB5">
    <w:pPr>
      <w:pStyle w:val="Antrat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7364E52"/>
    <w:multiLevelType w:val="multilevel"/>
    <w:tmpl w:val="ECD8B85A"/>
    <w:lvl w:ilvl="0">
      <w:start w:val="1"/>
      <w:numFmt w:val="decimal"/>
      <w:lvlText w:val="%1."/>
      <w:lvlJc w:val="left"/>
      <w:pPr>
        <w:ind w:left="360" w:hanging="360"/>
      </w:pPr>
      <w:rPr>
        <w:b w:val="0"/>
        <w:i w:val="0"/>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ED3A71"/>
    <w:multiLevelType w:val="hybridMultilevel"/>
    <w:tmpl w:val="5E345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AC4479"/>
    <w:multiLevelType w:val="hybridMultilevel"/>
    <w:tmpl w:val="459031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15:restartNumberingAfterBreak="0">
    <w:nsid w:val="118E19BF"/>
    <w:multiLevelType w:val="hybridMultilevel"/>
    <w:tmpl w:val="70FA8022"/>
    <w:lvl w:ilvl="0" w:tplc="FE56F6D4">
      <w:start w:val="1"/>
      <w:numFmt w:val="decimal"/>
      <w:lvlText w:val="%1."/>
      <w:lvlJc w:val="left"/>
      <w:pPr>
        <w:ind w:left="720" w:hanging="360"/>
      </w:pPr>
      <w:rPr>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37B77AE"/>
    <w:multiLevelType w:val="hybridMultilevel"/>
    <w:tmpl w:val="45982880"/>
    <w:lvl w:ilvl="0" w:tplc="04270003">
      <w:start w:val="1"/>
      <w:numFmt w:val="bullet"/>
      <w:lvlText w:val="o"/>
      <w:lvlJc w:val="left"/>
      <w:pPr>
        <w:ind w:left="720" w:hanging="360"/>
      </w:pPr>
      <w:rPr>
        <w:rFonts w:ascii="Courier New" w:hAnsi="Courier New" w:cs="Courier New" w:hint="default"/>
      </w:rPr>
    </w:lvl>
    <w:lvl w:ilvl="1" w:tplc="04270003">
      <w:start w:val="1"/>
      <w:numFmt w:val="bullet"/>
      <w:lvlText w:val="o"/>
      <w:lvlJc w:val="left"/>
      <w:pPr>
        <w:ind w:left="1440" w:hanging="360"/>
      </w:pPr>
      <w:rPr>
        <w:rFonts w:ascii="Courier New" w:hAnsi="Courier New" w:cs="Courier New" w:hint="default"/>
      </w:rPr>
    </w:lvl>
    <w:lvl w:ilvl="2" w:tplc="3A623EE0">
      <w:start w:val="2021"/>
      <w:numFmt w:val="bullet"/>
      <w:lvlText w:val="•"/>
      <w:lvlJc w:val="left"/>
      <w:pPr>
        <w:ind w:left="3090" w:hanging="1290"/>
      </w:pPr>
      <w:rPr>
        <w:rFonts w:ascii="Calibri" w:eastAsiaTheme="minorHAnsi" w:hAnsi="Calibri" w:cs="Calibri"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44B3B6B"/>
    <w:multiLevelType w:val="multilevel"/>
    <w:tmpl w:val="DBB421B6"/>
    <w:lvl w:ilvl="0">
      <w:start w:val="20"/>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9" w15:restartNumberingAfterBreak="0">
    <w:nsid w:val="163D50A7"/>
    <w:multiLevelType w:val="multilevel"/>
    <w:tmpl w:val="65D86F24"/>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6BF4A9F"/>
    <w:multiLevelType w:val="hybridMultilevel"/>
    <w:tmpl w:val="F03276A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16E44F0A"/>
    <w:multiLevelType w:val="multilevel"/>
    <w:tmpl w:val="FFFFFFFF"/>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851" w:hanging="494"/>
      </w:pPr>
      <w:rPr>
        <w:rFonts w:ascii="Times New Roman" w:hAnsi="Times New Roman" w:cs="Times New Roman" w:hint="default"/>
        <w:sz w:val="24"/>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2" w15:restartNumberingAfterBreak="0">
    <w:nsid w:val="1D4F109B"/>
    <w:multiLevelType w:val="hybridMultilevel"/>
    <w:tmpl w:val="3F46F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0059FD"/>
    <w:multiLevelType w:val="multilevel"/>
    <w:tmpl w:val="C3B47C1A"/>
    <w:lvl w:ilvl="0">
      <w:start w:val="15"/>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A251486"/>
    <w:multiLevelType w:val="hybridMultilevel"/>
    <w:tmpl w:val="8842E7D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EA0C27"/>
    <w:multiLevelType w:val="multilevel"/>
    <w:tmpl w:val="5E24109C"/>
    <w:lvl w:ilvl="0">
      <w:start w:val="5"/>
      <w:numFmt w:val="decimal"/>
      <w:lvlText w:val="%1."/>
      <w:lvlJc w:val="left"/>
      <w:pPr>
        <w:ind w:left="360" w:hanging="360"/>
      </w:pPr>
      <w:rPr>
        <w:rFonts w:cs="Times New Roman" w:hint="default"/>
      </w:rPr>
    </w:lvl>
    <w:lvl w:ilvl="1">
      <w:start w:val="1"/>
      <w:numFmt w:val="decimal"/>
      <w:lvlText w:val="%1.%2."/>
      <w:lvlJc w:val="left"/>
      <w:pPr>
        <w:ind w:left="1353" w:hanging="360"/>
      </w:pPr>
      <w:rPr>
        <w:rFonts w:ascii="Times New Roman" w:hAnsi="Times New Roman" w:cs="Times New Roman" w:hint="default"/>
        <w:b w:val="0"/>
        <w:color w:val="000000" w:themeColor="text1"/>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2D541F09"/>
    <w:multiLevelType w:val="hybridMultilevel"/>
    <w:tmpl w:val="588AF6C4"/>
    <w:lvl w:ilvl="0" w:tplc="042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54F4B39"/>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1353" w:hanging="360"/>
      </w:pPr>
      <w:rPr>
        <w:rFonts w:ascii="Times New Roman" w:hAnsi="Times New Roman" w:cs="Times New Roman" w:hint="default"/>
        <w:b w:val="0"/>
        <w:color w:val="000000" w:themeColor="text1"/>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369066BF"/>
    <w:multiLevelType w:val="multilevel"/>
    <w:tmpl w:val="EBDE41E8"/>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16544F"/>
    <w:multiLevelType w:val="hybridMultilevel"/>
    <w:tmpl w:val="7D3013DA"/>
    <w:lvl w:ilvl="0" w:tplc="1CD2F936">
      <w:start w:val="34"/>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15:restartNumberingAfterBreak="0">
    <w:nsid w:val="4A992186"/>
    <w:multiLevelType w:val="multilevel"/>
    <w:tmpl w:val="1152BB52"/>
    <w:lvl w:ilvl="0">
      <w:start w:val="1"/>
      <w:numFmt w:val="decimal"/>
      <w:lvlText w:val="%1."/>
      <w:lvlJc w:val="left"/>
      <w:pPr>
        <w:ind w:left="720" w:hanging="360"/>
      </w:pPr>
    </w:lvl>
    <w:lvl w:ilvl="1">
      <w:start w:val="1"/>
      <w:numFmt w:val="decimal"/>
      <w:isLgl/>
      <w:lvlText w:val="%1.%2."/>
      <w:lvlJc w:val="left"/>
      <w:pPr>
        <w:ind w:left="1215" w:hanging="51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1" w15:restartNumberingAfterBreak="0">
    <w:nsid w:val="4B77677D"/>
    <w:multiLevelType w:val="hybridMultilevel"/>
    <w:tmpl w:val="EF567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B461D0"/>
    <w:multiLevelType w:val="hybridMultilevel"/>
    <w:tmpl w:val="980A3256"/>
    <w:lvl w:ilvl="0" w:tplc="C55AAA7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C0082B"/>
    <w:multiLevelType w:val="hybridMultilevel"/>
    <w:tmpl w:val="C8307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887899"/>
    <w:multiLevelType w:val="hybridMultilevel"/>
    <w:tmpl w:val="6DE2E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664FE0"/>
    <w:multiLevelType w:val="multilevel"/>
    <w:tmpl w:val="4E744534"/>
    <w:lvl w:ilvl="0">
      <w:start w:val="2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F7F4B83"/>
    <w:multiLevelType w:val="hybridMultilevel"/>
    <w:tmpl w:val="5F5A7238"/>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76544F"/>
    <w:multiLevelType w:val="hybridMultilevel"/>
    <w:tmpl w:val="4ACCCE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50B2349"/>
    <w:multiLevelType w:val="multilevel"/>
    <w:tmpl w:val="31469E72"/>
    <w:lvl w:ilvl="0">
      <w:start w:val="3"/>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4"/>
      <w:numFmt w:val="decimal"/>
      <w:lvlRestart w:val="0"/>
      <w:lvlText w:val="%2."/>
      <w:lvlJc w:val="left"/>
      <w:pPr>
        <w:tabs>
          <w:tab w:val="num" w:pos="357"/>
        </w:tabs>
        <w:ind w:left="357" w:hanging="357"/>
      </w:pPr>
      <w:rPr>
        <w:rFonts w:ascii="Times New Roman" w:hAnsi="Times New Roman" w:cs="Times New Roman" w:hint="default"/>
        <w:b w:val="0"/>
        <w:i w:val="0"/>
        <w:iCs w:val="0"/>
        <w:color w:val="auto"/>
        <w:sz w:val="24"/>
      </w:rPr>
    </w:lvl>
    <w:lvl w:ilvl="2">
      <w:start w:val="1"/>
      <w:numFmt w:val="decimal"/>
      <w:suff w:val="space"/>
      <w:lvlText w:val="%2.%3."/>
      <w:lvlJc w:val="left"/>
      <w:pPr>
        <w:ind w:left="851" w:hanging="494"/>
      </w:pPr>
      <w:rPr>
        <w:rFonts w:ascii="Times New Roman" w:hAnsi="Times New Roman" w:cs="Times New Roman" w:hint="default"/>
        <w:sz w:val="24"/>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29" w15:restartNumberingAfterBreak="0">
    <w:nsid w:val="6652303D"/>
    <w:multiLevelType w:val="multilevel"/>
    <w:tmpl w:val="8FF08D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69D3225E"/>
    <w:multiLevelType w:val="hybridMultilevel"/>
    <w:tmpl w:val="60446D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6A6875A3"/>
    <w:multiLevelType w:val="multilevel"/>
    <w:tmpl w:val="FFFFFFFF"/>
    <w:lvl w:ilvl="0">
      <w:start w:val="1"/>
      <w:numFmt w:val="decimal"/>
      <w:lvlText w:val="%1."/>
      <w:lvlJc w:val="left"/>
      <w:pPr>
        <w:ind w:left="360" w:hanging="360"/>
      </w:pPr>
      <w:rPr>
        <w:rFonts w:cs="Times New Roman" w:hint="default"/>
        <w:i w:val="0"/>
      </w:rPr>
    </w:lvl>
    <w:lvl w:ilvl="1">
      <w:start w:val="1"/>
      <w:numFmt w:val="decimal"/>
      <w:lvlText w:val="%1.%2."/>
      <w:lvlJc w:val="left"/>
      <w:pPr>
        <w:ind w:left="792" w:hanging="432"/>
      </w:pPr>
      <w:rPr>
        <w:rFonts w:cs="Times New Roman"/>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15:restartNumberingAfterBreak="0">
    <w:nsid w:val="6AAD3AE9"/>
    <w:multiLevelType w:val="hybridMultilevel"/>
    <w:tmpl w:val="93243F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997BE7"/>
    <w:multiLevelType w:val="hybridMultilevel"/>
    <w:tmpl w:val="81D8C42E"/>
    <w:lvl w:ilvl="0" w:tplc="15B62EB0">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FAB5496"/>
    <w:multiLevelType w:val="multilevel"/>
    <w:tmpl w:val="AEBE48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73926DA"/>
    <w:multiLevelType w:val="multilevel"/>
    <w:tmpl w:val="FFFFFFFF"/>
    <w:numStyleLink w:val="Nutartis"/>
  </w:abstractNum>
  <w:abstractNum w:abstractNumId="38" w15:restartNumberingAfterBreak="0">
    <w:nsid w:val="78551F51"/>
    <w:multiLevelType w:val="hybridMultilevel"/>
    <w:tmpl w:val="7F7A0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DF735D"/>
    <w:multiLevelType w:val="hybridMultilevel"/>
    <w:tmpl w:val="92EC0D9A"/>
    <w:lvl w:ilvl="0" w:tplc="FFFFFFFF">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0427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C3A1AC0"/>
    <w:multiLevelType w:val="hybridMultilevel"/>
    <w:tmpl w:val="0E5EA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9A02D2"/>
    <w:multiLevelType w:val="hybridMultilevel"/>
    <w:tmpl w:val="4F68A2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E5B4100"/>
    <w:multiLevelType w:val="hybridMultilevel"/>
    <w:tmpl w:val="19C2759E"/>
    <w:lvl w:ilvl="0" w:tplc="6E46CE44">
      <w:start w:val="1"/>
      <w:numFmt w:val="decimal"/>
      <w:lvlText w:val="%1)"/>
      <w:lvlJc w:val="left"/>
      <w:pPr>
        <w:ind w:left="2018" w:hanging="360"/>
      </w:pPr>
    </w:lvl>
    <w:lvl w:ilvl="1" w:tplc="04090019">
      <w:start w:val="1"/>
      <w:numFmt w:val="lowerLetter"/>
      <w:lvlText w:val="%2."/>
      <w:lvlJc w:val="left"/>
      <w:pPr>
        <w:ind w:left="2738" w:hanging="360"/>
      </w:pPr>
    </w:lvl>
    <w:lvl w:ilvl="2" w:tplc="0409001B">
      <w:start w:val="1"/>
      <w:numFmt w:val="lowerRoman"/>
      <w:lvlText w:val="%3."/>
      <w:lvlJc w:val="right"/>
      <w:pPr>
        <w:ind w:left="3458" w:hanging="180"/>
      </w:pPr>
    </w:lvl>
    <w:lvl w:ilvl="3" w:tplc="3AAC6264">
      <w:start w:val="1"/>
      <w:numFmt w:val="decimal"/>
      <w:lvlText w:val="%4."/>
      <w:lvlJc w:val="left"/>
      <w:pPr>
        <w:ind w:left="4178" w:hanging="360"/>
      </w:pPr>
      <w:rPr>
        <w:i w:val="0"/>
        <w:iCs w:val="0"/>
      </w:rPr>
    </w:lvl>
    <w:lvl w:ilvl="4" w:tplc="04090019">
      <w:start w:val="1"/>
      <w:numFmt w:val="lowerLetter"/>
      <w:lvlText w:val="%5."/>
      <w:lvlJc w:val="left"/>
      <w:pPr>
        <w:ind w:left="4898" w:hanging="360"/>
      </w:pPr>
    </w:lvl>
    <w:lvl w:ilvl="5" w:tplc="0409001B">
      <w:start w:val="1"/>
      <w:numFmt w:val="lowerRoman"/>
      <w:lvlText w:val="%6."/>
      <w:lvlJc w:val="right"/>
      <w:pPr>
        <w:ind w:left="5618" w:hanging="180"/>
      </w:pPr>
    </w:lvl>
    <w:lvl w:ilvl="6" w:tplc="0409000F">
      <w:start w:val="1"/>
      <w:numFmt w:val="decimal"/>
      <w:lvlText w:val="%7."/>
      <w:lvlJc w:val="left"/>
      <w:pPr>
        <w:ind w:left="6338" w:hanging="360"/>
      </w:pPr>
    </w:lvl>
    <w:lvl w:ilvl="7" w:tplc="04090019">
      <w:start w:val="1"/>
      <w:numFmt w:val="lowerLetter"/>
      <w:lvlText w:val="%8."/>
      <w:lvlJc w:val="left"/>
      <w:pPr>
        <w:ind w:left="7058" w:hanging="360"/>
      </w:pPr>
    </w:lvl>
    <w:lvl w:ilvl="8" w:tplc="0409001B">
      <w:start w:val="1"/>
      <w:numFmt w:val="lowerRoman"/>
      <w:lvlText w:val="%9."/>
      <w:lvlJc w:val="right"/>
      <w:pPr>
        <w:ind w:left="7778" w:hanging="180"/>
      </w:pPr>
    </w:lvl>
  </w:abstractNum>
  <w:num w:numId="1" w16cid:durableId="479998958">
    <w:abstractNumId w:val="4"/>
  </w:num>
  <w:num w:numId="2" w16cid:durableId="995500458">
    <w:abstractNumId w:val="0"/>
  </w:num>
  <w:num w:numId="3" w16cid:durableId="1347558357">
    <w:abstractNumId w:val="13"/>
  </w:num>
  <w:num w:numId="4" w16cid:durableId="535460478">
    <w:abstractNumId w:val="34"/>
  </w:num>
  <w:num w:numId="5" w16cid:durableId="1973635109">
    <w:abstractNumId w:val="30"/>
  </w:num>
  <w:num w:numId="6" w16cid:durableId="801195244">
    <w:abstractNumId w:val="8"/>
  </w:num>
  <w:num w:numId="7" w16cid:durableId="1774008095">
    <w:abstractNumId w:val="3"/>
  </w:num>
  <w:num w:numId="8" w16cid:durableId="2074883874">
    <w:abstractNumId w:val="31"/>
  </w:num>
  <w:num w:numId="9" w16cid:durableId="1249384992">
    <w:abstractNumId w:val="6"/>
  </w:num>
  <w:num w:numId="10" w16cid:durableId="513617846">
    <w:abstractNumId w:val="27"/>
  </w:num>
  <w:num w:numId="11" w16cid:durableId="198906784">
    <w:abstractNumId w:val="33"/>
  </w:num>
  <w:num w:numId="12" w16cid:durableId="1814906641">
    <w:abstractNumId w:val="39"/>
  </w:num>
  <w:num w:numId="13" w16cid:durableId="27992604">
    <w:abstractNumId w:val="41"/>
  </w:num>
  <w:num w:numId="14" w16cid:durableId="133498151">
    <w:abstractNumId w:val="16"/>
  </w:num>
  <w:num w:numId="15" w16cid:durableId="1371809071">
    <w:abstractNumId w:val="10"/>
  </w:num>
  <w:num w:numId="16" w16cid:durableId="395008993">
    <w:abstractNumId w:val="5"/>
  </w:num>
  <w:num w:numId="17" w16cid:durableId="577786491">
    <w:abstractNumId w:val="18"/>
  </w:num>
  <w:num w:numId="18" w16cid:durableId="191067194">
    <w:abstractNumId w:val="24"/>
  </w:num>
  <w:num w:numId="19" w16cid:durableId="1554584780">
    <w:abstractNumId w:val="40"/>
  </w:num>
  <w:num w:numId="20" w16cid:durableId="1394043965">
    <w:abstractNumId w:val="1"/>
  </w:num>
  <w:num w:numId="21" w16cid:durableId="67113123">
    <w:abstractNumId w:val="23"/>
  </w:num>
  <w:num w:numId="22" w16cid:durableId="1064566861">
    <w:abstractNumId w:val="2"/>
  </w:num>
  <w:num w:numId="23" w16cid:durableId="536967144">
    <w:abstractNumId w:val="14"/>
  </w:num>
  <w:num w:numId="24" w16cid:durableId="1196112247">
    <w:abstractNumId w:val="38"/>
  </w:num>
  <w:num w:numId="25" w16cid:durableId="1968000872">
    <w:abstractNumId w:val="12"/>
  </w:num>
  <w:num w:numId="26" w16cid:durableId="959065446">
    <w:abstractNumId w:val="22"/>
  </w:num>
  <w:num w:numId="27" w16cid:durableId="1686125885">
    <w:abstractNumId w:val="11"/>
  </w:num>
  <w:num w:numId="28" w16cid:durableId="356008276">
    <w:abstractNumId w:val="37"/>
    <w:lvlOverride w:ilvl="0">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cs="Times New Roman" w:hint="default"/>
          <w:b w:val="0"/>
          <w:i w:val="0"/>
          <w:iCs w:val="0"/>
          <w:color w:val="auto"/>
          <w:sz w:val="24"/>
        </w:rPr>
      </w:lvl>
    </w:lvlOverride>
    <w:lvlOverride w:ilvl="2">
      <w:lvl w:ilvl="2">
        <w:start w:val="1"/>
        <w:numFmt w:val="decimal"/>
        <w:suff w:val="space"/>
        <w:lvlText w:val="%2.%3."/>
        <w:lvlJc w:val="left"/>
        <w:pPr>
          <w:ind w:left="851" w:hanging="494"/>
        </w:pPr>
        <w:rPr>
          <w:rFonts w:ascii="Times New Roman" w:hAnsi="Times New Roman" w:cs="Times New Roman" w:hint="default"/>
          <w:sz w:val="24"/>
        </w:rPr>
      </w:lvl>
    </w:lvlOverride>
    <w:lvlOverride w:ilvl="3">
      <w:lvl w:ilvl="3">
        <w:start w:val="1"/>
        <w:numFmt w:val="none"/>
        <w:lvlText w:val=""/>
        <w:lvlJc w:val="left"/>
        <w:pPr>
          <w:ind w:left="1440" w:hanging="360"/>
        </w:pPr>
        <w:rPr>
          <w:rFonts w:cs="Times New Roman" w:hint="default"/>
        </w:rPr>
      </w:lvl>
    </w:lvlOverride>
    <w:lvlOverride w:ilvl="4">
      <w:lvl w:ilvl="4">
        <w:start w:val="1"/>
        <w:numFmt w:val="none"/>
        <w:lvlText w:val=""/>
        <w:lvlJc w:val="left"/>
        <w:pPr>
          <w:ind w:left="1800" w:hanging="360"/>
        </w:pPr>
        <w:rPr>
          <w:rFonts w:cs="Times New Roman" w:hint="default"/>
        </w:rPr>
      </w:lvl>
    </w:lvlOverride>
    <w:lvlOverride w:ilvl="5">
      <w:lvl w:ilvl="5">
        <w:start w:val="1"/>
        <w:numFmt w:val="none"/>
        <w:lvlText w:val=""/>
        <w:lvlJc w:val="left"/>
        <w:pPr>
          <w:ind w:left="2160" w:hanging="360"/>
        </w:pPr>
        <w:rPr>
          <w:rFonts w:cs="Times New Roman" w:hint="default"/>
        </w:rPr>
      </w:lvl>
    </w:lvlOverride>
    <w:lvlOverride w:ilvl="6">
      <w:lvl w:ilvl="6">
        <w:start w:val="1"/>
        <w:numFmt w:val="none"/>
        <w:lvlText w:val=""/>
        <w:lvlJc w:val="left"/>
        <w:pPr>
          <w:ind w:left="2520" w:hanging="360"/>
        </w:pPr>
        <w:rPr>
          <w:rFonts w:cs="Times New Roman" w:hint="default"/>
        </w:rPr>
      </w:lvl>
    </w:lvlOverride>
    <w:lvlOverride w:ilvl="7">
      <w:lvl w:ilvl="7">
        <w:start w:val="1"/>
        <w:numFmt w:val="none"/>
        <w:lvlText w:val=""/>
        <w:lvlJc w:val="left"/>
        <w:pPr>
          <w:ind w:left="2880" w:hanging="360"/>
        </w:pPr>
        <w:rPr>
          <w:rFonts w:cs="Times New Roman" w:hint="default"/>
        </w:rPr>
      </w:lvl>
    </w:lvlOverride>
    <w:lvlOverride w:ilvl="8">
      <w:lvl w:ilvl="8">
        <w:start w:val="1"/>
        <w:numFmt w:val="none"/>
        <w:lvlText w:val=""/>
        <w:lvlJc w:val="left"/>
        <w:pPr>
          <w:ind w:left="3240" w:hanging="360"/>
        </w:pPr>
        <w:rPr>
          <w:rFonts w:cs="Times New Roman" w:hint="default"/>
        </w:rPr>
      </w:lvl>
    </w:lvlOverride>
  </w:num>
  <w:num w:numId="29" w16cid:durableId="811412895">
    <w:abstractNumId w:val="17"/>
  </w:num>
  <w:num w:numId="30" w16cid:durableId="2111504758">
    <w:abstractNumId w:val="15"/>
  </w:num>
  <w:num w:numId="31" w16cid:durableId="1036392210">
    <w:abstractNumId w:val="20"/>
  </w:num>
  <w:num w:numId="32" w16cid:durableId="852844739">
    <w:abstractNumId w:val="29"/>
  </w:num>
  <w:num w:numId="33" w16cid:durableId="2053112169">
    <w:abstractNumId w:val="36"/>
  </w:num>
  <w:num w:numId="34" w16cid:durableId="746070642">
    <w:abstractNumId w:val="26"/>
  </w:num>
  <w:num w:numId="35" w16cid:durableId="1422875480">
    <w:abstractNumId w:val="35"/>
  </w:num>
  <w:num w:numId="36" w16cid:durableId="1325816332">
    <w:abstractNumId w:val="32"/>
  </w:num>
  <w:num w:numId="37" w16cid:durableId="921452790">
    <w:abstractNumId w:val="28"/>
  </w:num>
  <w:num w:numId="38" w16cid:durableId="1015771216">
    <w:abstractNumId w:val="42"/>
  </w:num>
  <w:num w:numId="39" w16cid:durableId="746725292">
    <w:abstractNumId w:val="19"/>
  </w:num>
  <w:num w:numId="40" w16cid:durableId="1670794840">
    <w:abstractNumId w:val="9"/>
  </w:num>
  <w:num w:numId="41" w16cid:durableId="8873119">
    <w:abstractNumId w:val="25"/>
  </w:num>
  <w:num w:numId="42" w16cid:durableId="490146631">
    <w:abstractNumId w:val="21"/>
  </w:num>
  <w:num w:numId="43" w16cid:durableId="18519859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367727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B5D"/>
    <w:rsid w:val="000039BA"/>
    <w:rsid w:val="00004F3A"/>
    <w:rsid w:val="00005EBE"/>
    <w:rsid w:val="00007840"/>
    <w:rsid w:val="0001067D"/>
    <w:rsid w:val="0001381C"/>
    <w:rsid w:val="00013920"/>
    <w:rsid w:val="000139A1"/>
    <w:rsid w:val="000149F2"/>
    <w:rsid w:val="00017352"/>
    <w:rsid w:val="00017A36"/>
    <w:rsid w:val="00017AAD"/>
    <w:rsid w:val="00017E23"/>
    <w:rsid w:val="00020A3D"/>
    <w:rsid w:val="00020C94"/>
    <w:rsid w:val="0002452D"/>
    <w:rsid w:val="00024D57"/>
    <w:rsid w:val="00027A87"/>
    <w:rsid w:val="000300A7"/>
    <w:rsid w:val="00030C59"/>
    <w:rsid w:val="00031DA5"/>
    <w:rsid w:val="00031DF6"/>
    <w:rsid w:val="00032F86"/>
    <w:rsid w:val="000337E0"/>
    <w:rsid w:val="00034F74"/>
    <w:rsid w:val="00035423"/>
    <w:rsid w:val="00036EB8"/>
    <w:rsid w:val="00040D3E"/>
    <w:rsid w:val="00041859"/>
    <w:rsid w:val="00043EA8"/>
    <w:rsid w:val="000441D7"/>
    <w:rsid w:val="00044BE2"/>
    <w:rsid w:val="00044D97"/>
    <w:rsid w:val="00044F2A"/>
    <w:rsid w:val="00046204"/>
    <w:rsid w:val="00050530"/>
    <w:rsid w:val="0005069B"/>
    <w:rsid w:val="00050763"/>
    <w:rsid w:val="00050AC2"/>
    <w:rsid w:val="00051CCD"/>
    <w:rsid w:val="00052EE9"/>
    <w:rsid w:val="00055853"/>
    <w:rsid w:val="00055C3C"/>
    <w:rsid w:val="00056F9F"/>
    <w:rsid w:val="00057869"/>
    <w:rsid w:val="000615C6"/>
    <w:rsid w:val="00061B23"/>
    <w:rsid w:val="00061B9F"/>
    <w:rsid w:val="00061F64"/>
    <w:rsid w:val="000631CB"/>
    <w:rsid w:val="000636D0"/>
    <w:rsid w:val="000645D0"/>
    <w:rsid w:val="00064B99"/>
    <w:rsid w:val="0007137C"/>
    <w:rsid w:val="00073723"/>
    <w:rsid w:val="000754EB"/>
    <w:rsid w:val="00076D2C"/>
    <w:rsid w:val="00077B97"/>
    <w:rsid w:val="000815C4"/>
    <w:rsid w:val="000828C5"/>
    <w:rsid w:val="000830B0"/>
    <w:rsid w:val="0008625E"/>
    <w:rsid w:val="00086B11"/>
    <w:rsid w:val="00086EBD"/>
    <w:rsid w:val="00086F72"/>
    <w:rsid w:val="000914C1"/>
    <w:rsid w:val="000919B6"/>
    <w:rsid w:val="00091F04"/>
    <w:rsid w:val="00092ECD"/>
    <w:rsid w:val="000A0020"/>
    <w:rsid w:val="000A042F"/>
    <w:rsid w:val="000A2C25"/>
    <w:rsid w:val="000A4BA6"/>
    <w:rsid w:val="000B0107"/>
    <w:rsid w:val="000B06F8"/>
    <w:rsid w:val="000B0819"/>
    <w:rsid w:val="000B44BF"/>
    <w:rsid w:val="000B4F97"/>
    <w:rsid w:val="000B5F91"/>
    <w:rsid w:val="000B7C70"/>
    <w:rsid w:val="000C2577"/>
    <w:rsid w:val="000C3BD6"/>
    <w:rsid w:val="000C4CB1"/>
    <w:rsid w:val="000C6FEC"/>
    <w:rsid w:val="000C721B"/>
    <w:rsid w:val="000D02E1"/>
    <w:rsid w:val="000D03BE"/>
    <w:rsid w:val="000D1928"/>
    <w:rsid w:val="000E06F9"/>
    <w:rsid w:val="000E0B60"/>
    <w:rsid w:val="000E4C97"/>
    <w:rsid w:val="000E538D"/>
    <w:rsid w:val="000E6309"/>
    <w:rsid w:val="000E65F0"/>
    <w:rsid w:val="000F09B9"/>
    <w:rsid w:val="000F0C95"/>
    <w:rsid w:val="000F2EF6"/>
    <w:rsid w:val="000F3643"/>
    <w:rsid w:val="000F3F7B"/>
    <w:rsid w:val="000F4CC7"/>
    <w:rsid w:val="000F4EFD"/>
    <w:rsid w:val="000F5BE8"/>
    <w:rsid w:val="000F5EC5"/>
    <w:rsid w:val="000F7802"/>
    <w:rsid w:val="000F7C66"/>
    <w:rsid w:val="00100E1B"/>
    <w:rsid w:val="00101AD2"/>
    <w:rsid w:val="0010234B"/>
    <w:rsid w:val="001027A6"/>
    <w:rsid w:val="0010404C"/>
    <w:rsid w:val="0010449C"/>
    <w:rsid w:val="001046F5"/>
    <w:rsid w:val="0010479C"/>
    <w:rsid w:val="001071BD"/>
    <w:rsid w:val="00111D46"/>
    <w:rsid w:val="00112D72"/>
    <w:rsid w:val="001131DC"/>
    <w:rsid w:val="001145F9"/>
    <w:rsid w:val="0011765D"/>
    <w:rsid w:val="00117B23"/>
    <w:rsid w:val="00120F90"/>
    <w:rsid w:val="00123260"/>
    <w:rsid w:val="00123EE2"/>
    <w:rsid w:val="00124652"/>
    <w:rsid w:val="00125273"/>
    <w:rsid w:val="001275F2"/>
    <w:rsid w:val="001305F7"/>
    <w:rsid w:val="00130DA2"/>
    <w:rsid w:val="001343E6"/>
    <w:rsid w:val="00134F4C"/>
    <w:rsid w:val="001402C6"/>
    <w:rsid w:val="00140C43"/>
    <w:rsid w:val="00140F5B"/>
    <w:rsid w:val="0014116D"/>
    <w:rsid w:val="00141567"/>
    <w:rsid w:val="00142ACD"/>
    <w:rsid w:val="00142B59"/>
    <w:rsid w:val="00143101"/>
    <w:rsid w:val="00143539"/>
    <w:rsid w:val="00143691"/>
    <w:rsid w:val="00143D48"/>
    <w:rsid w:val="001448DA"/>
    <w:rsid w:val="001452CD"/>
    <w:rsid w:val="00145DF1"/>
    <w:rsid w:val="001466F8"/>
    <w:rsid w:val="001474C8"/>
    <w:rsid w:val="00147502"/>
    <w:rsid w:val="00147AE2"/>
    <w:rsid w:val="00150577"/>
    <w:rsid w:val="00150EC5"/>
    <w:rsid w:val="00150FAD"/>
    <w:rsid w:val="001526CC"/>
    <w:rsid w:val="00152CC2"/>
    <w:rsid w:val="00153F61"/>
    <w:rsid w:val="00153F92"/>
    <w:rsid w:val="00154CBE"/>
    <w:rsid w:val="00155D9C"/>
    <w:rsid w:val="00156ECF"/>
    <w:rsid w:val="00157334"/>
    <w:rsid w:val="00157838"/>
    <w:rsid w:val="001608CF"/>
    <w:rsid w:val="00161F25"/>
    <w:rsid w:val="00163EA1"/>
    <w:rsid w:val="00164946"/>
    <w:rsid w:val="00165E24"/>
    <w:rsid w:val="00165E9B"/>
    <w:rsid w:val="001662FC"/>
    <w:rsid w:val="001663BD"/>
    <w:rsid w:val="00166E8F"/>
    <w:rsid w:val="001704EA"/>
    <w:rsid w:val="0017069C"/>
    <w:rsid w:val="00171834"/>
    <w:rsid w:val="00172D5F"/>
    <w:rsid w:val="001740D9"/>
    <w:rsid w:val="001766B6"/>
    <w:rsid w:val="00181EF9"/>
    <w:rsid w:val="00182004"/>
    <w:rsid w:val="00184793"/>
    <w:rsid w:val="0018511B"/>
    <w:rsid w:val="00187845"/>
    <w:rsid w:val="00196154"/>
    <w:rsid w:val="00197CC1"/>
    <w:rsid w:val="00197E53"/>
    <w:rsid w:val="001A119B"/>
    <w:rsid w:val="001A1AD8"/>
    <w:rsid w:val="001A1DD2"/>
    <w:rsid w:val="001A298F"/>
    <w:rsid w:val="001A39F0"/>
    <w:rsid w:val="001A424E"/>
    <w:rsid w:val="001A4876"/>
    <w:rsid w:val="001A68B5"/>
    <w:rsid w:val="001A763A"/>
    <w:rsid w:val="001A7E75"/>
    <w:rsid w:val="001B053C"/>
    <w:rsid w:val="001B0729"/>
    <w:rsid w:val="001B08F9"/>
    <w:rsid w:val="001B153A"/>
    <w:rsid w:val="001B1DC5"/>
    <w:rsid w:val="001B2E95"/>
    <w:rsid w:val="001B3DD0"/>
    <w:rsid w:val="001B5273"/>
    <w:rsid w:val="001B5C7D"/>
    <w:rsid w:val="001B647B"/>
    <w:rsid w:val="001B753C"/>
    <w:rsid w:val="001C055C"/>
    <w:rsid w:val="001C0EBD"/>
    <w:rsid w:val="001C21E9"/>
    <w:rsid w:val="001C264D"/>
    <w:rsid w:val="001C2C3C"/>
    <w:rsid w:val="001C4AFE"/>
    <w:rsid w:val="001C4E92"/>
    <w:rsid w:val="001C5C06"/>
    <w:rsid w:val="001C5E57"/>
    <w:rsid w:val="001C65EC"/>
    <w:rsid w:val="001C7A4F"/>
    <w:rsid w:val="001D3271"/>
    <w:rsid w:val="001D5458"/>
    <w:rsid w:val="001D7BE5"/>
    <w:rsid w:val="001E11A7"/>
    <w:rsid w:val="001E3685"/>
    <w:rsid w:val="001E395D"/>
    <w:rsid w:val="001E6F2D"/>
    <w:rsid w:val="001E75CD"/>
    <w:rsid w:val="001E797D"/>
    <w:rsid w:val="001F0DEF"/>
    <w:rsid w:val="001F1602"/>
    <w:rsid w:val="001F2975"/>
    <w:rsid w:val="001F3ADD"/>
    <w:rsid w:val="001F41C0"/>
    <w:rsid w:val="001F7372"/>
    <w:rsid w:val="00201BC0"/>
    <w:rsid w:val="00205560"/>
    <w:rsid w:val="002062C3"/>
    <w:rsid w:val="00210883"/>
    <w:rsid w:val="0021312D"/>
    <w:rsid w:val="00215108"/>
    <w:rsid w:val="00215CC4"/>
    <w:rsid w:val="0021649A"/>
    <w:rsid w:val="00221179"/>
    <w:rsid w:val="00221882"/>
    <w:rsid w:val="00222066"/>
    <w:rsid w:val="002237A2"/>
    <w:rsid w:val="00224288"/>
    <w:rsid w:val="00224AF0"/>
    <w:rsid w:val="00224D91"/>
    <w:rsid w:val="00225427"/>
    <w:rsid w:val="00230D87"/>
    <w:rsid w:val="002319D7"/>
    <w:rsid w:val="00232007"/>
    <w:rsid w:val="0023247F"/>
    <w:rsid w:val="002325CA"/>
    <w:rsid w:val="002333EB"/>
    <w:rsid w:val="00233B36"/>
    <w:rsid w:val="00234776"/>
    <w:rsid w:val="002358F4"/>
    <w:rsid w:val="00235CC9"/>
    <w:rsid w:val="002364D1"/>
    <w:rsid w:val="00240200"/>
    <w:rsid w:val="00240339"/>
    <w:rsid w:val="00240735"/>
    <w:rsid w:val="00240C01"/>
    <w:rsid w:val="00241151"/>
    <w:rsid w:val="00241D68"/>
    <w:rsid w:val="00242D91"/>
    <w:rsid w:val="00242EC6"/>
    <w:rsid w:val="00243599"/>
    <w:rsid w:val="0024477E"/>
    <w:rsid w:val="0024657E"/>
    <w:rsid w:val="0024663B"/>
    <w:rsid w:val="00246D81"/>
    <w:rsid w:val="00247B74"/>
    <w:rsid w:val="002524D4"/>
    <w:rsid w:val="00252CE7"/>
    <w:rsid w:val="00253807"/>
    <w:rsid w:val="0025394B"/>
    <w:rsid w:val="0025411E"/>
    <w:rsid w:val="00256959"/>
    <w:rsid w:val="00256D9D"/>
    <w:rsid w:val="0026169A"/>
    <w:rsid w:val="002619B4"/>
    <w:rsid w:val="002634E4"/>
    <w:rsid w:val="002635D9"/>
    <w:rsid w:val="00266161"/>
    <w:rsid w:val="002678A3"/>
    <w:rsid w:val="0027122A"/>
    <w:rsid w:val="00273A5B"/>
    <w:rsid w:val="002740A1"/>
    <w:rsid w:val="002751A8"/>
    <w:rsid w:val="00275A91"/>
    <w:rsid w:val="00275F7B"/>
    <w:rsid w:val="0027613E"/>
    <w:rsid w:val="00276A5D"/>
    <w:rsid w:val="00276CB6"/>
    <w:rsid w:val="00280211"/>
    <w:rsid w:val="00280AC9"/>
    <w:rsid w:val="0028295B"/>
    <w:rsid w:val="00283830"/>
    <w:rsid w:val="002851A4"/>
    <w:rsid w:val="00287334"/>
    <w:rsid w:val="00287FE8"/>
    <w:rsid w:val="00290201"/>
    <w:rsid w:val="00290311"/>
    <w:rsid w:val="00290CD9"/>
    <w:rsid w:val="0029270C"/>
    <w:rsid w:val="002927D5"/>
    <w:rsid w:val="00292C03"/>
    <w:rsid w:val="002932FF"/>
    <w:rsid w:val="00293874"/>
    <w:rsid w:val="00293C45"/>
    <w:rsid w:val="002948A6"/>
    <w:rsid w:val="00295A0C"/>
    <w:rsid w:val="00296F53"/>
    <w:rsid w:val="00297377"/>
    <w:rsid w:val="002A122F"/>
    <w:rsid w:val="002A3B59"/>
    <w:rsid w:val="002A3CD9"/>
    <w:rsid w:val="002A5216"/>
    <w:rsid w:val="002A6E22"/>
    <w:rsid w:val="002A6FBD"/>
    <w:rsid w:val="002A7DF0"/>
    <w:rsid w:val="002B2544"/>
    <w:rsid w:val="002B2AF4"/>
    <w:rsid w:val="002B3F49"/>
    <w:rsid w:val="002B4A4A"/>
    <w:rsid w:val="002B67EC"/>
    <w:rsid w:val="002C0DC1"/>
    <w:rsid w:val="002C2713"/>
    <w:rsid w:val="002C27B5"/>
    <w:rsid w:val="002C38AA"/>
    <w:rsid w:val="002C4514"/>
    <w:rsid w:val="002C554D"/>
    <w:rsid w:val="002C65DD"/>
    <w:rsid w:val="002C6785"/>
    <w:rsid w:val="002D01CD"/>
    <w:rsid w:val="002D0E0C"/>
    <w:rsid w:val="002D30C7"/>
    <w:rsid w:val="002D3924"/>
    <w:rsid w:val="002D4547"/>
    <w:rsid w:val="002D5EF1"/>
    <w:rsid w:val="002D733D"/>
    <w:rsid w:val="002E1C94"/>
    <w:rsid w:val="002E2D5C"/>
    <w:rsid w:val="002E588B"/>
    <w:rsid w:val="002E705C"/>
    <w:rsid w:val="002E7F68"/>
    <w:rsid w:val="002F082A"/>
    <w:rsid w:val="002F0B74"/>
    <w:rsid w:val="002F2FA9"/>
    <w:rsid w:val="002F350D"/>
    <w:rsid w:val="002F3C7A"/>
    <w:rsid w:val="002F3D57"/>
    <w:rsid w:val="002F435C"/>
    <w:rsid w:val="002F7ED7"/>
    <w:rsid w:val="00300342"/>
    <w:rsid w:val="00300ABD"/>
    <w:rsid w:val="00300C59"/>
    <w:rsid w:val="00304536"/>
    <w:rsid w:val="00306327"/>
    <w:rsid w:val="00313D99"/>
    <w:rsid w:val="0031408E"/>
    <w:rsid w:val="00315477"/>
    <w:rsid w:val="00315C82"/>
    <w:rsid w:val="0031637B"/>
    <w:rsid w:val="00316D2A"/>
    <w:rsid w:val="00316EFA"/>
    <w:rsid w:val="003173A4"/>
    <w:rsid w:val="00317C14"/>
    <w:rsid w:val="003211AF"/>
    <w:rsid w:val="00322AE5"/>
    <w:rsid w:val="0032597C"/>
    <w:rsid w:val="00325AC4"/>
    <w:rsid w:val="0032660F"/>
    <w:rsid w:val="00332E65"/>
    <w:rsid w:val="00333041"/>
    <w:rsid w:val="0033722A"/>
    <w:rsid w:val="00337FD0"/>
    <w:rsid w:val="00343CD2"/>
    <w:rsid w:val="00345FD2"/>
    <w:rsid w:val="00346ACC"/>
    <w:rsid w:val="003474ED"/>
    <w:rsid w:val="00347690"/>
    <w:rsid w:val="00350E23"/>
    <w:rsid w:val="00353B4A"/>
    <w:rsid w:val="00354B07"/>
    <w:rsid w:val="00357488"/>
    <w:rsid w:val="00363776"/>
    <w:rsid w:val="00364515"/>
    <w:rsid w:val="0036523E"/>
    <w:rsid w:val="00366941"/>
    <w:rsid w:val="00371940"/>
    <w:rsid w:val="003727A1"/>
    <w:rsid w:val="00374822"/>
    <w:rsid w:val="00375C6C"/>
    <w:rsid w:val="00375F90"/>
    <w:rsid w:val="0038052F"/>
    <w:rsid w:val="003813DC"/>
    <w:rsid w:val="003851B4"/>
    <w:rsid w:val="00385288"/>
    <w:rsid w:val="00386247"/>
    <w:rsid w:val="00386CE3"/>
    <w:rsid w:val="0038771D"/>
    <w:rsid w:val="003914EE"/>
    <w:rsid w:val="00393FF6"/>
    <w:rsid w:val="00395C41"/>
    <w:rsid w:val="00396164"/>
    <w:rsid w:val="003A0C44"/>
    <w:rsid w:val="003A1960"/>
    <w:rsid w:val="003A36FF"/>
    <w:rsid w:val="003A3A9D"/>
    <w:rsid w:val="003A4641"/>
    <w:rsid w:val="003A4FA2"/>
    <w:rsid w:val="003A60DF"/>
    <w:rsid w:val="003A78FF"/>
    <w:rsid w:val="003A7F79"/>
    <w:rsid w:val="003B098D"/>
    <w:rsid w:val="003B17D6"/>
    <w:rsid w:val="003B3CB9"/>
    <w:rsid w:val="003B493D"/>
    <w:rsid w:val="003B64D3"/>
    <w:rsid w:val="003B6FB4"/>
    <w:rsid w:val="003B7042"/>
    <w:rsid w:val="003C01AD"/>
    <w:rsid w:val="003C2B0C"/>
    <w:rsid w:val="003C5643"/>
    <w:rsid w:val="003C7322"/>
    <w:rsid w:val="003C74B4"/>
    <w:rsid w:val="003C7784"/>
    <w:rsid w:val="003C7D5E"/>
    <w:rsid w:val="003D0435"/>
    <w:rsid w:val="003D15EF"/>
    <w:rsid w:val="003D302B"/>
    <w:rsid w:val="003D32BB"/>
    <w:rsid w:val="003D384E"/>
    <w:rsid w:val="003E1E29"/>
    <w:rsid w:val="003E36FF"/>
    <w:rsid w:val="003E4334"/>
    <w:rsid w:val="003E4D60"/>
    <w:rsid w:val="003E4DB5"/>
    <w:rsid w:val="003E5F1B"/>
    <w:rsid w:val="003E7659"/>
    <w:rsid w:val="003F2A37"/>
    <w:rsid w:val="003F307A"/>
    <w:rsid w:val="003F33C2"/>
    <w:rsid w:val="003F360B"/>
    <w:rsid w:val="003F3782"/>
    <w:rsid w:val="003F6E16"/>
    <w:rsid w:val="00400573"/>
    <w:rsid w:val="004006F0"/>
    <w:rsid w:val="00401539"/>
    <w:rsid w:val="0040363E"/>
    <w:rsid w:val="00403B98"/>
    <w:rsid w:val="00404444"/>
    <w:rsid w:val="004045C2"/>
    <w:rsid w:val="0040475E"/>
    <w:rsid w:val="00410FC7"/>
    <w:rsid w:val="00411025"/>
    <w:rsid w:val="00411A86"/>
    <w:rsid w:val="00411EB4"/>
    <w:rsid w:val="004145C4"/>
    <w:rsid w:val="00414A8B"/>
    <w:rsid w:val="00415651"/>
    <w:rsid w:val="00415C11"/>
    <w:rsid w:val="0041677B"/>
    <w:rsid w:val="00417359"/>
    <w:rsid w:val="00420069"/>
    <w:rsid w:val="00420F58"/>
    <w:rsid w:val="00421233"/>
    <w:rsid w:val="00422011"/>
    <w:rsid w:val="004222B2"/>
    <w:rsid w:val="00422A50"/>
    <w:rsid w:val="00422D60"/>
    <w:rsid w:val="00422FC4"/>
    <w:rsid w:val="004231E5"/>
    <w:rsid w:val="00423E08"/>
    <w:rsid w:val="00423F32"/>
    <w:rsid w:val="00424A1E"/>
    <w:rsid w:val="00424BFD"/>
    <w:rsid w:val="00426946"/>
    <w:rsid w:val="00427372"/>
    <w:rsid w:val="004274FB"/>
    <w:rsid w:val="00427CD3"/>
    <w:rsid w:val="004310DF"/>
    <w:rsid w:val="0043266E"/>
    <w:rsid w:val="004332E1"/>
    <w:rsid w:val="0043432D"/>
    <w:rsid w:val="00434671"/>
    <w:rsid w:val="0043477B"/>
    <w:rsid w:val="00435CD0"/>
    <w:rsid w:val="0043632D"/>
    <w:rsid w:val="0043787E"/>
    <w:rsid w:val="00440821"/>
    <w:rsid w:val="00443393"/>
    <w:rsid w:val="0044446A"/>
    <w:rsid w:val="00445463"/>
    <w:rsid w:val="0044751C"/>
    <w:rsid w:val="00450A13"/>
    <w:rsid w:val="00450B4C"/>
    <w:rsid w:val="00453FA0"/>
    <w:rsid w:val="004546D5"/>
    <w:rsid w:val="00455138"/>
    <w:rsid w:val="00457AA8"/>
    <w:rsid w:val="00460278"/>
    <w:rsid w:val="00464EA3"/>
    <w:rsid w:val="00464FB5"/>
    <w:rsid w:val="00466272"/>
    <w:rsid w:val="0046709B"/>
    <w:rsid w:val="004678AC"/>
    <w:rsid w:val="00467DA3"/>
    <w:rsid w:val="004726C6"/>
    <w:rsid w:val="004731E4"/>
    <w:rsid w:val="00474215"/>
    <w:rsid w:val="00476340"/>
    <w:rsid w:val="00477687"/>
    <w:rsid w:val="00477D91"/>
    <w:rsid w:val="00480440"/>
    <w:rsid w:val="00487172"/>
    <w:rsid w:val="004915E2"/>
    <w:rsid w:val="004917CD"/>
    <w:rsid w:val="0049192B"/>
    <w:rsid w:val="004A1639"/>
    <w:rsid w:val="004A1753"/>
    <w:rsid w:val="004A37B8"/>
    <w:rsid w:val="004A46D2"/>
    <w:rsid w:val="004A47A9"/>
    <w:rsid w:val="004A5C41"/>
    <w:rsid w:val="004A5F84"/>
    <w:rsid w:val="004A62A5"/>
    <w:rsid w:val="004A6F50"/>
    <w:rsid w:val="004B0CBB"/>
    <w:rsid w:val="004B1C78"/>
    <w:rsid w:val="004B1EB9"/>
    <w:rsid w:val="004B32EB"/>
    <w:rsid w:val="004B3A29"/>
    <w:rsid w:val="004B55C8"/>
    <w:rsid w:val="004B745B"/>
    <w:rsid w:val="004B748B"/>
    <w:rsid w:val="004C0197"/>
    <w:rsid w:val="004C0E6D"/>
    <w:rsid w:val="004C0ECF"/>
    <w:rsid w:val="004C1DF0"/>
    <w:rsid w:val="004C2083"/>
    <w:rsid w:val="004C27F3"/>
    <w:rsid w:val="004C34DD"/>
    <w:rsid w:val="004C4EC6"/>
    <w:rsid w:val="004C5E84"/>
    <w:rsid w:val="004C64E2"/>
    <w:rsid w:val="004C74F5"/>
    <w:rsid w:val="004C7ECE"/>
    <w:rsid w:val="004D070E"/>
    <w:rsid w:val="004D10A1"/>
    <w:rsid w:val="004D5931"/>
    <w:rsid w:val="004D706C"/>
    <w:rsid w:val="004D760B"/>
    <w:rsid w:val="004E0501"/>
    <w:rsid w:val="004E15EA"/>
    <w:rsid w:val="004E2281"/>
    <w:rsid w:val="004E26E7"/>
    <w:rsid w:val="004E532F"/>
    <w:rsid w:val="004E6063"/>
    <w:rsid w:val="004E6E7A"/>
    <w:rsid w:val="004E758B"/>
    <w:rsid w:val="004E7F11"/>
    <w:rsid w:val="004F08F9"/>
    <w:rsid w:val="004F3C48"/>
    <w:rsid w:val="004F4178"/>
    <w:rsid w:val="004F47FB"/>
    <w:rsid w:val="004F5021"/>
    <w:rsid w:val="004F72EE"/>
    <w:rsid w:val="004F7393"/>
    <w:rsid w:val="004F7753"/>
    <w:rsid w:val="00500256"/>
    <w:rsid w:val="005021E5"/>
    <w:rsid w:val="00502E93"/>
    <w:rsid w:val="00504962"/>
    <w:rsid w:val="00506047"/>
    <w:rsid w:val="00506D0C"/>
    <w:rsid w:val="005127A3"/>
    <w:rsid w:val="00512F5F"/>
    <w:rsid w:val="0051503F"/>
    <w:rsid w:val="00515C61"/>
    <w:rsid w:val="005208E7"/>
    <w:rsid w:val="0052274E"/>
    <w:rsid w:val="00522835"/>
    <w:rsid w:val="005231B8"/>
    <w:rsid w:val="00523C15"/>
    <w:rsid w:val="00524646"/>
    <w:rsid w:val="0052474A"/>
    <w:rsid w:val="00524FB0"/>
    <w:rsid w:val="00526686"/>
    <w:rsid w:val="00527EB2"/>
    <w:rsid w:val="005302A2"/>
    <w:rsid w:val="005307AD"/>
    <w:rsid w:val="00533468"/>
    <w:rsid w:val="00533771"/>
    <w:rsid w:val="00533E31"/>
    <w:rsid w:val="005342D9"/>
    <w:rsid w:val="00534BF4"/>
    <w:rsid w:val="00534E91"/>
    <w:rsid w:val="00535243"/>
    <w:rsid w:val="00541AE1"/>
    <w:rsid w:val="00541DE6"/>
    <w:rsid w:val="00544A5B"/>
    <w:rsid w:val="005500FC"/>
    <w:rsid w:val="00550716"/>
    <w:rsid w:val="00551643"/>
    <w:rsid w:val="00554E56"/>
    <w:rsid w:val="0055702D"/>
    <w:rsid w:val="0056169D"/>
    <w:rsid w:val="0056326C"/>
    <w:rsid w:val="00563857"/>
    <w:rsid w:val="00563BE0"/>
    <w:rsid w:val="00565B94"/>
    <w:rsid w:val="00565C32"/>
    <w:rsid w:val="0056608F"/>
    <w:rsid w:val="00566386"/>
    <w:rsid w:val="00566B69"/>
    <w:rsid w:val="00567FB9"/>
    <w:rsid w:val="00570B3B"/>
    <w:rsid w:val="00571915"/>
    <w:rsid w:val="00572C97"/>
    <w:rsid w:val="00574983"/>
    <w:rsid w:val="00575621"/>
    <w:rsid w:val="005766DF"/>
    <w:rsid w:val="00577BF1"/>
    <w:rsid w:val="00581B90"/>
    <w:rsid w:val="00583088"/>
    <w:rsid w:val="0058319B"/>
    <w:rsid w:val="00584185"/>
    <w:rsid w:val="00585499"/>
    <w:rsid w:val="00586F4C"/>
    <w:rsid w:val="00587BF9"/>
    <w:rsid w:val="00592059"/>
    <w:rsid w:val="0059342D"/>
    <w:rsid w:val="00594B3C"/>
    <w:rsid w:val="00594E6C"/>
    <w:rsid w:val="0059593B"/>
    <w:rsid w:val="00595F1B"/>
    <w:rsid w:val="00595FDD"/>
    <w:rsid w:val="005A126B"/>
    <w:rsid w:val="005A3F98"/>
    <w:rsid w:val="005A4262"/>
    <w:rsid w:val="005A473B"/>
    <w:rsid w:val="005A48D3"/>
    <w:rsid w:val="005A5153"/>
    <w:rsid w:val="005A5ADA"/>
    <w:rsid w:val="005B19FB"/>
    <w:rsid w:val="005B3741"/>
    <w:rsid w:val="005B3C06"/>
    <w:rsid w:val="005B4B6A"/>
    <w:rsid w:val="005B4D97"/>
    <w:rsid w:val="005B545D"/>
    <w:rsid w:val="005B590D"/>
    <w:rsid w:val="005C0F3A"/>
    <w:rsid w:val="005C239B"/>
    <w:rsid w:val="005C2730"/>
    <w:rsid w:val="005C4DDB"/>
    <w:rsid w:val="005C596D"/>
    <w:rsid w:val="005C6267"/>
    <w:rsid w:val="005C64CC"/>
    <w:rsid w:val="005C6CB7"/>
    <w:rsid w:val="005C6D53"/>
    <w:rsid w:val="005C7053"/>
    <w:rsid w:val="005C74FB"/>
    <w:rsid w:val="005C7750"/>
    <w:rsid w:val="005D50E5"/>
    <w:rsid w:val="005E0656"/>
    <w:rsid w:val="005E2E75"/>
    <w:rsid w:val="005E48C7"/>
    <w:rsid w:val="005E4E97"/>
    <w:rsid w:val="005F412E"/>
    <w:rsid w:val="005F4160"/>
    <w:rsid w:val="005F5177"/>
    <w:rsid w:val="005F777C"/>
    <w:rsid w:val="005F779C"/>
    <w:rsid w:val="005F7B9E"/>
    <w:rsid w:val="00601626"/>
    <w:rsid w:val="006027FF"/>
    <w:rsid w:val="00607E0B"/>
    <w:rsid w:val="0061164E"/>
    <w:rsid w:val="00612146"/>
    <w:rsid w:val="006129AC"/>
    <w:rsid w:val="006146E8"/>
    <w:rsid w:val="00615225"/>
    <w:rsid w:val="00615D70"/>
    <w:rsid w:val="006208D7"/>
    <w:rsid w:val="0062189C"/>
    <w:rsid w:val="00622D25"/>
    <w:rsid w:val="006249B8"/>
    <w:rsid w:val="006304C2"/>
    <w:rsid w:val="00631394"/>
    <w:rsid w:val="00632F0C"/>
    <w:rsid w:val="00632F77"/>
    <w:rsid w:val="006361F3"/>
    <w:rsid w:val="00637294"/>
    <w:rsid w:val="00641AE2"/>
    <w:rsid w:val="00642BE0"/>
    <w:rsid w:val="006437CA"/>
    <w:rsid w:val="00644230"/>
    <w:rsid w:val="00650747"/>
    <w:rsid w:val="00652BA8"/>
    <w:rsid w:val="00653061"/>
    <w:rsid w:val="006551DB"/>
    <w:rsid w:val="00655943"/>
    <w:rsid w:val="006562D2"/>
    <w:rsid w:val="00662A4E"/>
    <w:rsid w:val="0066420D"/>
    <w:rsid w:val="006646A9"/>
    <w:rsid w:val="006654BA"/>
    <w:rsid w:val="006663D8"/>
    <w:rsid w:val="0066741E"/>
    <w:rsid w:val="006675F3"/>
    <w:rsid w:val="00667EB8"/>
    <w:rsid w:val="00670086"/>
    <w:rsid w:val="00670D27"/>
    <w:rsid w:val="0067250C"/>
    <w:rsid w:val="00672C68"/>
    <w:rsid w:val="00673B4D"/>
    <w:rsid w:val="00674F08"/>
    <w:rsid w:val="00675EDA"/>
    <w:rsid w:val="00676A04"/>
    <w:rsid w:val="00677572"/>
    <w:rsid w:val="00677735"/>
    <w:rsid w:val="00681218"/>
    <w:rsid w:val="006818B6"/>
    <w:rsid w:val="006819A4"/>
    <w:rsid w:val="00683A4C"/>
    <w:rsid w:val="00683F97"/>
    <w:rsid w:val="006941E3"/>
    <w:rsid w:val="00696705"/>
    <w:rsid w:val="00696A98"/>
    <w:rsid w:val="006A0F24"/>
    <w:rsid w:val="006A1B5F"/>
    <w:rsid w:val="006A2212"/>
    <w:rsid w:val="006A30E4"/>
    <w:rsid w:val="006A6145"/>
    <w:rsid w:val="006A691D"/>
    <w:rsid w:val="006A6D7E"/>
    <w:rsid w:val="006A7351"/>
    <w:rsid w:val="006A7835"/>
    <w:rsid w:val="006B010F"/>
    <w:rsid w:val="006B0D9A"/>
    <w:rsid w:val="006B12F7"/>
    <w:rsid w:val="006B216D"/>
    <w:rsid w:val="006B26B7"/>
    <w:rsid w:val="006B62E4"/>
    <w:rsid w:val="006C130E"/>
    <w:rsid w:val="006C3487"/>
    <w:rsid w:val="006C4F0F"/>
    <w:rsid w:val="006C561A"/>
    <w:rsid w:val="006C5D42"/>
    <w:rsid w:val="006C5EB1"/>
    <w:rsid w:val="006C6069"/>
    <w:rsid w:val="006D2A9A"/>
    <w:rsid w:val="006D4337"/>
    <w:rsid w:val="006D5EFB"/>
    <w:rsid w:val="006E15A1"/>
    <w:rsid w:val="006E1C52"/>
    <w:rsid w:val="006E38C8"/>
    <w:rsid w:val="006E48E1"/>
    <w:rsid w:val="006E631C"/>
    <w:rsid w:val="006E7AC9"/>
    <w:rsid w:val="006F3F47"/>
    <w:rsid w:val="006F5EBA"/>
    <w:rsid w:val="006F5F20"/>
    <w:rsid w:val="006F721D"/>
    <w:rsid w:val="006F7F0A"/>
    <w:rsid w:val="00700C97"/>
    <w:rsid w:val="00700DD3"/>
    <w:rsid w:val="00701762"/>
    <w:rsid w:val="007030F7"/>
    <w:rsid w:val="007032E9"/>
    <w:rsid w:val="00703D69"/>
    <w:rsid w:val="007040C2"/>
    <w:rsid w:val="007042C6"/>
    <w:rsid w:val="00704493"/>
    <w:rsid w:val="00704E9A"/>
    <w:rsid w:val="0070632F"/>
    <w:rsid w:val="00710BE3"/>
    <w:rsid w:val="007113E1"/>
    <w:rsid w:val="00714E8A"/>
    <w:rsid w:val="00717A36"/>
    <w:rsid w:val="0072066B"/>
    <w:rsid w:val="00721AD0"/>
    <w:rsid w:val="00721DB3"/>
    <w:rsid w:val="00722760"/>
    <w:rsid w:val="00722A6E"/>
    <w:rsid w:val="00722FDE"/>
    <w:rsid w:val="00723BCD"/>
    <w:rsid w:val="0072408D"/>
    <w:rsid w:val="00725969"/>
    <w:rsid w:val="00725A12"/>
    <w:rsid w:val="00725FC6"/>
    <w:rsid w:val="007267D8"/>
    <w:rsid w:val="007268BF"/>
    <w:rsid w:val="0072691E"/>
    <w:rsid w:val="0072702B"/>
    <w:rsid w:val="007275C1"/>
    <w:rsid w:val="00733B02"/>
    <w:rsid w:val="00733E8E"/>
    <w:rsid w:val="0073426F"/>
    <w:rsid w:val="007366D0"/>
    <w:rsid w:val="007371F2"/>
    <w:rsid w:val="00737B95"/>
    <w:rsid w:val="00741B3A"/>
    <w:rsid w:val="0074284D"/>
    <w:rsid w:val="00742A1B"/>
    <w:rsid w:val="007466A7"/>
    <w:rsid w:val="00755B85"/>
    <w:rsid w:val="00756D24"/>
    <w:rsid w:val="00757E23"/>
    <w:rsid w:val="00761745"/>
    <w:rsid w:val="007629AD"/>
    <w:rsid w:val="00763247"/>
    <w:rsid w:val="0076345A"/>
    <w:rsid w:val="0076368B"/>
    <w:rsid w:val="00765D05"/>
    <w:rsid w:val="0076603A"/>
    <w:rsid w:val="007716FB"/>
    <w:rsid w:val="00771DB2"/>
    <w:rsid w:val="007731C9"/>
    <w:rsid w:val="007750C7"/>
    <w:rsid w:val="00780068"/>
    <w:rsid w:val="00780B39"/>
    <w:rsid w:val="0078185C"/>
    <w:rsid w:val="0078196C"/>
    <w:rsid w:val="007845CE"/>
    <w:rsid w:val="00787D75"/>
    <w:rsid w:val="00790E86"/>
    <w:rsid w:val="00791095"/>
    <w:rsid w:val="00793B36"/>
    <w:rsid w:val="007943CE"/>
    <w:rsid w:val="007944A0"/>
    <w:rsid w:val="00794C58"/>
    <w:rsid w:val="00794F17"/>
    <w:rsid w:val="00795281"/>
    <w:rsid w:val="00795409"/>
    <w:rsid w:val="00795542"/>
    <w:rsid w:val="007979CB"/>
    <w:rsid w:val="007A0808"/>
    <w:rsid w:val="007A157B"/>
    <w:rsid w:val="007A1EFB"/>
    <w:rsid w:val="007A216A"/>
    <w:rsid w:val="007A3C88"/>
    <w:rsid w:val="007A47A1"/>
    <w:rsid w:val="007A508C"/>
    <w:rsid w:val="007A5837"/>
    <w:rsid w:val="007A588E"/>
    <w:rsid w:val="007A79F4"/>
    <w:rsid w:val="007A7AE5"/>
    <w:rsid w:val="007B0362"/>
    <w:rsid w:val="007B28C1"/>
    <w:rsid w:val="007B2AA8"/>
    <w:rsid w:val="007B3A31"/>
    <w:rsid w:val="007B4113"/>
    <w:rsid w:val="007B5453"/>
    <w:rsid w:val="007B6665"/>
    <w:rsid w:val="007C0366"/>
    <w:rsid w:val="007C0904"/>
    <w:rsid w:val="007C3BC5"/>
    <w:rsid w:val="007C43C6"/>
    <w:rsid w:val="007C689A"/>
    <w:rsid w:val="007C7CF4"/>
    <w:rsid w:val="007D0B4D"/>
    <w:rsid w:val="007D2554"/>
    <w:rsid w:val="007D2758"/>
    <w:rsid w:val="007D4877"/>
    <w:rsid w:val="007D4DCC"/>
    <w:rsid w:val="007D4EB1"/>
    <w:rsid w:val="007D6C1B"/>
    <w:rsid w:val="007D7A9F"/>
    <w:rsid w:val="007E0FCD"/>
    <w:rsid w:val="007E25F7"/>
    <w:rsid w:val="007E3F41"/>
    <w:rsid w:val="007E46F7"/>
    <w:rsid w:val="007E4B57"/>
    <w:rsid w:val="007E6F86"/>
    <w:rsid w:val="007F1B55"/>
    <w:rsid w:val="007F3EAD"/>
    <w:rsid w:val="00800BF9"/>
    <w:rsid w:val="008014DB"/>
    <w:rsid w:val="00802E59"/>
    <w:rsid w:val="0080495E"/>
    <w:rsid w:val="00806AEE"/>
    <w:rsid w:val="00807D42"/>
    <w:rsid w:val="00807D62"/>
    <w:rsid w:val="00810412"/>
    <w:rsid w:val="008104FC"/>
    <w:rsid w:val="00810B7F"/>
    <w:rsid w:val="008112B5"/>
    <w:rsid w:val="00812DA0"/>
    <w:rsid w:val="00813B30"/>
    <w:rsid w:val="00814840"/>
    <w:rsid w:val="00816FCD"/>
    <w:rsid w:val="00817004"/>
    <w:rsid w:val="008177FA"/>
    <w:rsid w:val="00817894"/>
    <w:rsid w:val="008201C1"/>
    <w:rsid w:val="00821B7F"/>
    <w:rsid w:val="00824EA5"/>
    <w:rsid w:val="0082663C"/>
    <w:rsid w:val="0083141C"/>
    <w:rsid w:val="00836399"/>
    <w:rsid w:val="00837414"/>
    <w:rsid w:val="00837895"/>
    <w:rsid w:val="0083791C"/>
    <w:rsid w:val="00842E6B"/>
    <w:rsid w:val="008439E3"/>
    <w:rsid w:val="0084432A"/>
    <w:rsid w:val="00844DE0"/>
    <w:rsid w:val="00847A37"/>
    <w:rsid w:val="00850136"/>
    <w:rsid w:val="00850EFE"/>
    <w:rsid w:val="0085180D"/>
    <w:rsid w:val="00854C31"/>
    <w:rsid w:val="00856384"/>
    <w:rsid w:val="00860900"/>
    <w:rsid w:val="00862719"/>
    <w:rsid w:val="0086459B"/>
    <w:rsid w:val="00864DD4"/>
    <w:rsid w:val="00866F0B"/>
    <w:rsid w:val="00871F88"/>
    <w:rsid w:val="008736FB"/>
    <w:rsid w:val="0087390F"/>
    <w:rsid w:val="00874128"/>
    <w:rsid w:val="00874146"/>
    <w:rsid w:val="0088012B"/>
    <w:rsid w:val="00880AC3"/>
    <w:rsid w:val="00881467"/>
    <w:rsid w:val="00882A3F"/>
    <w:rsid w:val="008837D7"/>
    <w:rsid w:val="00883A86"/>
    <w:rsid w:val="008849A1"/>
    <w:rsid w:val="00885437"/>
    <w:rsid w:val="00885873"/>
    <w:rsid w:val="00886D11"/>
    <w:rsid w:val="00887C87"/>
    <w:rsid w:val="008919CB"/>
    <w:rsid w:val="00891A31"/>
    <w:rsid w:val="00891AF8"/>
    <w:rsid w:val="00892387"/>
    <w:rsid w:val="00892FAC"/>
    <w:rsid w:val="00893E05"/>
    <w:rsid w:val="00895DB3"/>
    <w:rsid w:val="00896268"/>
    <w:rsid w:val="00896336"/>
    <w:rsid w:val="008977F7"/>
    <w:rsid w:val="00897CAB"/>
    <w:rsid w:val="008A051B"/>
    <w:rsid w:val="008A16A8"/>
    <w:rsid w:val="008A4ADB"/>
    <w:rsid w:val="008A6FEC"/>
    <w:rsid w:val="008A717E"/>
    <w:rsid w:val="008A7E9B"/>
    <w:rsid w:val="008A7EF4"/>
    <w:rsid w:val="008B0382"/>
    <w:rsid w:val="008B179F"/>
    <w:rsid w:val="008B3355"/>
    <w:rsid w:val="008B4DBD"/>
    <w:rsid w:val="008B4FBA"/>
    <w:rsid w:val="008B54EE"/>
    <w:rsid w:val="008B5A3B"/>
    <w:rsid w:val="008B697B"/>
    <w:rsid w:val="008B719F"/>
    <w:rsid w:val="008B74A3"/>
    <w:rsid w:val="008C08A6"/>
    <w:rsid w:val="008C1A16"/>
    <w:rsid w:val="008C221E"/>
    <w:rsid w:val="008C4E4D"/>
    <w:rsid w:val="008C5FF5"/>
    <w:rsid w:val="008C6724"/>
    <w:rsid w:val="008C7867"/>
    <w:rsid w:val="008D008D"/>
    <w:rsid w:val="008D080E"/>
    <w:rsid w:val="008D14BE"/>
    <w:rsid w:val="008D3358"/>
    <w:rsid w:val="008D6043"/>
    <w:rsid w:val="008D634F"/>
    <w:rsid w:val="008D7CBF"/>
    <w:rsid w:val="008E06D9"/>
    <w:rsid w:val="008E0E0A"/>
    <w:rsid w:val="008E2355"/>
    <w:rsid w:val="008E2DD2"/>
    <w:rsid w:val="008E4EE3"/>
    <w:rsid w:val="008E5769"/>
    <w:rsid w:val="008E6AC4"/>
    <w:rsid w:val="008E7CB3"/>
    <w:rsid w:val="008F1AE5"/>
    <w:rsid w:val="008F48B7"/>
    <w:rsid w:val="008F5C8D"/>
    <w:rsid w:val="008F6467"/>
    <w:rsid w:val="009005DA"/>
    <w:rsid w:val="00900C59"/>
    <w:rsid w:val="0090341D"/>
    <w:rsid w:val="00903A37"/>
    <w:rsid w:val="009046B6"/>
    <w:rsid w:val="00904E30"/>
    <w:rsid w:val="00905489"/>
    <w:rsid w:val="00905C13"/>
    <w:rsid w:val="0091017C"/>
    <w:rsid w:val="00911E1E"/>
    <w:rsid w:val="00913A3F"/>
    <w:rsid w:val="00913A66"/>
    <w:rsid w:val="0091435B"/>
    <w:rsid w:val="00915AC6"/>
    <w:rsid w:val="009160D0"/>
    <w:rsid w:val="0091611A"/>
    <w:rsid w:val="00916DBD"/>
    <w:rsid w:val="00917DC9"/>
    <w:rsid w:val="00920E4E"/>
    <w:rsid w:val="00921446"/>
    <w:rsid w:val="0092295A"/>
    <w:rsid w:val="00924D04"/>
    <w:rsid w:val="00925EAF"/>
    <w:rsid w:val="00926193"/>
    <w:rsid w:val="00926E8D"/>
    <w:rsid w:val="009275B4"/>
    <w:rsid w:val="00930364"/>
    <w:rsid w:val="0093127C"/>
    <w:rsid w:val="0093177B"/>
    <w:rsid w:val="009336B5"/>
    <w:rsid w:val="00933C07"/>
    <w:rsid w:val="009341D2"/>
    <w:rsid w:val="0093437C"/>
    <w:rsid w:val="00934ECA"/>
    <w:rsid w:val="0093502F"/>
    <w:rsid w:val="00935487"/>
    <w:rsid w:val="009365D0"/>
    <w:rsid w:val="00940ECD"/>
    <w:rsid w:val="00941BF3"/>
    <w:rsid w:val="00942450"/>
    <w:rsid w:val="00942AD6"/>
    <w:rsid w:val="0094323D"/>
    <w:rsid w:val="00944296"/>
    <w:rsid w:val="00952575"/>
    <w:rsid w:val="00953558"/>
    <w:rsid w:val="00953F31"/>
    <w:rsid w:val="009561F5"/>
    <w:rsid w:val="00956DB8"/>
    <w:rsid w:val="00960001"/>
    <w:rsid w:val="009635CE"/>
    <w:rsid w:val="009640B1"/>
    <w:rsid w:val="009642D1"/>
    <w:rsid w:val="00967E83"/>
    <w:rsid w:val="00971257"/>
    <w:rsid w:val="0097325D"/>
    <w:rsid w:val="009735A6"/>
    <w:rsid w:val="00974D57"/>
    <w:rsid w:val="00975CCC"/>
    <w:rsid w:val="00981120"/>
    <w:rsid w:val="00981E8B"/>
    <w:rsid w:val="00985EBE"/>
    <w:rsid w:val="0098649F"/>
    <w:rsid w:val="009865A7"/>
    <w:rsid w:val="009878F5"/>
    <w:rsid w:val="00991182"/>
    <w:rsid w:val="009945D7"/>
    <w:rsid w:val="009949F3"/>
    <w:rsid w:val="009958FC"/>
    <w:rsid w:val="00995A32"/>
    <w:rsid w:val="0099628A"/>
    <w:rsid w:val="00996FBA"/>
    <w:rsid w:val="009A1519"/>
    <w:rsid w:val="009A33E9"/>
    <w:rsid w:val="009A4947"/>
    <w:rsid w:val="009A4990"/>
    <w:rsid w:val="009A499C"/>
    <w:rsid w:val="009A54FF"/>
    <w:rsid w:val="009A5B7B"/>
    <w:rsid w:val="009A6D32"/>
    <w:rsid w:val="009B2CA0"/>
    <w:rsid w:val="009B317C"/>
    <w:rsid w:val="009B39A9"/>
    <w:rsid w:val="009B4A32"/>
    <w:rsid w:val="009B6B1A"/>
    <w:rsid w:val="009C078F"/>
    <w:rsid w:val="009C0EDC"/>
    <w:rsid w:val="009C2396"/>
    <w:rsid w:val="009C2762"/>
    <w:rsid w:val="009C3C34"/>
    <w:rsid w:val="009C3DBF"/>
    <w:rsid w:val="009C64D1"/>
    <w:rsid w:val="009C67FB"/>
    <w:rsid w:val="009C7B96"/>
    <w:rsid w:val="009D258E"/>
    <w:rsid w:val="009D340E"/>
    <w:rsid w:val="009E0A60"/>
    <w:rsid w:val="009E0C11"/>
    <w:rsid w:val="009E287E"/>
    <w:rsid w:val="009E394C"/>
    <w:rsid w:val="009E3D55"/>
    <w:rsid w:val="009E57BC"/>
    <w:rsid w:val="009E69C8"/>
    <w:rsid w:val="009E792D"/>
    <w:rsid w:val="009E7AA5"/>
    <w:rsid w:val="009E7BD8"/>
    <w:rsid w:val="009F0505"/>
    <w:rsid w:val="009F1DFB"/>
    <w:rsid w:val="009F37E4"/>
    <w:rsid w:val="009F39E7"/>
    <w:rsid w:val="009F4D31"/>
    <w:rsid w:val="009F6099"/>
    <w:rsid w:val="009F6316"/>
    <w:rsid w:val="009F65E5"/>
    <w:rsid w:val="009F6F36"/>
    <w:rsid w:val="009F7782"/>
    <w:rsid w:val="009F7EA2"/>
    <w:rsid w:val="009F7F28"/>
    <w:rsid w:val="00A0144A"/>
    <w:rsid w:val="00A016C6"/>
    <w:rsid w:val="00A0578F"/>
    <w:rsid w:val="00A05CA7"/>
    <w:rsid w:val="00A0691A"/>
    <w:rsid w:val="00A107BE"/>
    <w:rsid w:val="00A1117C"/>
    <w:rsid w:val="00A130BD"/>
    <w:rsid w:val="00A135DF"/>
    <w:rsid w:val="00A1389C"/>
    <w:rsid w:val="00A151DC"/>
    <w:rsid w:val="00A157FD"/>
    <w:rsid w:val="00A167B6"/>
    <w:rsid w:val="00A21848"/>
    <w:rsid w:val="00A22176"/>
    <w:rsid w:val="00A225FC"/>
    <w:rsid w:val="00A22913"/>
    <w:rsid w:val="00A23B2D"/>
    <w:rsid w:val="00A2687C"/>
    <w:rsid w:val="00A26A18"/>
    <w:rsid w:val="00A3047C"/>
    <w:rsid w:val="00A30893"/>
    <w:rsid w:val="00A30A80"/>
    <w:rsid w:val="00A30AE5"/>
    <w:rsid w:val="00A30C15"/>
    <w:rsid w:val="00A31204"/>
    <w:rsid w:val="00A32C93"/>
    <w:rsid w:val="00A332F9"/>
    <w:rsid w:val="00A3425C"/>
    <w:rsid w:val="00A34DFF"/>
    <w:rsid w:val="00A356DF"/>
    <w:rsid w:val="00A35782"/>
    <w:rsid w:val="00A42AEB"/>
    <w:rsid w:val="00A43F7D"/>
    <w:rsid w:val="00A44C4C"/>
    <w:rsid w:val="00A45460"/>
    <w:rsid w:val="00A47EB9"/>
    <w:rsid w:val="00A47FBB"/>
    <w:rsid w:val="00A5030D"/>
    <w:rsid w:val="00A52296"/>
    <w:rsid w:val="00A53486"/>
    <w:rsid w:val="00A535EC"/>
    <w:rsid w:val="00A57545"/>
    <w:rsid w:val="00A5767B"/>
    <w:rsid w:val="00A619A5"/>
    <w:rsid w:val="00A624AC"/>
    <w:rsid w:val="00A6271C"/>
    <w:rsid w:val="00A62B59"/>
    <w:rsid w:val="00A63872"/>
    <w:rsid w:val="00A641E0"/>
    <w:rsid w:val="00A646DD"/>
    <w:rsid w:val="00A64F75"/>
    <w:rsid w:val="00A65CCB"/>
    <w:rsid w:val="00A665E4"/>
    <w:rsid w:val="00A718A0"/>
    <w:rsid w:val="00A72380"/>
    <w:rsid w:val="00A72A19"/>
    <w:rsid w:val="00A72C1F"/>
    <w:rsid w:val="00A763BE"/>
    <w:rsid w:val="00A76662"/>
    <w:rsid w:val="00A76EBF"/>
    <w:rsid w:val="00A80C8A"/>
    <w:rsid w:val="00A81111"/>
    <w:rsid w:val="00A82ED4"/>
    <w:rsid w:val="00A8324F"/>
    <w:rsid w:val="00A83C7D"/>
    <w:rsid w:val="00A86B69"/>
    <w:rsid w:val="00A8725B"/>
    <w:rsid w:val="00A87884"/>
    <w:rsid w:val="00A93754"/>
    <w:rsid w:val="00A94A8A"/>
    <w:rsid w:val="00A9558C"/>
    <w:rsid w:val="00A97760"/>
    <w:rsid w:val="00AA01B2"/>
    <w:rsid w:val="00AA02E4"/>
    <w:rsid w:val="00AA0CA8"/>
    <w:rsid w:val="00AA1701"/>
    <w:rsid w:val="00AA5A3F"/>
    <w:rsid w:val="00AA618C"/>
    <w:rsid w:val="00AA73C7"/>
    <w:rsid w:val="00AB047B"/>
    <w:rsid w:val="00AB1162"/>
    <w:rsid w:val="00AB1A8B"/>
    <w:rsid w:val="00AB3712"/>
    <w:rsid w:val="00AB398F"/>
    <w:rsid w:val="00AB4B1D"/>
    <w:rsid w:val="00AB54CB"/>
    <w:rsid w:val="00AB5CF3"/>
    <w:rsid w:val="00AB6803"/>
    <w:rsid w:val="00AB6CD6"/>
    <w:rsid w:val="00AB7487"/>
    <w:rsid w:val="00AC2478"/>
    <w:rsid w:val="00AC2604"/>
    <w:rsid w:val="00AC57A7"/>
    <w:rsid w:val="00AC5E3A"/>
    <w:rsid w:val="00AC77A1"/>
    <w:rsid w:val="00AC7D7C"/>
    <w:rsid w:val="00AD3200"/>
    <w:rsid w:val="00AD3531"/>
    <w:rsid w:val="00AD5154"/>
    <w:rsid w:val="00AD5237"/>
    <w:rsid w:val="00AD7520"/>
    <w:rsid w:val="00AD7639"/>
    <w:rsid w:val="00AD79C7"/>
    <w:rsid w:val="00AE2F90"/>
    <w:rsid w:val="00AE3D4B"/>
    <w:rsid w:val="00AE495D"/>
    <w:rsid w:val="00AE4EF3"/>
    <w:rsid w:val="00AE6FEF"/>
    <w:rsid w:val="00AE70B7"/>
    <w:rsid w:val="00AE7BFB"/>
    <w:rsid w:val="00AF052A"/>
    <w:rsid w:val="00AF1BA5"/>
    <w:rsid w:val="00AF2B19"/>
    <w:rsid w:val="00AF3594"/>
    <w:rsid w:val="00AF37D2"/>
    <w:rsid w:val="00AF403B"/>
    <w:rsid w:val="00AF5BF3"/>
    <w:rsid w:val="00AF5C81"/>
    <w:rsid w:val="00AF5FA5"/>
    <w:rsid w:val="00B00032"/>
    <w:rsid w:val="00B00997"/>
    <w:rsid w:val="00B0215B"/>
    <w:rsid w:val="00B0486C"/>
    <w:rsid w:val="00B11EDD"/>
    <w:rsid w:val="00B12011"/>
    <w:rsid w:val="00B143FC"/>
    <w:rsid w:val="00B17C04"/>
    <w:rsid w:val="00B17F72"/>
    <w:rsid w:val="00B17FA4"/>
    <w:rsid w:val="00B22915"/>
    <w:rsid w:val="00B246F2"/>
    <w:rsid w:val="00B24F5E"/>
    <w:rsid w:val="00B26C65"/>
    <w:rsid w:val="00B2758E"/>
    <w:rsid w:val="00B31624"/>
    <w:rsid w:val="00B31FB5"/>
    <w:rsid w:val="00B370D4"/>
    <w:rsid w:val="00B40AB1"/>
    <w:rsid w:val="00B41215"/>
    <w:rsid w:val="00B414E5"/>
    <w:rsid w:val="00B4277C"/>
    <w:rsid w:val="00B431E0"/>
    <w:rsid w:val="00B4533D"/>
    <w:rsid w:val="00B46E2B"/>
    <w:rsid w:val="00B50684"/>
    <w:rsid w:val="00B509E4"/>
    <w:rsid w:val="00B52700"/>
    <w:rsid w:val="00B53D4E"/>
    <w:rsid w:val="00B55273"/>
    <w:rsid w:val="00B55C94"/>
    <w:rsid w:val="00B55D5A"/>
    <w:rsid w:val="00B562AA"/>
    <w:rsid w:val="00B60582"/>
    <w:rsid w:val="00B6062E"/>
    <w:rsid w:val="00B60A60"/>
    <w:rsid w:val="00B61FC8"/>
    <w:rsid w:val="00B624FE"/>
    <w:rsid w:val="00B62560"/>
    <w:rsid w:val="00B62BAD"/>
    <w:rsid w:val="00B62D57"/>
    <w:rsid w:val="00B62F0A"/>
    <w:rsid w:val="00B63489"/>
    <w:rsid w:val="00B6425D"/>
    <w:rsid w:val="00B65064"/>
    <w:rsid w:val="00B71C91"/>
    <w:rsid w:val="00B71CB8"/>
    <w:rsid w:val="00B7201B"/>
    <w:rsid w:val="00B745E6"/>
    <w:rsid w:val="00B74BEA"/>
    <w:rsid w:val="00B8194D"/>
    <w:rsid w:val="00B81B41"/>
    <w:rsid w:val="00B8303F"/>
    <w:rsid w:val="00B84907"/>
    <w:rsid w:val="00B84B91"/>
    <w:rsid w:val="00B86EEF"/>
    <w:rsid w:val="00B87160"/>
    <w:rsid w:val="00B87442"/>
    <w:rsid w:val="00B87A2A"/>
    <w:rsid w:val="00B87B85"/>
    <w:rsid w:val="00B87E4C"/>
    <w:rsid w:val="00B906BA"/>
    <w:rsid w:val="00B906D0"/>
    <w:rsid w:val="00B92273"/>
    <w:rsid w:val="00B935D6"/>
    <w:rsid w:val="00B945E1"/>
    <w:rsid w:val="00B94883"/>
    <w:rsid w:val="00B94EE0"/>
    <w:rsid w:val="00B963B9"/>
    <w:rsid w:val="00B96B93"/>
    <w:rsid w:val="00B9767A"/>
    <w:rsid w:val="00B97EC5"/>
    <w:rsid w:val="00BA352B"/>
    <w:rsid w:val="00BA5EA4"/>
    <w:rsid w:val="00BA6DBB"/>
    <w:rsid w:val="00BB05EE"/>
    <w:rsid w:val="00BB3126"/>
    <w:rsid w:val="00BB34A4"/>
    <w:rsid w:val="00BB47F5"/>
    <w:rsid w:val="00BB7694"/>
    <w:rsid w:val="00BB7736"/>
    <w:rsid w:val="00BB79E2"/>
    <w:rsid w:val="00BC0C71"/>
    <w:rsid w:val="00BC1805"/>
    <w:rsid w:val="00BC4661"/>
    <w:rsid w:val="00BC4C1A"/>
    <w:rsid w:val="00BC6429"/>
    <w:rsid w:val="00BC64B5"/>
    <w:rsid w:val="00BC6BB6"/>
    <w:rsid w:val="00BC6C40"/>
    <w:rsid w:val="00BC72C4"/>
    <w:rsid w:val="00BC7CB9"/>
    <w:rsid w:val="00BD06AF"/>
    <w:rsid w:val="00BD20AE"/>
    <w:rsid w:val="00BD218C"/>
    <w:rsid w:val="00BD3CAC"/>
    <w:rsid w:val="00BD46F8"/>
    <w:rsid w:val="00BD651F"/>
    <w:rsid w:val="00BD65F4"/>
    <w:rsid w:val="00BD7094"/>
    <w:rsid w:val="00BD7522"/>
    <w:rsid w:val="00BE039F"/>
    <w:rsid w:val="00BE1396"/>
    <w:rsid w:val="00BE45C5"/>
    <w:rsid w:val="00BE496A"/>
    <w:rsid w:val="00BE6F73"/>
    <w:rsid w:val="00BE7ACD"/>
    <w:rsid w:val="00BF2530"/>
    <w:rsid w:val="00BF309D"/>
    <w:rsid w:val="00BF3753"/>
    <w:rsid w:val="00BF4343"/>
    <w:rsid w:val="00BF5CBD"/>
    <w:rsid w:val="00BF68F1"/>
    <w:rsid w:val="00BF6A3D"/>
    <w:rsid w:val="00BF6E6B"/>
    <w:rsid w:val="00C00DA3"/>
    <w:rsid w:val="00C056B0"/>
    <w:rsid w:val="00C05D04"/>
    <w:rsid w:val="00C05FB5"/>
    <w:rsid w:val="00C06FB4"/>
    <w:rsid w:val="00C0716B"/>
    <w:rsid w:val="00C11588"/>
    <w:rsid w:val="00C1585B"/>
    <w:rsid w:val="00C16676"/>
    <w:rsid w:val="00C2138D"/>
    <w:rsid w:val="00C23079"/>
    <w:rsid w:val="00C24F4D"/>
    <w:rsid w:val="00C24F5E"/>
    <w:rsid w:val="00C26206"/>
    <w:rsid w:val="00C26C34"/>
    <w:rsid w:val="00C26FB4"/>
    <w:rsid w:val="00C311B5"/>
    <w:rsid w:val="00C32C0C"/>
    <w:rsid w:val="00C349DB"/>
    <w:rsid w:val="00C37247"/>
    <w:rsid w:val="00C45597"/>
    <w:rsid w:val="00C45B7E"/>
    <w:rsid w:val="00C4611D"/>
    <w:rsid w:val="00C46CFB"/>
    <w:rsid w:val="00C4704B"/>
    <w:rsid w:val="00C47F15"/>
    <w:rsid w:val="00C51544"/>
    <w:rsid w:val="00C528EE"/>
    <w:rsid w:val="00C5315D"/>
    <w:rsid w:val="00C55728"/>
    <w:rsid w:val="00C56B1E"/>
    <w:rsid w:val="00C56F55"/>
    <w:rsid w:val="00C57320"/>
    <w:rsid w:val="00C57A1E"/>
    <w:rsid w:val="00C57D77"/>
    <w:rsid w:val="00C60537"/>
    <w:rsid w:val="00C64266"/>
    <w:rsid w:val="00C64C7F"/>
    <w:rsid w:val="00C664A3"/>
    <w:rsid w:val="00C66682"/>
    <w:rsid w:val="00C72693"/>
    <w:rsid w:val="00C729BD"/>
    <w:rsid w:val="00C72DBC"/>
    <w:rsid w:val="00C73136"/>
    <w:rsid w:val="00C75161"/>
    <w:rsid w:val="00C76227"/>
    <w:rsid w:val="00C7690E"/>
    <w:rsid w:val="00C8106E"/>
    <w:rsid w:val="00C81260"/>
    <w:rsid w:val="00C825BC"/>
    <w:rsid w:val="00C86C19"/>
    <w:rsid w:val="00C87241"/>
    <w:rsid w:val="00C875E8"/>
    <w:rsid w:val="00C878E4"/>
    <w:rsid w:val="00C915C7"/>
    <w:rsid w:val="00C91618"/>
    <w:rsid w:val="00C918B3"/>
    <w:rsid w:val="00C91F88"/>
    <w:rsid w:val="00C92BD6"/>
    <w:rsid w:val="00C92DBB"/>
    <w:rsid w:val="00C93B82"/>
    <w:rsid w:val="00C94373"/>
    <w:rsid w:val="00C95413"/>
    <w:rsid w:val="00C971FC"/>
    <w:rsid w:val="00CA2FA5"/>
    <w:rsid w:val="00CA30AF"/>
    <w:rsid w:val="00CA44C9"/>
    <w:rsid w:val="00CA584C"/>
    <w:rsid w:val="00CB0A21"/>
    <w:rsid w:val="00CB0D5F"/>
    <w:rsid w:val="00CB10DD"/>
    <w:rsid w:val="00CB133F"/>
    <w:rsid w:val="00CB1688"/>
    <w:rsid w:val="00CB263A"/>
    <w:rsid w:val="00CB33AB"/>
    <w:rsid w:val="00CB6452"/>
    <w:rsid w:val="00CB6C88"/>
    <w:rsid w:val="00CC3B7E"/>
    <w:rsid w:val="00CC404B"/>
    <w:rsid w:val="00CC4884"/>
    <w:rsid w:val="00CC6467"/>
    <w:rsid w:val="00CC65F6"/>
    <w:rsid w:val="00CC6C8C"/>
    <w:rsid w:val="00CC7803"/>
    <w:rsid w:val="00CD177B"/>
    <w:rsid w:val="00CD17B7"/>
    <w:rsid w:val="00CD4CA0"/>
    <w:rsid w:val="00CD4DEE"/>
    <w:rsid w:val="00CD5DDB"/>
    <w:rsid w:val="00CE0A03"/>
    <w:rsid w:val="00CE247F"/>
    <w:rsid w:val="00CE2B34"/>
    <w:rsid w:val="00CE4414"/>
    <w:rsid w:val="00CE4665"/>
    <w:rsid w:val="00CE4EC0"/>
    <w:rsid w:val="00CE53C3"/>
    <w:rsid w:val="00CE59F8"/>
    <w:rsid w:val="00CE73C8"/>
    <w:rsid w:val="00CE7FE3"/>
    <w:rsid w:val="00CF0F8A"/>
    <w:rsid w:val="00CF106A"/>
    <w:rsid w:val="00CF2DC5"/>
    <w:rsid w:val="00CF5818"/>
    <w:rsid w:val="00CF5C33"/>
    <w:rsid w:val="00CF76EC"/>
    <w:rsid w:val="00CF7E6C"/>
    <w:rsid w:val="00D01277"/>
    <w:rsid w:val="00D01F7A"/>
    <w:rsid w:val="00D02AB0"/>
    <w:rsid w:val="00D02EB5"/>
    <w:rsid w:val="00D033CA"/>
    <w:rsid w:val="00D03517"/>
    <w:rsid w:val="00D03D01"/>
    <w:rsid w:val="00D04E9A"/>
    <w:rsid w:val="00D057BF"/>
    <w:rsid w:val="00D06E6B"/>
    <w:rsid w:val="00D1032B"/>
    <w:rsid w:val="00D1153B"/>
    <w:rsid w:val="00D13761"/>
    <w:rsid w:val="00D13D37"/>
    <w:rsid w:val="00D141F5"/>
    <w:rsid w:val="00D14FBB"/>
    <w:rsid w:val="00D15007"/>
    <w:rsid w:val="00D151A3"/>
    <w:rsid w:val="00D1577C"/>
    <w:rsid w:val="00D158F3"/>
    <w:rsid w:val="00D16F2A"/>
    <w:rsid w:val="00D17D9A"/>
    <w:rsid w:val="00D20840"/>
    <w:rsid w:val="00D27EB8"/>
    <w:rsid w:val="00D30010"/>
    <w:rsid w:val="00D307C9"/>
    <w:rsid w:val="00D30938"/>
    <w:rsid w:val="00D3296E"/>
    <w:rsid w:val="00D33D05"/>
    <w:rsid w:val="00D36B7E"/>
    <w:rsid w:val="00D40463"/>
    <w:rsid w:val="00D4155F"/>
    <w:rsid w:val="00D41810"/>
    <w:rsid w:val="00D442E1"/>
    <w:rsid w:val="00D45FFA"/>
    <w:rsid w:val="00D46416"/>
    <w:rsid w:val="00D47F0B"/>
    <w:rsid w:val="00D50037"/>
    <w:rsid w:val="00D51EEC"/>
    <w:rsid w:val="00D524BE"/>
    <w:rsid w:val="00D52DA8"/>
    <w:rsid w:val="00D5321E"/>
    <w:rsid w:val="00D53889"/>
    <w:rsid w:val="00D54074"/>
    <w:rsid w:val="00D54D04"/>
    <w:rsid w:val="00D54F78"/>
    <w:rsid w:val="00D57612"/>
    <w:rsid w:val="00D57BEC"/>
    <w:rsid w:val="00D60B32"/>
    <w:rsid w:val="00D61F4E"/>
    <w:rsid w:val="00D6340D"/>
    <w:rsid w:val="00D63C83"/>
    <w:rsid w:val="00D640D9"/>
    <w:rsid w:val="00D65C57"/>
    <w:rsid w:val="00D65DE7"/>
    <w:rsid w:val="00D662BB"/>
    <w:rsid w:val="00D72C1F"/>
    <w:rsid w:val="00D72C35"/>
    <w:rsid w:val="00D737EB"/>
    <w:rsid w:val="00D76A91"/>
    <w:rsid w:val="00D8015D"/>
    <w:rsid w:val="00D81B9C"/>
    <w:rsid w:val="00D84761"/>
    <w:rsid w:val="00D8592B"/>
    <w:rsid w:val="00D86073"/>
    <w:rsid w:val="00D86EF4"/>
    <w:rsid w:val="00D87103"/>
    <w:rsid w:val="00D90734"/>
    <w:rsid w:val="00D93233"/>
    <w:rsid w:val="00D93B8D"/>
    <w:rsid w:val="00D93E02"/>
    <w:rsid w:val="00D94292"/>
    <w:rsid w:val="00D94330"/>
    <w:rsid w:val="00D94FF0"/>
    <w:rsid w:val="00D9530A"/>
    <w:rsid w:val="00D954EB"/>
    <w:rsid w:val="00D956D8"/>
    <w:rsid w:val="00D9758B"/>
    <w:rsid w:val="00D97A6F"/>
    <w:rsid w:val="00DA1C3C"/>
    <w:rsid w:val="00DA2D2A"/>
    <w:rsid w:val="00DA33C1"/>
    <w:rsid w:val="00DA3913"/>
    <w:rsid w:val="00DA4714"/>
    <w:rsid w:val="00DA4ADA"/>
    <w:rsid w:val="00DA4D5C"/>
    <w:rsid w:val="00DA5885"/>
    <w:rsid w:val="00DB1B29"/>
    <w:rsid w:val="00DB1E27"/>
    <w:rsid w:val="00DB2672"/>
    <w:rsid w:val="00DB2DFB"/>
    <w:rsid w:val="00DB5ACE"/>
    <w:rsid w:val="00DB67B6"/>
    <w:rsid w:val="00DB7D2A"/>
    <w:rsid w:val="00DC01E5"/>
    <w:rsid w:val="00DC3C97"/>
    <w:rsid w:val="00DC6448"/>
    <w:rsid w:val="00DD02BA"/>
    <w:rsid w:val="00DD0E5F"/>
    <w:rsid w:val="00DD0F82"/>
    <w:rsid w:val="00DD1642"/>
    <w:rsid w:val="00DD1E01"/>
    <w:rsid w:val="00DD3BDC"/>
    <w:rsid w:val="00DD4378"/>
    <w:rsid w:val="00DD47EA"/>
    <w:rsid w:val="00DD62CE"/>
    <w:rsid w:val="00DE0F45"/>
    <w:rsid w:val="00DE1BF6"/>
    <w:rsid w:val="00DE3F7F"/>
    <w:rsid w:val="00DE5B97"/>
    <w:rsid w:val="00DE64F4"/>
    <w:rsid w:val="00DE65F0"/>
    <w:rsid w:val="00DE6B21"/>
    <w:rsid w:val="00DE7A6A"/>
    <w:rsid w:val="00DF0C47"/>
    <w:rsid w:val="00DF2A32"/>
    <w:rsid w:val="00DF34A2"/>
    <w:rsid w:val="00DF34A3"/>
    <w:rsid w:val="00DF35DA"/>
    <w:rsid w:val="00DF565D"/>
    <w:rsid w:val="00DF56AC"/>
    <w:rsid w:val="00DF5B8D"/>
    <w:rsid w:val="00DF60AB"/>
    <w:rsid w:val="00DF78E2"/>
    <w:rsid w:val="00E0012D"/>
    <w:rsid w:val="00E013F1"/>
    <w:rsid w:val="00E02329"/>
    <w:rsid w:val="00E02D04"/>
    <w:rsid w:val="00E047FE"/>
    <w:rsid w:val="00E05071"/>
    <w:rsid w:val="00E05649"/>
    <w:rsid w:val="00E06786"/>
    <w:rsid w:val="00E0750B"/>
    <w:rsid w:val="00E105F2"/>
    <w:rsid w:val="00E12062"/>
    <w:rsid w:val="00E12E35"/>
    <w:rsid w:val="00E136EB"/>
    <w:rsid w:val="00E158AE"/>
    <w:rsid w:val="00E16038"/>
    <w:rsid w:val="00E22319"/>
    <w:rsid w:val="00E2296D"/>
    <w:rsid w:val="00E2764A"/>
    <w:rsid w:val="00E27AA7"/>
    <w:rsid w:val="00E30519"/>
    <w:rsid w:val="00E3233E"/>
    <w:rsid w:val="00E32C54"/>
    <w:rsid w:val="00E34CE5"/>
    <w:rsid w:val="00E35762"/>
    <w:rsid w:val="00E369CE"/>
    <w:rsid w:val="00E3798E"/>
    <w:rsid w:val="00E40086"/>
    <w:rsid w:val="00E4104F"/>
    <w:rsid w:val="00E41629"/>
    <w:rsid w:val="00E41A4E"/>
    <w:rsid w:val="00E42F98"/>
    <w:rsid w:val="00E4468E"/>
    <w:rsid w:val="00E4476E"/>
    <w:rsid w:val="00E44B64"/>
    <w:rsid w:val="00E44F44"/>
    <w:rsid w:val="00E45C34"/>
    <w:rsid w:val="00E47849"/>
    <w:rsid w:val="00E47A61"/>
    <w:rsid w:val="00E5018C"/>
    <w:rsid w:val="00E51089"/>
    <w:rsid w:val="00E5151E"/>
    <w:rsid w:val="00E5215E"/>
    <w:rsid w:val="00E52326"/>
    <w:rsid w:val="00E52589"/>
    <w:rsid w:val="00E52654"/>
    <w:rsid w:val="00E53411"/>
    <w:rsid w:val="00E5403C"/>
    <w:rsid w:val="00E5466C"/>
    <w:rsid w:val="00E548DC"/>
    <w:rsid w:val="00E5511C"/>
    <w:rsid w:val="00E560BA"/>
    <w:rsid w:val="00E56B66"/>
    <w:rsid w:val="00E56C6D"/>
    <w:rsid w:val="00E574ED"/>
    <w:rsid w:val="00E60C5C"/>
    <w:rsid w:val="00E61F0E"/>
    <w:rsid w:val="00E6739E"/>
    <w:rsid w:val="00E72690"/>
    <w:rsid w:val="00E72AF3"/>
    <w:rsid w:val="00E72C1C"/>
    <w:rsid w:val="00E73509"/>
    <w:rsid w:val="00E74143"/>
    <w:rsid w:val="00E74692"/>
    <w:rsid w:val="00E80A39"/>
    <w:rsid w:val="00E8191A"/>
    <w:rsid w:val="00E81C51"/>
    <w:rsid w:val="00E820BF"/>
    <w:rsid w:val="00E8224A"/>
    <w:rsid w:val="00E82B37"/>
    <w:rsid w:val="00E91949"/>
    <w:rsid w:val="00E93C58"/>
    <w:rsid w:val="00E94390"/>
    <w:rsid w:val="00E9485E"/>
    <w:rsid w:val="00E96168"/>
    <w:rsid w:val="00E96352"/>
    <w:rsid w:val="00EA0229"/>
    <w:rsid w:val="00EA1725"/>
    <w:rsid w:val="00EA2406"/>
    <w:rsid w:val="00EA24F9"/>
    <w:rsid w:val="00EA4B4C"/>
    <w:rsid w:val="00EA5092"/>
    <w:rsid w:val="00EA5E84"/>
    <w:rsid w:val="00EA5EB9"/>
    <w:rsid w:val="00EB0162"/>
    <w:rsid w:val="00EC131D"/>
    <w:rsid w:val="00EC2CF1"/>
    <w:rsid w:val="00EC489F"/>
    <w:rsid w:val="00EC60BB"/>
    <w:rsid w:val="00EC7D81"/>
    <w:rsid w:val="00ED02AB"/>
    <w:rsid w:val="00ED0617"/>
    <w:rsid w:val="00ED163D"/>
    <w:rsid w:val="00ED24E4"/>
    <w:rsid w:val="00ED30EA"/>
    <w:rsid w:val="00ED44E2"/>
    <w:rsid w:val="00ED456C"/>
    <w:rsid w:val="00ED47CA"/>
    <w:rsid w:val="00ED4B5C"/>
    <w:rsid w:val="00ED55BF"/>
    <w:rsid w:val="00ED5712"/>
    <w:rsid w:val="00ED5CBD"/>
    <w:rsid w:val="00ED6E77"/>
    <w:rsid w:val="00ED7C66"/>
    <w:rsid w:val="00ED7DF7"/>
    <w:rsid w:val="00EE0C07"/>
    <w:rsid w:val="00EE1AA9"/>
    <w:rsid w:val="00EE2780"/>
    <w:rsid w:val="00EE2A50"/>
    <w:rsid w:val="00EE38CF"/>
    <w:rsid w:val="00EE49B4"/>
    <w:rsid w:val="00EE66FC"/>
    <w:rsid w:val="00EF1533"/>
    <w:rsid w:val="00EF1BF4"/>
    <w:rsid w:val="00EF320B"/>
    <w:rsid w:val="00EF3AAF"/>
    <w:rsid w:val="00EF3CE1"/>
    <w:rsid w:val="00EF4423"/>
    <w:rsid w:val="00EF4A12"/>
    <w:rsid w:val="00EF769E"/>
    <w:rsid w:val="00F05C8E"/>
    <w:rsid w:val="00F10E63"/>
    <w:rsid w:val="00F1338B"/>
    <w:rsid w:val="00F14883"/>
    <w:rsid w:val="00F16349"/>
    <w:rsid w:val="00F20E36"/>
    <w:rsid w:val="00F22B8E"/>
    <w:rsid w:val="00F24380"/>
    <w:rsid w:val="00F243BB"/>
    <w:rsid w:val="00F2594C"/>
    <w:rsid w:val="00F26D12"/>
    <w:rsid w:val="00F30048"/>
    <w:rsid w:val="00F30479"/>
    <w:rsid w:val="00F3149D"/>
    <w:rsid w:val="00F31AD6"/>
    <w:rsid w:val="00F32257"/>
    <w:rsid w:val="00F338EA"/>
    <w:rsid w:val="00F345FB"/>
    <w:rsid w:val="00F3536D"/>
    <w:rsid w:val="00F36B4C"/>
    <w:rsid w:val="00F3734F"/>
    <w:rsid w:val="00F40C29"/>
    <w:rsid w:val="00F40FD9"/>
    <w:rsid w:val="00F426F1"/>
    <w:rsid w:val="00F4623D"/>
    <w:rsid w:val="00F4720A"/>
    <w:rsid w:val="00F472B8"/>
    <w:rsid w:val="00F4766B"/>
    <w:rsid w:val="00F47AC3"/>
    <w:rsid w:val="00F504E6"/>
    <w:rsid w:val="00F505E2"/>
    <w:rsid w:val="00F51416"/>
    <w:rsid w:val="00F526B3"/>
    <w:rsid w:val="00F528C9"/>
    <w:rsid w:val="00F52C0B"/>
    <w:rsid w:val="00F54266"/>
    <w:rsid w:val="00F55BA4"/>
    <w:rsid w:val="00F613DA"/>
    <w:rsid w:val="00F6156D"/>
    <w:rsid w:val="00F61DDD"/>
    <w:rsid w:val="00F62469"/>
    <w:rsid w:val="00F631EF"/>
    <w:rsid w:val="00F63809"/>
    <w:rsid w:val="00F63E8C"/>
    <w:rsid w:val="00F66DD0"/>
    <w:rsid w:val="00F70BD3"/>
    <w:rsid w:val="00F714AC"/>
    <w:rsid w:val="00F716CC"/>
    <w:rsid w:val="00F723FC"/>
    <w:rsid w:val="00F72AB8"/>
    <w:rsid w:val="00F758E0"/>
    <w:rsid w:val="00F76526"/>
    <w:rsid w:val="00F76EBD"/>
    <w:rsid w:val="00F7785C"/>
    <w:rsid w:val="00F80311"/>
    <w:rsid w:val="00F80340"/>
    <w:rsid w:val="00F834B9"/>
    <w:rsid w:val="00F84B8F"/>
    <w:rsid w:val="00F85F56"/>
    <w:rsid w:val="00F867B3"/>
    <w:rsid w:val="00F87A86"/>
    <w:rsid w:val="00F87FFD"/>
    <w:rsid w:val="00F90A93"/>
    <w:rsid w:val="00F91F2E"/>
    <w:rsid w:val="00F92F16"/>
    <w:rsid w:val="00F9326C"/>
    <w:rsid w:val="00F9447D"/>
    <w:rsid w:val="00F9582C"/>
    <w:rsid w:val="00F96055"/>
    <w:rsid w:val="00F961DF"/>
    <w:rsid w:val="00F9751F"/>
    <w:rsid w:val="00FA03B3"/>
    <w:rsid w:val="00FA0418"/>
    <w:rsid w:val="00FA1C91"/>
    <w:rsid w:val="00FA28C4"/>
    <w:rsid w:val="00FA5113"/>
    <w:rsid w:val="00FB2181"/>
    <w:rsid w:val="00FB46D5"/>
    <w:rsid w:val="00FC03EF"/>
    <w:rsid w:val="00FC05B7"/>
    <w:rsid w:val="00FC3DF7"/>
    <w:rsid w:val="00FC4BC8"/>
    <w:rsid w:val="00FC4F46"/>
    <w:rsid w:val="00FC71F7"/>
    <w:rsid w:val="00FD0613"/>
    <w:rsid w:val="00FD1141"/>
    <w:rsid w:val="00FD23F5"/>
    <w:rsid w:val="00FD2AE3"/>
    <w:rsid w:val="00FD4516"/>
    <w:rsid w:val="00FD7594"/>
    <w:rsid w:val="00FD7E12"/>
    <w:rsid w:val="00FE0D3C"/>
    <w:rsid w:val="00FE188E"/>
    <w:rsid w:val="00FE1C42"/>
    <w:rsid w:val="00FE51D6"/>
    <w:rsid w:val="00FE649B"/>
    <w:rsid w:val="00FF03A1"/>
    <w:rsid w:val="00FF04A2"/>
    <w:rsid w:val="00FF1240"/>
    <w:rsid w:val="00FF1CD0"/>
    <w:rsid w:val="00FF254C"/>
    <w:rsid w:val="00FF3A2C"/>
    <w:rsid w:val="00FF46C8"/>
    <w:rsid w:val="00FF4E02"/>
    <w:rsid w:val="00FF6F8E"/>
    <w:rsid w:val="02A7171B"/>
    <w:rsid w:val="29923F79"/>
    <w:rsid w:val="62904EC1"/>
    <w:rsid w:val="69657E6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D6C151"/>
  <w15:docId w15:val="{15B52ABC-1E1B-44DD-A99D-647C8791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F48B7"/>
  </w:style>
  <w:style w:type="paragraph" w:styleId="Antrat2">
    <w:name w:val="heading 2"/>
    <w:basedOn w:val="prastasis"/>
    <w:next w:val="prastasis"/>
    <w:link w:val="Antrat2Diagrama"/>
    <w:qFormat/>
    <w:rsid w:val="008F48B7"/>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sid w:val="008F48B7"/>
    <w:rPr>
      <w:b/>
      <w:bCs/>
    </w:rPr>
  </w:style>
  <w:style w:type="character" w:customStyle="1" w:styleId="PoratDiagrama">
    <w:name w:val="Poraštė Diagrama"/>
    <w:link w:val="Porat"/>
    <w:rsid w:val="008F48B7"/>
    <w:rPr>
      <w:sz w:val="24"/>
      <w:szCs w:val="24"/>
    </w:rPr>
  </w:style>
  <w:style w:type="character" w:styleId="Komentaronuoroda">
    <w:name w:val="annotation reference"/>
    <w:rsid w:val="008F48B7"/>
    <w:rPr>
      <w:sz w:val="16"/>
      <w:szCs w:val="16"/>
    </w:rPr>
  </w:style>
  <w:style w:type="character" w:styleId="Puslapionumeris">
    <w:name w:val="page number"/>
    <w:basedOn w:val="Numatytasispastraiposriftas"/>
    <w:rsid w:val="008F48B7"/>
  </w:style>
  <w:style w:type="character" w:customStyle="1" w:styleId="KomentarotekstasDiagrama">
    <w:name w:val="Komentaro tekstas Diagrama"/>
    <w:basedOn w:val="Numatytasispastraiposriftas"/>
    <w:link w:val="Komentarotekstas"/>
    <w:rsid w:val="008F48B7"/>
  </w:style>
  <w:style w:type="paragraph" w:styleId="Pavadinimas">
    <w:name w:val="Title"/>
    <w:basedOn w:val="prastasis"/>
    <w:qFormat/>
    <w:rsid w:val="008F48B7"/>
    <w:pPr>
      <w:jc w:val="center"/>
    </w:pPr>
    <w:rPr>
      <w:b/>
      <w:bCs/>
      <w:i/>
      <w:sz w:val="28"/>
      <w:lang w:eastAsia="en-US"/>
    </w:rPr>
  </w:style>
  <w:style w:type="paragraph" w:styleId="Debesliotekstas">
    <w:name w:val="Balloon Text"/>
    <w:basedOn w:val="prastasis"/>
    <w:semiHidden/>
    <w:rsid w:val="008F48B7"/>
    <w:rPr>
      <w:rFonts w:ascii="Tahoma" w:hAnsi="Tahoma" w:cs="Tahoma"/>
      <w:sz w:val="16"/>
      <w:szCs w:val="16"/>
    </w:rPr>
  </w:style>
  <w:style w:type="paragraph" w:styleId="Antrats">
    <w:name w:val="header"/>
    <w:basedOn w:val="prastasis"/>
    <w:rsid w:val="008F48B7"/>
    <w:pPr>
      <w:tabs>
        <w:tab w:val="center" w:pos="4819"/>
        <w:tab w:val="right" w:pos="9638"/>
      </w:tabs>
    </w:pPr>
  </w:style>
  <w:style w:type="paragraph" w:customStyle="1" w:styleId="StyleHeading2NotItalic">
    <w:name w:val="Style Heading 2 + Not Italic"/>
    <w:basedOn w:val="Antrat2"/>
    <w:rsid w:val="008F48B7"/>
  </w:style>
  <w:style w:type="paragraph" w:styleId="Porat">
    <w:name w:val="footer"/>
    <w:basedOn w:val="prastasis"/>
    <w:link w:val="PoratDiagrama"/>
    <w:rsid w:val="008F48B7"/>
    <w:pPr>
      <w:tabs>
        <w:tab w:val="center" w:pos="4819"/>
        <w:tab w:val="right" w:pos="9638"/>
      </w:tabs>
    </w:pPr>
  </w:style>
  <w:style w:type="paragraph" w:styleId="Komentarotema">
    <w:name w:val="annotation subject"/>
    <w:basedOn w:val="Komentarotekstas"/>
    <w:next w:val="Komentarotekstas"/>
    <w:link w:val="KomentarotemaDiagrama"/>
    <w:rsid w:val="008F48B7"/>
    <w:rPr>
      <w:b/>
      <w:bCs/>
    </w:rPr>
  </w:style>
  <w:style w:type="paragraph" w:styleId="Komentarotekstas">
    <w:name w:val="annotation text"/>
    <w:basedOn w:val="prastasis"/>
    <w:link w:val="KomentarotekstasDiagrama"/>
    <w:rsid w:val="008F48B7"/>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99"/>
    <w:qFormat/>
    <w:rsid w:val="008F48B7"/>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taltipfb">
    <w:name w:val="taltipfb"/>
    <w:basedOn w:val="prastasis"/>
    <w:rsid w:val="00554E56"/>
    <w:pPr>
      <w:spacing w:before="100" w:beforeAutospacing="1" w:after="100" w:afterAutospacing="1"/>
    </w:pPr>
  </w:style>
  <w:style w:type="paragraph" w:customStyle="1" w:styleId="tajtip">
    <w:name w:val="tajtip"/>
    <w:basedOn w:val="prastasis"/>
    <w:rsid w:val="00554E56"/>
    <w:pPr>
      <w:spacing w:before="100" w:beforeAutospacing="1" w:after="100" w:afterAutospacing="1"/>
    </w:pPr>
  </w:style>
  <w:style w:type="character" w:styleId="Hipersaitas">
    <w:name w:val="Hyperlink"/>
    <w:uiPriority w:val="99"/>
    <w:unhideWhenUsed/>
    <w:rsid w:val="00C57A1E"/>
    <w:rPr>
      <w:strike w:val="0"/>
      <w:dstrike w:val="0"/>
      <w:color w:val="3366CC"/>
      <w:u w:val="none"/>
      <w:effect w:val="none"/>
      <w:shd w:val="clear" w:color="auto" w:fill="auto"/>
    </w:rPr>
  </w:style>
  <w:style w:type="character" w:customStyle="1" w:styleId="Antrat2Diagrama">
    <w:name w:val="Antraštė 2 Diagrama"/>
    <w:link w:val="Antrat2"/>
    <w:uiPriority w:val="9"/>
    <w:rsid w:val="00C57A1E"/>
    <w:rPr>
      <w:b/>
      <w:i/>
      <w:sz w:val="24"/>
      <w:szCs w:val="24"/>
      <w:u w:val="single"/>
      <w:lang w:eastAsia="en-US"/>
    </w:rPr>
  </w:style>
  <w:style w:type="table" w:styleId="Lentelstinklelis">
    <w:name w:val="Table Grid"/>
    <w:basedOn w:val="prastojilentel"/>
    <w:uiPriority w:val="59"/>
    <w:rsid w:val="00C57A1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D51EEC"/>
  </w:style>
  <w:style w:type="character" w:styleId="Neapdorotaspaminjimas">
    <w:name w:val="Unresolved Mention"/>
    <w:basedOn w:val="Numatytasispastraiposriftas"/>
    <w:uiPriority w:val="99"/>
    <w:semiHidden/>
    <w:unhideWhenUsed/>
    <w:rsid w:val="004231E5"/>
    <w:rPr>
      <w:color w:val="605E5C"/>
      <w:shd w:val="clear" w:color="auto" w:fill="E1DFDD"/>
    </w:rPr>
  </w:style>
  <w:style w:type="paragraph" w:customStyle="1" w:styleId="prastasis1">
    <w:name w:val="Įprastasis1"/>
    <w:basedOn w:val="prastasis"/>
    <w:rsid w:val="00BD20AE"/>
    <w:pPr>
      <w:spacing w:before="100" w:beforeAutospacing="1" w:after="100" w:afterAutospacing="1"/>
    </w:pPr>
    <w:rPr>
      <w:lang w:val="en-US" w:eastAsia="en-U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99"/>
    <w:qFormat/>
    <w:locked/>
    <w:rsid w:val="001F3ADD"/>
    <w:rPr>
      <w:rFonts w:ascii="Calibri" w:hAnsi="Calibri"/>
      <w:sz w:val="22"/>
      <w:szCs w:val="22"/>
    </w:rPr>
  </w:style>
  <w:style w:type="paragraph" w:customStyle="1" w:styleId="normal-p">
    <w:name w:val="normal-p"/>
    <w:basedOn w:val="prastasis"/>
    <w:rsid w:val="00C91618"/>
    <w:pPr>
      <w:spacing w:before="100" w:beforeAutospacing="1" w:after="100" w:afterAutospacing="1"/>
    </w:pPr>
    <w:rPr>
      <w:color w:val="auto"/>
      <w:lang w:val="en-US" w:eastAsia="en-US"/>
    </w:rPr>
  </w:style>
  <w:style w:type="character" w:customStyle="1" w:styleId="normal-h">
    <w:name w:val="normal-h"/>
    <w:basedOn w:val="Numatytasispastraiposriftas"/>
    <w:rsid w:val="00C91618"/>
  </w:style>
  <w:style w:type="numbering" w:customStyle="1" w:styleId="Nutartis">
    <w:name w:val="Nutartis"/>
    <w:rsid w:val="000300A7"/>
    <w:pPr>
      <w:numPr>
        <w:numId w:val="27"/>
      </w:numPr>
    </w:pPr>
  </w:style>
  <w:style w:type="numbering" w:customStyle="1" w:styleId="Nutartis1">
    <w:name w:val="Nutartis1"/>
    <w:rsid w:val="00594E6C"/>
  </w:style>
  <w:style w:type="character" w:customStyle="1" w:styleId="Bodytext2">
    <w:name w:val="Body text (2)_"/>
    <w:basedOn w:val="Numatytasispastraiposriftas"/>
    <w:link w:val="Bodytext20"/>
    <w:rsid w:val="00632F0C"/>
    <w:rPr>
      <w:sz w:val="22"/>
      <w:szCs w:val="22"/>
      <w:shd w:val="clear" w:color="auto" w:fill="FFFFFF"/>
    </w:rPr>
  </w:style>
  <w:style w:type="paragraph" w:customStyle="1" w:styleId="Bodytext20">
    <w:name w:val="Body text (2)"/>
    <w:basedOn w:val="prastasis"/>
    <w:link w:val="Bodytext2"/>
    <w:rsid w:val="00632F0C"/>
    <w:pPr>
      <w:widowControl w:val="0"/>
      <w:shd w:val="clear" w:color="auto" w:fill="FFFFFF"/>
      <w:spacing w:after="120" w:line="274" w:lineRule="exact"/>
      <w:ind w:hanging="420"/>
    </w:pPr>
    <w:rPr>
      <w:sz w:val="22"/>
      <w:szCs w:val="22"/>
    </w:rPr>
  </w:style>
  <w:style w:type="paragraph" w:customStyle="1" w:styleId="list-paragraph">
    <w:name w:val="list-paragraph"/>
    <w:basedOn w:val="prastasis"/>
    <w:rsid w:val="00817894"/>
    <w:pPr>
      <w:spacing w:before="100" w:beforeAutospacing="1" w:after="100" w:afterAutospacing="1"/>
    </w:pPr>
    <w:rPr>
      <w:rFonts w:eastAsiaTheme="minorEastAsia"/>
      <w:color w:val="auto"/>
      <w:lang w:val="en-US" w:eastAsia="en-US"/>
    </w:rPr>
  </w:style>
  <w:style w:type="paragraph" w:styleId="Puslapioinaostekstas">
    <w:name w:val="footnote text"/>
    <w:basedOn w:val="prastasis"/>
    <w:link w:val="PuslapioinaostekstasDiagrama"/>
    <w:semiHidden/>
    <w:unhideWhenUsed/>
    <w:rsid w:val="004F5021"/>
    <w:rPr>
      <w:sz w:val="20"/>
      <w:szCs w:val="20"/>
    </w:rPr>
  </w:style>
  <w:style w:type="character" w:customStyle="1" w:styleId="PuslapioinaostekstasDiagrama">
    <w:name w:val="Puslapio išnašos tekstas Diagrama"/>
    <w:basedOn w:val="Numatytasispastraiposriftas"/>
    <w:link w:val="Puslapioinaostekstas"/>
    <w:semiHidden/>
    <w:rsid w:val="004F5021"/>
    <w:rPr>
      <w:sz w:val="20"/>
      <w:szCs w:val="20"/>
    </w:rPr>
  </w:style>
  <w:style w:type="character" w:styleId="Puslapioinaosnuoroda">
    <w:name w:val="footnote reference"/>
    <w:basedOn w:val="Numatytasispastraiposriftas"/>
    <w:semiHidden/>
    <w:unhideWhenUsed/>
    <w:rsid w:val="004F5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6292">
      <w:bodyDiv w:val="1"/>
      <w:marLeft w:val="0"/>
      <w:marRight w:val="0"/>
      <w:marTop w:val="0"/>
      <w:marBottom w:val="0"/>
      <w:divBdr>
        <w:top w:val="none" w:sz="0" w:space="0" w:color="auto"/>
        <w:left w:val="none" w:sz="0" w:space="0" w:color="auto"/>
        <w:bottom w:val="none" w:sz="0" w:space="0" w:color="auto"/>
        <w:right w:val="none" w:sz="0" w:space="0" w:color="auto"/>
      </w:divBdr>
    </w:div>
    <w:div w:id="158883680">
      <w:bodyDiv w:val="1"/>
      <w:marLeft w:val="0"/>
      <w:marRight w:val="0"/>
      <w:marTop w:val="0"/>
      <w:marBottom w:val="0"/>
      <w:divBdr>
        <w:top w:val="none" w:sz="0" w:space="0" w:color="auto"/>
        <w:left w:val="none" w:sz="0" w:space="0" w:color="auto"/>
        <w:bottom w:val="none" w:sz="0" w:space="0" w:color="auto"/>
        <w:right w:val="none" w:sz="0" w:space="0" w:color="auto"/>
      </w:divBdr>
    </w:div>
    <w:div w:id="454637268">
      <w:bodyDiv w:val="1"/>
      <w:marLeft w:val="0"/>
      <w:marRight w:val="0"/>
      <w:marTop w:val="0"/>
      <w:marBottom w:val="0"/>
      <w:divBdr>
        <w:top w:val="none" w:sz="0" w:space="0" w:color="auto"/>
        <w:left w:val="none" w:sz="0" w:space="0" w:color="auto"/>
        <w:bottom w:val="none" w:sz="0" w:space="0" w:color="auto"/>
        <w:right w:val="none" w:sz="0" w:space="0" w:color="auto"/>
      </w:divBdr>
    </w:div>
    <w:div w:id="552428717">
      <w:bodyDiv w:val="1"/>
      <w:marLeft w:val="0"/>
      <w:marRight w:val="0"/>
      <w:marTop w:val="0"/>
      <w:marBottom w:val="0"/>
      <w:divBdr>
        <w:top w:val="none" w:sz="0" w:space="0" w:color="auto"/>
        <w:left w:val="none" w:sz="0" w:space="0" w:color="auto"/>
        <w:bottom w:val="none" w:sz="0" w:space="0" w:color="auto"/>
        <w:right w:val="none" w:sz="0" w:space="0" w:color="auto"/>
      </w:divBdr>
    </w:div>
    <w:div w:id="642541390">
      <w:bodyDiv w:val="1"/>
      <w:marLeft w:val="0"/>
      <w:marRight w:val="0"/>
      <w:marTop w:val="0"/>
      <w:marBottom w:val="0"/>
      <w:divBdr>
        <w:top w:val="none" w:sz="0" w:space="0" w:color="auto"/>
        <w:left w:val="none" w:sz="0" w:space="0" w:color="auto"/>
        <w:bottom w:val="none" w:sz="0" w:space="0" w:color="auto"/>
        <w:right w:val="none" w:sz="0" w:space="0" w:color="auto"/>
      </w:divBdr>
    </w:div>
    <w:div w:id="655719215">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424380482">
      <w:bodyDiv w:val="1"/>
      <w:marLeft w:val="0"/>
      <w:marRight w:val="0"/>
      <w:marTop w:val="0"/>
      <w:marBottom w:val="0"/>
      <w:divBdr>
        <w:top w:val="none" w:sz="0" w:space="0" w:color="auto"/>
        <w:left w:val="none" w:sz="0" w:space="0" w:color="auto"/>
        <w:bottom w:val="none" w:sz="0" w:space="0" w:color="auto"/>
        <w:right w:val="none" w:sz="0" w:space="0" w:color="auto"/>
      </w:divBdr>
    </w:div>
    <w:div w:id="1593704545">
      <w:bodyDiv w:val="1"/>
      <w:marLeft w:val="0"/>
      <w:marRight w:val="0"/>
      <w:marTop w:val="0"/>
      <w:marBottom w:val="0"/>
      <w:divBdr>
        <w:top w:val="none" w:sz="0" w:space="0" w:color="auto"/>
        <w:left w:val="none" w:sz="0" w:space="0" w:color="auto"/>
        <w:bottom w:val="none" w:sz="0" w:space="0" w:color="auto"/>
        <w:right w:val="none" w:sz="0" w:space="0" w:color="auto"/>
      </w:divBdr>
    </w:div>
    <w:div w:id="1759250548">
      <w:bodyDiv w:val="1"/>
      <w:marLeft w:val="0"/>
      <w:marRight w:val="0"/>
      <w:marTop w:val="0"/>
      <w:marBottom w:val="0"/>
      <w:divBdr>
        <w:top w:val="none" w:sz="0" w:space="0" w:color="auto"/>
        <w:left w:val="none" w:sz="0" w:space="0" w:color="auto"/>
        <w:bottom w:val="none" w:sz="0" w:space="0" w:color="auto"/>
        <w:right w:val="none" w:sz="0" w:space="0" w:color="auto"/>
      </w:divBdr>
      <w:divsChild>
        <w:div w:id="1795362152">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52379639">
      <w:bodyDiv w:val="1"/>
      <w:marLeft w:val="0"/>
      <w:marRight w:val="0"/>
      <w:marTop w:val="0"/>
      <w:marBottom w:val="0"/>
      <w:divBdr>
        <w:top w:val="none" w:sz="0" w:space="0" w:color="auto"/>
        <w:left w:val="none" w:sz="0" w:space="0" w:color="auto"/>
        <w:bottom w:val="none" w:sz="0" w:space="0" w:color="auto"/>
        <w:right w:val="none" w:sz="0" w:space="0" w:color="auto"/>
      </w:divBdr>
    </w:div>
    <w:div w:id="1857302506">
      <w:bodyDiv w:val="1"/>
      <w:marLeft w:val="0"/>
      <w:marRight w:val="0"/>
      <w:marTop w:val="0"/>
      <w:marBottom w:val="0"/>
      <w:divBdr>
        <w:top w:val="none" w:sz="0" w:space="0" w:color="auto"/>
        <w:left w:val="none" w:sz="0" w:space="0" w:color="auto"/>
        <w:bottom w:val="none" w:sz="0" w:space="0" w:color="auto"/>
        <w:right w:val="none" w:sz="0" w:space="0" w:color="auto"/>
      </w:divBdr>
    </w:div>
    <w:div w:id="1919944997">
      <w:bodyDiv w:val="1"/>
      <w:marLeft w:val="0"/>
      <w:marRight w:val="0"/>
      <w:marTop w:val="0"/>
      <w:marBottom w:val="0"/>
      <w:divBdr>
        <w:top w:val="none" w:sz="0" w:space="0" w:color="auto"/>
        <w:left w:val="none" w:sz="0" w:space="0" w:color="auto"/>
        <w:bottom w:val="none" w:sz="0" w:space="0" w:color="auto"/>
        <w:right w:val="none" w:sz="0" w:space="0" w:color="auto"/>
      </w:divBdr>
    </w:div>
    <w:div w:id="1952394875">
      <w:bodyDiv w:val="1"/>
      <w:marLeft w:val="0"/>
      <w:marRight w:val="0"/>
      <w:marTop w:val="0"/>
      <w:marBottom w:val="0"/>
      <w:divBdr>
        <w:top w:val="none" w:sz="0" w:space="0" w:color="auto"/>
        <w:left w:val="none" w:sz="0" w:space="0" w:color="auto"/>
        <w:bottom w:val="none" w:sz="0" w:space="0" w:color="auto"/>
        <w:right w:val="none" w:sz="0" w:space="0" w:color="auto"/>
      </w:divBdr>
    </w:div>
    <w:div w:id="2113089692">
      <w:bodyDiv w:val="1"/>
      <w:marLeft w:val="0"/>
      <w:marRight w:val="0"/>
      <w:marTop w:val="0"/>
      <w:marBottom w:val="0"/>
      <w:divBdr>
        <w:top w:val="none" w:sz="0" w:space="0" w:color="auto"/>
        <w:left w:val="none" w:sz="0" w:space="0" w:color="auto"/>
        <w:bottom w:val="none" w:sz="0" w:space="0" w:color="auto"/>
        <w:right w:val="none" w:sz="0" w:space="0" w:color="auto"/>
      </w:divBdr>
    </w:div>
    <w:div w:id="214541817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B889C-B53E-4B19-B5D5-8CEDCCB39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8845</Words>
  <Characters>50418</Characters>
  <Application>Microsoft Office Word</Application>
  <DocSecurity>0</DocSecurity>
  <PresentationFormat/>
  <Lines>420</Lines>
  <Paragraphs>118</Paragraphs>
  <Slides>0</Slides>
  <Notes>0</Notes>
  <HiddenSlides>0</HiddenSlides>
  <MMClips>0</MMClips>
  <ScaleCrop>false</ScaleCrop>
  <HeadingPairs>
    <vt:vector size="6" baseType="variant">
      <vt:variant>
        <vt:lpstr>Pavadinimas</vt:lpstr>
      </vt:variant>
      <vt:variant>
        <vt:i4>1</vt:i4>
      </vt:variant>
      <vt:variant>
        <vt:lpstr>Antraštės</vt:lpstr>
      </vt:variant>
      <vt:variant>
        <vt:i4>5</vt:i4>
      </vt:variant>
      <vt:variant>
        <vt:lpstr>Title</vt:lpstr>
      </vt:variant>
      <vt:variant>
        <vt:i4>1</vt:i4>
      </vt:variant>
    </vt:vector>
  </HeadingPairs>
  <TitlesOfParts>
    <vt:vector size="7" baseType="lpstr">
      <vt:lpstr>PASTABA: D</vt:lpstr>
      <vt:lpstr>LIETUVOS AUKŠČIAUSIASIS TEISMAS</vt:lpstr>
      <vt:lpstr/>
      <vt:lpstr>N U T A R T I S</vt:lpstr>
      <vt:lpstr>    LIETUVOS RESPUBLIKOS VARDU</vt:lpstr>
      <vt:lpstr>2025 m. kovo 20 d.</vt:lpstr>
      <vt:lpstr>PASTABA: D</vt:lpstr>
    </vt:vector>
  </TitlesOfParts>
  <Company>y</Company>
  <LinksUpToDate>false</LinksUpToDate>
  <CharactersWithSpaces>59145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subject/>
  <dc:creator>d.klimkeviciute</dc:creator>
  <cp:keywords/>
  <dc:description/>
  <cp:lastModifiedBy>Monika Vanagė</cp:lastModifiedBy>
  <cp:revision>2</cp:revision>
  <cp:lastPrinted>2025-03-20T07:15:00Z</cp:lastPrinted>
  <dcterms:created xsi:type="dcterms:W3CDTF">2025-03-20T07:43:00Z</dcterms:created>
  <dcterms:modified xsi:type="dcterms:W3CDTF">2025-03-20T07:43:00Z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8082c580ea0d4f6daa6919cedbc4d25a202503200934572">
    <vt:lpwstr>g4lmdGhP9BEW+C4A7lODmMZgQnM=</vt:lpwstr>
  </property>
</Properties>
</file>