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676FE217" w:rsidR="00123EE2" w:rsidRPr="00484D1A" w:rsidRDefault="00A80C8A" w:rsidP="0070531F">
      <w:pPr>
        <w:ind w:left="5103"/>
      </w:pPr>
      <w:r w:rsidRPr="00484D1A">
        <w:t>Civilinė byla Nr. </w:t>
      </w:r>
      <w:r w:rsidR="00EB6DBB">
        <w:t>e</w:t>
      </w:r>
      <w:r w:rsidR="007F552E" w:rsidRPr="00484D1A">
        <w:t>3K-3-</w:t>
      </w:r>
      <w:r w:rsidR="004B37A4">
        <w:t>46</w:t>
      </w:r>
      <w:r w:rsidR="007F552E" w:rsidRPr="00484D1A">
        <w:t>-</w:t>
      </w:r>
      <w:r w:rsidR="00D26DBE">
        <w:t>313</w:t>
      </w:r>
      <w:r w:rsidR="007F552E" w:rsidRPr="00484D1A">
        <w:t>/202</w:t>
      </w:r>
      <w:r w:rsidR="004B37A4">
        <w:t>4</w:t>
      </w:r>
    </w:p>
    <w:p w14:paraId="35FA9DB0" w14:textId="1EAC5025" w:rsidR="00123EE2" w:rsidRPr="00484D1A" w:rsidRDefault="00A80C8A">
      <w:pPr>
        <w:ind w:left="5103"/>
        <w:rPr>
          <w:bCs/>
          <w:color w:val="000000"/>
        </w:rPr>
      </w:pPr>
      <w:r w:rsidRPr="00484D1A">
        <w:t>Teisminio proceso Nr.</w:t>
      </w:r>
      <w:r w:rsidRPr="00484D1A">
        <w:rPr>
          <w:rFonts w:eastAsia="Calibri"/>
        </w:rPr>
        <w:t> </w:t>
      </w:r>
      <w:r w:rsidR="00EB6DBB" w:rsidRPr="00EB6DBB">
        <w:rPr>
          <w:rFonts w:eastAsia="Calibri"/>
        </w:rPr>
        <w:t>2-55-3-01067-2021-4</w:t>
      </w:r>
    </w:p>
    <w:p w14:paraId="6A8034B0" w14:textId="45C7A21C" w:rsidR="00123EE2" w:rsidRDefault="00A80C8A">
      <w:pPr>
        <w:ind w:left="5103"/>
      </w:pPr>
      <w:r w:rsidRPr="00317384">
        <w:t>Procesinio sprendimo kategorij</w:t>
      </w:r>
      <w:r w:rsidR="00D15CDD" w:rsidRPr="00317384">
        <w:t xml:space="preserve">os: </w:t>
      </w:r>
      <w:r w:rsidR="00317384" w:rsidRPr="00317384">
        <w:t>2.7.4.4; 2.7.4.5; 3.2.4.3; 3.2.4.12</w:t>
      </w:r>
    </w:p>
    <w:p w14:paraId="573CF3B9" w14:textId="3B5AA0DF" w:rsidR="00A82F5C" w:rsidRPr="004120CA" w:rsidRDefault="00A82F5C">
      <w:pPr>
        <w:ind w:left="5103"/>
        <w:rPr>
          <w:lang w:val="en-US"/>
        </w:rPr>
      </w:pPr>
      <w:r>
        <w:t>(S)</w:t>
      </w:r>
    </w:p>
    <w:p w14:paraId="53723647" w14:textId="77777777" w:rsidR="00123EE2" w:rsidRPr="00484D1A" w:rsidRDefault="00123EE2">
      <w:pPr>
        <w:jc w:val="right"/>
      </w:pPr>
    </w:p>
    <w:p w14:paraId="5F9922AC" w14:textId="5A25A275" w:rsidR="00123EE2" w:rsidRPr="00484D1A" w:rsidRDefault="001B0729">
      <w:pPr>
        <w:jc w:val="center"/>
      </w:pPr>
      <w:r w:rsidRPr="00484D1A">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484D1A" w:rsidRDefault="00123EE2">
      <w:pPr>
        <w:jc w:val="center"/>
        <w:rPr>
          <w:sz w:val="28"/>
        </w:rPr>
      </w:pPr>
    </w:p>
    <w:p w14:paraId="342ABACB" w14:textId="77777777" w:rsidR="00123EE2" w:rsidRPr="00484D1A" w:rsidRDefault="00A80C8A">
      <w:pPr>
        <w:keepNext/>
        <w:jc w:val="center"/>
        <w:outlineLvl w:val="0"/>
        <w:rPr>
          <w:b/>
          <w:bCs/>
          <w:sz w:val="32"/>
        </w:rPr>
      </w:pPr>
      <w:r w:rsidRPr="00484D1A">
        <w:rPr>
          <w:b/>
          <w:bCs/>
          <w:sz w:val="32"/>
        </w:rPr>
        <w:t>LIETUVOS AUKŠČIAUSIASIS TEISMAS</w:t>
      </w:r>
    </w:p>
    <w:p w14:paraId="664CC8D2" w14:textId="77777777" w:rsidR="00123EE2" w:rsidRPr="00484D1A" w:rsidRDefault="00123EE2">
      <w:pPr>
        <w:keepNext/>
        <w:outlineLvl w:val="0"/>
        <w:rPr>
          <w:b/>
          <w:bCs/>
          <w:sz w:val="32"/>
        </w:rPr>
      </w:pPr>
    </w:p>
    <w:p w14:paraId="2AC120A5" w14:textId="77777777" w:rsidR="00123EE2" w:rsidRPr="00484D1A" w:rsidRDefault="00A80C8A">
      <w:pPr>
        <w:keepNext/>
        <w:jc w:val="center"/>
        <w:outlineLvl w:val="0"/>
        <w:rPr>
          <w:b/>
          <w:bCs/>
          <w:sz w:val="32"/>
        </w:rPr>
      </w:pPr>
      <w:r w:rsidRPr="00484D1A">
        <w:rPr>
          <w:b/>
          <w:bCs/>
          <w:sz w:val="32"/>
        </w:rPr>
        <w:t>N U T A R T I S</w:t>
      </w:r>
    </w:p>
    <w:p w14:paraId="4E0E1330" w14:textId="77777777" w:rsidR="00123EE2" w:rsidRPr="00484D1A" w:rsidRDefault="00A80C8A">
      <w:pPr>
        <w:keepNext/>
        <w:jc w:val="center"/>
        <w:outlineLvl w:val="1"/>
      </w:pPr>
      <w:r w:rsidRPr="00484D1A">
        <w:t>LIETUVOS RESPUBLIKOS VARDU</w:t>
      </w:r>
    </w:p>
    <w:p w14:paraId="0D02E997" w14:textId="77777777" w:rsidR="00123EE2" w:rsidRPr="00484D1A" w:rsidRDefault="00123EE2"/>
    <w:p w14:paraId="43C7EE77" w14:textId="362CC859" w:rsidR="00123EE2" w:rsidRPr="00243C1D" w:rsidRDefault="00744611">
      <w:pPr>
        <w:keepNext/>
        <w:jc w:val="center"/>
        <w:outlineLvl w:val="0"/>
        <w:rPr>
          <w:bCs/>
        </w:rPr>
      </w:pPr>
      <w:r w:rsidRPr="00484D1A">
        <w:rPr>
          <w:bCs/>
        </w:rPr>
        <w:t>202</w:t>
      </w:r>
      <w:r w:rsidR="00243C1D">
        <w:rPr>
          <w:bCs/>
        </w:rPr>
        <w:t>4</w:t>
      </w:r>
      <w:r w:rsidRPr="00484D1A">
        <w:rPr>
          <w:bCs/>
        </w:rPr>
        <w:t xml:space="preserve"> m. </w:t>
      </w:r>
      <w:r w:rsidR="00243C1D" w:rsidRPr="00243C1D">
        <w:rPr>
          <w:bCs/>
        </w:rPr>
        <w:t>sausio</w:t>
      </w:r>
      <w:r w:rsidR="0070531F" w:rsidRPr="00243C1D">
        <w:rPr>
          <w:bCs/>
        </w:rPr>
        <w:t xml:space="preserve"> </w:t>
      </w:r>
      <w:r w:rsidR="00243C1D" w:rsidRPr="00243C1D">
        <w:rPr>
          <w:bCs/>
        </w:rPr>
        <w:t>10</w:t>
      </w:r>
      <w:r w:rsidR="003763EF" w:rsidRPr="00243C1D">
        <w:rPr>
          <w:bCs/>
        </w:rPr>
        <w:t xml:space="preserve"> </w:t>
      </w:r>
      <w:r w:rsidR="004939A8" w:rsidRPr="00243C1D">
        <w:rPr>
          <w:bCs/>
        </w:rPr>
        <w:t>d</w:t>
      </w:r>
      <w:r w:rsidR="00A80C8A" w:rsidRPr="00243C1D">
        <w:rPr>
          <w:bCs/>
        </w:rPr>
        <w:t>.</w:t>
      </w:r>
    </w:p>
    <w:p w14:paraId="6814364D" w14:textId="77777777" w:rsidR="00123EE2" w:rsidRPr="00484D1A" w:rsidRDefault="00A80C8A">
      <w:pPr>
        <w:jc w:val="center"/>
      </w:pPr>
      <w:r w:rsidRPr="00243C1D">
        <w:t>Vilnius</w:t>
      </w:r>
    </w:p>
    <w:p w14:paraId="6A741777" w14:textId="77777777" w:rsidR="00123EE2" w:rsidRPr="00484D1A" w:rsidRDefault="00123EE2"/>
    <w:p w14:paraId="02B514DD" w14:textId="2669A571" w:rsidR="00123EE2" w:rsidRPr="00484D1A" w:rsidRDefault="00A80C8A">
      <w:pPr>
        <w:ind w:firstLine="720"/>
        <w:jc w:val="both"/>
      </w:pPr>
      <w:r w:rsidRPr="00484D1A">
        <w:t xml:space="preserve">Lietuvos Aukščiausiojo Teismo Civilinių bylų skyriaus teisėjų kolegija, susidedanti iš teisėjų </w:t>
      </w:r>
      <w:r w:rsidR="00D26DBE">
        <w:t xml:space="preserve">Alės </w:t>
      </w:r>
      <w:proofErr w:type="spellStart"/>
      <w:r w:rsidR="00D26DBE">
        <w:t>Bukavinienės</w:t>
      </w:r>
      <w:proofErr w:type="spellEnd"/>
      <w:r w:rsidR="00E55EAD" w:rsidRPr="00484D1A">
        <w:t xml:space="preserve"> </w:t>
      </w:r>
      <w:r w:rsidR="00D26DBE">
        <w:t>(pranešėja)</w:t>
      </w:r>
      <w:r w:rsidR="00EB6DBB">
        <w:t xml:space="preserve">, Artūro </w:t>
      </w:r>
      <w:proofErr w:type="spellStart"/>
      <w:r w:rsidR="00EB6DBB">
        <w:t>Driuko</w:t>
      </w:r>
      <w:proofErr w:type="spellEnd"/>
      <w:r w:rsidR="00D26DBE">
        <w:t xml:space="preserve"> </w:t>
      </w:r>
      <w:r w:rsidR="00E55EAD" w:rsidRPr="00484D1A">
        <w:t xml:space="preserve">ir </w:t>
      </w:r>
      <w:r w:rsidR="00EB6DBB">
        <w:t>Virgilij</w:t>
      </w:r>
      <w:r w:rsidR="00C37CEF">
        <w:t>a</w:t>
      </w:r>
      <w:r w:rsidR="00EB6DBB">
        <w:t xml:space="preserve">us </w:t>
      </w:r>
      <w:proofErr w:type="spellStart"/>
      <w:r w:rsidR="00EB6DBB">
        <w:t>Grabinsk</w:t>
      </w:r>
      <w:r w:rsidR="00C37CEF">
        <w:t>o</w:t>
      </w:r>
      <w:proofErr w:type="spellEnd"/>
      <w:r w:rsidR="00C37CEF">
        <w:t xml:space="preserve"> </w:t>
      </w:r>
      <w:r w:rsidR="00EB6DBB">
        <w:t>(kolegijos pirmininkas)</w:t>
      </w:r>
      <w:r w:rsidR="007F552E" w:rsidRPr="00484D1A">
        <w:t>,</w:t>
      </w:r>
    </w:p>
    <w:p w14:paraId="03724F45" w14:textId="31581D03" w:rsidR="00123EE2" w:rsidRPr="00484D1A" w:rsidRDefault="00A80C8A" w:rsidP="00FD231A">
      <w:pPr>
        <w:spacing w:after="240"/>
        <w:ind w:firstLine="720"/>
        <w:jc w:val="both"/>
      </w:pPr>
      <w:r w:rsidRPr="00484D1A">
        <w:t xml:space="preserve">teismo posėdyje kasacine rašytinio proceso tvarka išnagrinėjo civilinę bylą pagal </w:t>
      </w:r>
      <w:r w:rsidR="00EB6DBB">
        <w:rPr>
          <w:b/>
        </w:rPr>
        <w:t>atsakovės uždarosios akcinės bendrovės „</w:t>
      </w:r>
      <w:proofErr w:type="spellStart"/>
      <w:r w:rsidR="00EB6DBB">
        <w:rPr>
          <w:b/>
        </w:rPr>
        <w:t>Lex</w:t>
      </w:r>
      <w:proofErr w:type="spellEnd"/>
      <w:r w:rsidR="00EB6DBB">
        <w:rPr>
          <w:b/>
        </w:rPr>
        <w:t xml:space="preserve"> </w:t>
      </w:r>
      <w:r w:rsidR="004120CA">
        <w:rPr>
          <w:b/>
        </w:rPr>
        <w:t>a</w:t>
      </w:r>
      <w:r w:rsidR="00EB6DBB">
        <w:rPr>
          <w:b/>
        </w:rPr>
        <w:t>no“</w:t>
      </w:r>
      <w:r w:rsidR="00035CB0" w:rsidRPr="00484D1A">
        <w:rPr>
          <w:b/>
        </w:rPr>
        <w:t xml:space="preserve"> </w:t>
      </w:r>
      <w:r w:rsidR="00616168" w:rsidRPr="00484D1A">
        <w:t>kasacin</w:t>
      </w:r>
      <w:r w:rsidR="00035CB0" w:rsidRPr="00484D1A">
        <w:t>į</w:t>
      </w:r>
      <w:r w:rsidRPr="00484D1A">
        <w:t xml:space="preserve"> skund</w:t>
      </w:r>
      <w:r w:rsidR="00035CB0" w:rsidRPr="00484D1A">
        <w:t>ą</w:t>
      </w:r>
      <w:r w:rsidRPr="00484D1A">
        <w:t xml:space="preserve"> dėl </w:t>
      </w:r>
      <w:bookmarkStart w:id="0" w:name="_Hlk95288725"/>
      <w:r w:rsidR="001F0BE8">
        <w:t>Lietuvos apeliacinio</w:t>
      </w:r>
      <w:r w:rsidR="00A865C3" w:rsidRPr="00484D1A">
        <w:t xml:space="preserve"> teismo</w:t>
      </w:r>
      <w:r w:rsidR="004F3951" w:rsidRPr="00484D1A">
        <w:t xml:space="preserve"> </w:t>
      </w:r>
      <w:r w:rsidR="001F0BE8">
        <w:t xml:space="preserve">Civilinių bylų skyriaus teisėjų kolegijos </w:t>
      </w:r>
      <w:r w:rsidR="00A865C3" w:rsidRPr="00484D1A">
        <w:t>202</w:t>
      </w:r>
      <w:r w:rsidR="00B425CE" w:rsidRPr="00484D1A">
        <w:t>2</w:t>
      </w:r>
      <w:r w:rsidR="001F0BE8">
        <w:t xml:space="preserve"> </w:t>
      </w:r>
      <w:r w:rsidR="00FD231A" w:rsidRPr="00484D1A">
        <w:t>m.</w:t>
      </w:r>
      <w:r w:rsidR="00CD15FE" w:rsidRPr="00484D1A">
        <w:t xml:space="preserve"> </w:t>
      </w:r>
      <w:r w:rsidR="001F0BE8">
        <w:t>gruodžio</w:t>
      </w:r>
      <w:r w:rsidR="00CD15FE" w:rsidRPr="00484D1A">
        <w:t xml:space="preserve"> </w:t>
      </w:r>
      <w:r w:rsidR="00C36950" w:rsidRPr="00484D1A">
        <w:t>1</w:t>
      </w:r>
      <w:r w:rsidR="001F0BE8">
        <w:t>4</w:t>
      </w:r>
      <w:r w:rsidR="00CD15FE" w:rsidRPr="00484D1A">
        <w:t xml:space="preserve"> </w:t>
      </w:r>
      <w:r w:rsidR="00FD231A" w:rsidRPr="00484D1A">
        <w:t xml:space="preserve">d. </w:t>
      </w:r>
      <w:r w:rsidR="001F0BE8">
        <w:t>sprendimo</w:t>
      </w:r>
      <w:r w:rsidRPr="00484D1A">
        <w:t xml:space="preserve"> </w:t>
      </w:r>
      <w:bookmarkEnd w:id="0"/>
      <w:r w:rsidRPr="00484D1A">
        <w:t>peržiū</w:t>
      </w:r>
      <w:r w:rsidR="00FD231A" w:rsidRPr="00484D1A">
        <w:t xml:space="preserve">rėjimo civilinėje byloje </w:t>
      </w:r>
      <w:r w:rsidR="001F0BE8" w:rsidRPr="001A0843">
        <w:rPr>
          <w:lang w:eastAsia="en-GB"/>
        </w:rPr>
        <w:t xml:space="preserve">pagal ieškovės </w:t>
      </w:r>
      <w:r w:rsidR="001F0BE8">
        <w:rPr>
          <w:lang w:eastAsia="en-GB"/>
        </w:rPr>
        <w:t xml:space="preserve">Vokietijos įmonės </w:t>
      </w:r>
      <w:r w:rsidR="004120CA">
        <w:rPr>
          <w:lang w:eastAsia="en-GB"/>
        </w:rPr>
        <w:t>„</w:t>
      </w:r>
      <w:proofErr w:type="spellStart"/>
      <w:r w:rsidR="001F0BE8">
        <w:rPr>
          <w:lang w:eastAsia="en-GB"/>
        </w:rPr>
        <w:t>Berlin-Chemie</w:t>
      </w:r>
      <w:proofErr w:type="spellEnd"/>
      <w:r w:rsidR="001F0BE8">
        <w:rPr>
          <w:lang w:eastAsia="en-GB"/>
        </w:rPr>
        <w:t xml:space="preserve"> AG</w:t>
      </w:r>
      <w:r w:rsidR="004120CA">
        <w:rPr>
          <w:lang w:eastAsia="en-GB"/>
        </w:rPr>
        <w:t>“</w:t>
      </w:r>
      <w:r w:rsidR="001F0BE8" w:rsidRPr="001A0843">
        <w:rPr>
          <w:lang w:eastAsia="en-GB"/>
        </w:rPr>
        <w:t xml:space="preserve"> ieškinį atsakovei </w:t>
      </w:r>
      <w:r w:rsidR="001F0BE8">
        <w:rPr>
          <w:lang w:eastAsia="en-GB"/>
        </w:rPr>
        <w:t>uždarajai akcinei bendrovei ,,</w:t>
      </w:r>
      <w:proofErr w:type="spellStart"/>
      <w:r w:rsidR="001F0BE8">
        <w:rPr>
          <w:lang w:eastAsia="en-GB"/>
        </w:rPr>
        <w:t>Lex</w:t>
      </w:r>
      <w:proofErr w:type="spellEnd"/>
      <w:r w:rsidR="00A06FF3">
        <w:rPr>
          <w:lang w:eastAsia="en-GB"/>
        </w:rPr>
        <w:t> </w:t>
      </w:r>
      <w:r w:rsidR="001F0BE8">
        <w:rPr>
          <w:lang w:eastAsia="en-GB"/>
        </w:rPr>
        <w:t>ano“</w:t>
      </w:r>
      <w:r w:rsidR="001F0BE8" w:rsidRPr="001A0843">
        <w:rPr>
          <w:lang w:eastAsia="en-GB"/>
        </w:rPr>
        <w:t xml:space="preserve"> dėl</w:t>
      </w:r>
      <w:r w:rsidR="001F0BE8">
        <w:rPr>
          <w:lang w:eastAsia="en-GB"/>
        </w:rPr>
        <w:t xml:space="preserve"> prekių ženklo savininko teises pažeidžiančių veiksmų nutraukimo</w:t>
      </w:r>
      <w:r w:rsidR="001F0BE8" w:rsidRPr="001A0843">
        <w:rPr>
          <w:lang w:eastAsia="en-GB"/>
        </w:rPr>
        <w:t>,</w:t>
      </w:r>
      <w:r w:rsidR="001F0BE8">
        <w:rPr>
          <w:lang w:eastAsia="en-GB"/>
        </w:rPr>
        <w:t xml:space="preserve"> prekių išėmimo iš apyvartos ir turtinės žalos atlyginimo,</w:t>
      </w:r>
      <w:r w:rsidR="001F0BE8" w:rsidRPr="001A0843">
        <w:rPr>
          <w:lang w:eastAsia="en-GB"/>
        </w:rPr>
        <w:t xml:space="preserve"> </w:t>
      </w:r>
      <w:r w:rsidR="001F0BE8">
        <w:rPr>
          <w:lang w:eastAsia="en-GB"/>
        </w:rPr>
        <w:t>išvadą teikianti institucija Valstybinė ligonių kasa prie Lietuvos Respublikos sveikatos apsaugos ministerijos</w:t>
      </w:r>
      <w:r w:rsidR="001F0BE8" w:rsidRPr="001A0843">
        <w:rPr>
          <w:lang w:eastAsia="en-GB"/>
        </w:rPr>
        <w:t>.</w:t>
      </w:r>
    </w:p>
    <w:p w14:paraId="5357B227" w14:textId="77777777" w:rsidR="00123EE2" w:rsidRPr="00484D1A" w:rsidRDefault="00A80C8A" w:rsidP="00FD231A">
      <w:pPr>
        <w:spacing w:after="240"/>
        <w:ind w:firstLine="720"/>
        <w:jc w:val="both"/>
        <w:rPr>
          <w:b/>
          <w:bCs/>
        </w:rPr>
      </w:pPr>
      <w:r w:rsidRPr="00484D1A">
        <w:t xml:space="preserve">Teisėjų kolegija </w:t>
      </w:r>
    </w:p>
    <w:p w14:paraId="348E1EA1" w14:textId="77777777" w:rsidR="00123EE2" w:rsidRPr="00484D1A" w:rsidRDefault="00A80C8A" w:rsidP="00FD231A">
      <w:pPr>
        <w:spacing w:after="360"/>
        <w:jc w:val="both"/>
      </w:pPr>
      <w:r w:rsidRPr="00484D1A">
        <w:t>n u s t a t ė :</w:t>
      </w:r>
    </w:p>
    <w:p w14:paraId="07991A18" w14:textId="77777777" w:rsidR="00123EE2" w:rsidRPr="00484D1A" w:rsidRDefault="00A80C8A" w:rsidP="00FD231A">
      <w:pPr>
        <w:spacing w:after="480"/>
        <w:jc w:val="center"/>
      </w:pPr>
      <w:r w:rsidRPr="00484D1A">
        <w:t>I. Ginčo esmė</w:t>
      </w:r>
    </w:p>
    <w:p w14:paraId="4F167B20" w14:textId="7AB90009" w:rsidR="001F0BE8" w:rsidRPr="00317384" w:rsidRDefault="00A80C8A" w:rsidP="001F0BE8">
      <w:pPr>
        <w:pStyle w:val="ListParagraph"/>
        <w:numPr>
          <w:ilvl w:val="0"/>
          <w:numId w:val="15"/>
        </w:numPr>
        <w:tabs>
          <w:tab w:val="left" w:pos="709"/>
          <w:tab w:val="left" w:pos="851"/>
        </w:tabs>
        <w:snapToGrid w:val="0"/>
        <w:spacing w:after="120" w:line="240" w:lineRule="auto"/>
        <w:contextualSpacing w:val="0"/>
        <w:jc w:val="both"/>
        <w:rPr>
          <w:rFonts w:asciiTheme="majorBidi" w:hAnsiTheme="majorBidi" w:cstheme="majorBidi"/>
          <w:sz w:val="24"/>
          <w:szCs w:val="24"/>
          <w:lang w:eastAsia="en-GB"/>
        </w:rPr>
      </w:pPr>
      <w:r w:rsidRPr="00317384">
        <w:rPr>
          <w:rFonts w:asciiTheme="majorBidi" w:hAnsiTheme="majorBidi" w:cstheme="majorBidi"/>
          <w:sz w:val="24"/>
          <w:szCs w:val="24"/>
        </w:rPr>
        <w:t xml:space="preserve">Kasacinėje byloje sprendžiama </w:t>
      </w:r>
      <w:r w:rsidR="007F552E" w:rsidRPr="00317384">
        <w:rPr>
          <w:rFonts w:asciiTheme="majorBidi" w:hAnsiTheme="majorBidi" w:cstheme="majorBidi"/>
          <w:sz w:val="24"/>
          <w:szCs w:val="24"/>
        </w:rPr>
        <w:t>dėl</w:t>
      </w:r>
      <w:r w:rsidR="00CE1FF9" w:rsidRPr="00317384">
        <w:rPr>
          <w:rFonts w:asciiTheme="majorBidi" w:hAnsiTheme="majorBidi" w:cstheme="majorBidi"/>
          <w:sz w:val="24"/>
          <w:szCs w:val="24"/>
        </w:rPr>
        <w:t xml:space="preserve"> </w:t>
      </w:r>
      <w:r w:rsidR="00192A41" w:rsidRPr="00317384">
        <w:rPr>
          <w:rFonts w:asciiTheme="majorBidi" w:hAnsiTheme="majorBidi" w:cstheme="majorBidi"/>
          <w:sz w:val="24"/>
          <w:szCs w:val="24"/>
        </w:rPr>
        <w:t>proceso teisės normų,</w:t>
      </w:r>
      <w:r w:rsidR="00AE21C0" w:rsidRPr="00317384">
        <w:rPr>
          <w:rFonts w:asciiTheme="majorBidi" w:hAnsiTheme="majorBidi" w:cstheme="majorBidi"/>
          <w:sz w:val="24"/>
          <w:szCs w:val="24"/>
        </w:rPr>
        <w:t xml:space="preserve"> reglamentuojančių </w:t>
      </w:r>
      <w:r w:rsidR="00192A41" w:rsidRPr="00317384">
        <w:rPr>
          <w:rFonts w:asciiTheme="majorBidi" w:hAnsiTheme="majorBidi" w:cstheme="majorBidi"/>
          <w:sz w:val="24"/>
          <w:szCs w:val="24"/>
        </w:rPr>
        <w:t>įrodinėjimą ir teismo vaidmenį įrodinėjimo procese nagrinėjant ginčą dėl būtinybės lygiagrečiam importuotojui perpakuoti tą patį vaistinį preparatą, kuriuo prek</w:t>
      </w:r>
      <w:r w:rsidR="00A06FF3" w:rsidRPr="00317384">
        <w:rPr>
          <w:rFonts w:asciiTheme="majorBidi" w:hAnsiTheme="majorBidi" w:cstheme="majorBidi"/>
          <w:sz w:val="24"/>
          <w:szCs w:val="24"/>
        </w:rPr>
        <w:t>ių</w:t>
      </w:r>
      <w:r w:rsidR="00192A41" w:rsidRPr="00317384">
        <w:rPr>
          <w:rFonts w:asciiTheme="majorBidi" w:hAnsiTheme="majorBidi" w:cstheme="majorBidi"/>
          <w:sz w:val="24"/>
          <w:szCs w:val="24"/>
        </w:rPr>
        <w:t xml:space="preserve"> ženklo savininkas importo valstybėje prekiauja kitu pavadinimu</w:t>
      </w:r>
      <w:r w:rsidR="00094558" w:rsidRPr="00317384">
        <w:rPr>
          <w:rFonts w:asciiTheme="majorBidi" w:hAnsiTheme="majorBidi" w:cstheme="majorBidi"/>
          <w:sz w:val="24"/>
          <w:szCs w:val="24"/>
        </w:rPr>
        <w:t xml:space="preserve">, </w:t>
      </w:r>
      <w:r w:rsidR="008B1FEB" w:rsidRPr="00317384">
        <w:rPr>
          <w:rFonts w:asciiTheme="majorBidi" w:hAnsiTheme="majorBidi" w:cstheme="majorBidi"/>
          <w:sz w:val="24"/>
          <w:szCs w:val="24"/>
        </w:rPr>
        <w:t>aiškinimo ir taikymo</w:t>
      </w:r>
      <w:r w:rsidRPr="00317384">
        <w:rPr>
          <w:rFonts w:asciiTheme="majorBidi" w:hAnsiTheme="majorBidi" w:cstheme="majorBidi"/>
          <w:sz w:val="24"/>
          <w:szCs w:val="24"/>
        </w:rPr>
        <w:t>.</w:t>
      </w:r>
      <w:bookmarkStart w:id="1" w:name="_Hlk54171678"/>
      <w:bookmarkStart w:id="2" w:name="_Hlk100230467"/>
    </w:p>
    <w:p w14:paraId="536B9274" w14:textId="530D5471" w:rsidR="001F0BE8" w:rsidRPr="001F0BE8" w:rsidRDefault="001F0BE8" w:rsidP="001F0BE8">
      <w:pPr>
        <w:pStyle w:val="ListParagraph"/>
        <w:numPr>
          <w:ilvl w:val="0"/>
          <w:numId w:val="15"/>
        </w:numPr>
        <w:tabs>
          <w:tab w:val="left" w:pos="709"/>
          <w:tab w:val="left" w:pos="851"/>
        </w:tabs>
        <w:snapToGrid w:val="0"/>
        <w:spacing w:after="120" w:line="240" w:lineRule="auto"/>
        <w:contextualSpacing w:val="0"/>
        <w:jc w:val="both"/>
        <w:rPr>
          <w:rFonts w:asciiTheme="majorBidi" w:hAnsiTheme="majorBidi" w:cstheme="majorBidi"/>
          <w:sz w:val="24"/>
          <w:szCs w:val="24"/>
          <w:lang w:eastAsia="en-GB"/>
        </w:rPr>
      </w:pPr>
      <w:r w:rsidRPr="001F0BE8">
        <w:rPr>
          <w:rFonts w:asciiTheme="majorBidi" w:hAnsiTheme="majorBidi" w:cstheme="majorBidi"/>
          <w:sz w:val="24"/>
          <w:szCs w:val="24"/>
          <w:lang w:eastAsia="en-GB"/>
        </w:rPr>
        <w:t xml:space="preserve">Ieškovė Vokietijos įmonė </w:t>
      </w:r>
      <w:r w:rsidR="004120CA">
        <w:rPr>
          <w:rFonts w:asciiTheme="majorBidi" w:hAnsiTheme="majorBidi" w:cstheme="majorBidi"/>
          <w:sz w:val="24"/>
          <w:szCs w:val="24"/>
          <w:lang w:eastAsia="en-GB"/>
        </w:rPr>
        <w:t>„</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AG</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kreipėsi į teismą su ieškiniu, kurį patikslinusi prašė:</w:t>
      </w:r>
    </w:p>
    <w:p w14:paraId="29709FFF" w14:textId="52301B2A" w:rsidR="001F0BE8" w:rsidRPr="001F0BE8" w:rsidRDefault="001F0BE8" w:rsidP="001F0BE8">
      <w:pPr>
        <w:pStyle w:val="ListParagraph"/>
        <w:numPr>
          <w:ilvl w:val="1"/>
          <w:numId w:val="15"/>
        </w:numPr>
        <w:tabs>
          <w:tab w:val="left" w:pos="709"/>
          <w:tab w:val="left" w:pos="851"/>
        </w:tabs>
        <w:snapToGrid w:val="0"/>
        <w:spacing w:after="120" w:line="240" w:lineRule="auto"/>
        <w:contextualSpacing w:val="0"/>
        <w:jc w:val="both"/>
        <w:rPr>
          <w:rFonts w:asciiTheme="majorBidi" w:hAnsiTheme="majorBidi" w:cstheme="majorBidi"/>
          <w:sz w:val="24"/>
          <w:szCs w:val="24"/>
          <w:lang w:eastAsia="en-GB"/>
        </w:rPr>
      </w:pPr>
      <w:r w:rsidRPr="001F0BE8">
        <w:rPr>
          <w:rFonts w:asciiTheme="majorBidi" w:hAnsiTheme="majorBidi" w:cstheme="majorBidi"/>
          <w:sz w:val="24"/>
          <w:szCs w:val="24"/>
          <w:lang w:eastAsia="en-GB"/>
        </w:rPr>
        <w:t>įpareigoti atsakovę UAB „</w:t>
      </w:r>
      <w:proofErr w:type="spellStart"/>
      <w:r w:rsidRPr="001F0BE8">
        <w:rPr>
          <w:rFonts w:asciiTheme="majorBidi" w:hAnsiTheme="majorBidi" w:cstheme="majorBidi"/>
          <w:sz w:val="24"/>
          <w:szCs w:val="24"/>
          <w:lang w:eastAsia="en-GB"/>
        </w:rPr>
        <w:t>Lex</w:t>
      </w:r>
      <w:proofErr w:type="spellEnd"/>
      <w:r w:rsidRPr="001F0BE8">
        <w:rPr>
          <w:rFonts w:asciiTheme="majorBidi" w:hAnsiTheme="majorBidi" w:cstheme="majorBidi"/>
          <w:sz w:val="24"/>
          <w:szCs w:val="24"/>
          <w:lang w:eastAsia="en-GB"/>
        </w:rPr>
        <w:t xml:space="preserve"> ano“ nutraukti neteisėtus veiksmus, pažeidžiančius ieškovės išimtines teises į prekių ženklus, t. y. prekiauti Lietuvoje iš Vengrijos lygiagrečiai importuojamais vaistiniais preparatais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50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75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100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125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(lygiagrečiai importuojamų vaistų registracijos Nr.</w:t>
      </w:r>
      <w:r w:rsidR="004120CA">
        <w:rPr>
          <w:rFonts w:asciiTheme="majorBidi" w:hAnsiTheme="majorBidi" w:cstheme="majorBidi"/>
          <w:sz w:val="24"/>
          <w:szCs w:val="24"/>
          <w:lang w:eastAsia="en-GB"/>
        </w:rPr>
        <w:t> </w:t>
      </w:r>
      <w:r w:rsidRPr="001F0BE8">
        <w:rPr>
          <w:rFonts w:asciiTheme="majorBidi" w:hAnsiTheme="majorBidi" w:cstheme="majorBidi"/>
          <w:sz w:val="24"/>
          <w:szCs w:val="24"/>
          <w:lang w:eastAsia="en-GB"/>
        </w:rPr>
        <w:t>LT/L/20/1227/001, Nr. LT/l/21/1480/003, Nr. LT/L/20/1365/001 ir Nr.</w:t>
      </w:r>
      <w:r w:rsidR="00A06FF3">
        <w:rPr>
          <w:rFonts w:asciiTheme="majorBidi" w:hAnsiTheme="majorBidi" w:cstheme="majorBidi"/>
          <w:sz w:val="24"/>
          <w:szCs w:val="24"/>
          <w:lang w:eastAsia="en-GB"/>
        </w:rPr>
        <w:t> </w:t>
      </w:r>
      <w:r w:rsidRPr="001F0BE8">
        <w:rPr>
          <w:rFonts w:asciiTheme="majorBidi" w:hAnsiTheme="majorBidi" w:cstheme="majorBidi"/>
          <w:sz w:val="24"/>
          <w:szCs w:val="24"/>
          <w:lang w:eastAsia="en-GB"/>
        </w:rPr>
        <w:t xml:space="preserve">LT/L/20/1462/001), </w:t>
      </w:r>
      <w:r w:rsidR="00A06FF3">
        <w:rPr>
          <w:rFonts w:asciiTheme="majorBidi" w:hAnsiTheme="majorBidi" w:cstheme="majorBidi"/>
          <w:sz w:val="24"/>
          <w:szCs w:val="24"/>
          <w:lang w:eastAsia="en-GB"/>
        </w:rPr>
        <w:t>ir</w:t>
      </w:r>
      <w:r w:rsidRPr="001F0BE8">
        <w:rPr>
          <w:rFonts w:asciiTheme="majorBidi" w:hAnsiTheme="majorBidi" w:cstheme="majorBidi"/>
          <w:sz w:val="24"/>
          <w:szCs w:val="24"/>
          <w:lang w:eastAsia="en-GB"/>
        </w:rPr>
        <w:t xml:space="preserve"> uždrausti atlikti šiuos veiksmus ateityje;</w:t>
      </w:r>
    </w:p>
    <w:p w14:paraId="16AD6EA9" w14:textId="439AC48F" w:rsidR="001F0BE8" w:rsidRPr="001F0BE8" w:rsidRDefault="001F0BE8" w:rsidP="001F0BE8">
      <w:pPr>
        <w:pStyle w:val="ListParagraph"/>
        <w:numPr>
          <w:ilvl w:val="1"/>
          <w:numId w:val="15"/>
        </w:numPr>
        <w:tabs>
          <w:tab w:val="left" w:pos="709"/>
          <w:tab w:val="left" w:pos="851"/>
        </w:tabs>
        <w:snapToGrid w:val="0"/>
        <w:spacing w:after="120" w:line="240" w:lineRule="auto"/>
        <w:contextualSpacing w:val="0"/>
        <w:jc w:val="both"/>
        <w:rPr>
          <w:rFonts w:asciiTheme="majorBidi" w:hAnsiTheme="majorBidi" w:cstheme="majorBidi"/>
          <w:sz w:val="24"/>
          <w:szCs w:val="24"/>
          <w:lang w:eastAsia="en-GB"/>
        </w:rPr>
      </w:pPr>
      <w:r w:rsidRPr="001F0BE8">
        <w:rPr>
          <w:rFonts w:asciiTheme="majorBidi" w:hAnsiTheme="majorBidi" w:cstheme="majorBidi"/>
          <w:sz w:val="24"/>
          <w:szCs w:val="24"/>
          <w:lang w:eastAsia="en-GB"/>
        </w:rPr>
        <w:lastRenderedPageBreak/>
        <w:t>įpareigoti atsakovę UAB „</w:t>
      </w:r>
      <w:proofErr w:type="spellStart"/>
      <w:r w:rsidRPr="001F0BE8">
        <w:rPr>
          <w:rFonts w:asciiTheme="majorBidi" w:hAnsiTheme="majorBidi" w:cstheme="majorBidi"/>
          <w:sz w:val="24"/>
          <w:szCs w:val="24"/>
          <w:lang w:eastAsia="en-GB"/>
        </w:rPr>
        <w:t>Lex</w:t>
      </w:r>
      <w:proofErr w:type="spellEnd"/>
      <w:r w:rsidRPr="001F0BE8">
        <w:rPr>
          <w:rFonts w:asciiTheme="majorBidi" w:hAnsiTheme="majorBidi" w:cstheme="majorBidi"/>
          <w:sz w:val="24"/>
          <w:szCs w:val="24"/>
          <w:lang w:eastAsia="en-GB"/>
        </w:rPr>
        <w:t xml:space="preserve"> ano“ išimti iš apyvartos ieškovės išimtines teises į prekių ženklus pažeidžiančias prekes, t. y. atsakovės iš Vengrijos į Lietuvą lygiagrečiai importuojamus vaistinius preparatus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50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75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100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125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(lygiagrečiai importuojamų vaistų registracijos Nr. LT/L/20/1227/001, Nr. LT/l/21/1480/003, Nr. LT/L/20/1365/001 ir Nr. LT/L/20/1462/001);</w:t>
      </w:r>
    </w:p>
    <w:p w14:paraId="0621B3E2" w14:textId="63A6AF50" w:rsidR="001F0BE8" w:rsidRPr="001F0BE8" w:rsidRDefault="001F0BE8" w:rsidP="001F0BE8">
      <w:pPr>
        <w:pStyle w:val="ListParagraph"/>
        <w:numPr>
          <w:ilvl w:val="1"/>
          <w:numId w:val="15"/>
        </w:numPr>
        <w:tabs>
          <w:tab w:val="left" w:pos="709"/>
          <w:tab w:val="left" w:pos="851"/>
        </w:tabs>
        <w:snapToGrid w:val="0"/>
        <w:spacing w:after="120" w:line="240" w:lineRule="auto"/>
        <w:contextualSpacing w:val="0"/>
        <w:jc w:val="both"/>
        <w:rPr>
          <w:rFonts w:asciiTheme="majorBidi" w:hAnsiTheme="majorBidi" w:cstheme="majorBidi"/>
          <w:sz w:val="24"/>
          <w:szCs w:val="24"/>
          <w:lang w:eastAsia="en-GB"/>
        </w:rPr>
      </w:pPr>
      <w:r w:rsidRPr="001F0BE8">
        <w:rPr>
          <w:rFonts w:asciiTheme="majorBidi" w:hAnsiTheme="majorBidi" w:cstheme="majorBidi"/>
          <w:sz w:val="24"/>
          <w:szCs w:val="24"/>
          <w:lang w:eastAsia="en-GB"/>
        </w:rPr>
        <w:t>priteisti iš atsakovės UAB „</w:t>
      </w:r>
      <w:proofErr w:type="spellStart"/>
      <w:r w:rsidRPr="001F0BE8">
        <w:rPr>
          <w:rFonts w:asciiTheme="majorBidi" w:hAnsiTheme="majorBidi" w:cstheme="majorBidi"/>
          <w:sz w:val="24"/>
          <w:szCs w:val="24"/>
          <w:lang w:eastAsia="en-GB"/>
        </w:rPr>
        <w:t>Lex</w:t>
      </w:r>
      <w:proofErr w:type="spellEnd"/>
      <w:r w:rsidRPr="001F0BE8">
        <w:rPr>
          <w:rFonts w:asciiTheme="majorBidi" w:hAnsiTheme="majorBidi" w:cstheme="majorBidi"/>
          <w:sz w:val="24"/>
          <w:szCs w:val="24"/>
          <w:lang w:eastAsia="en-GB"/>
        </w:rPr>
        <w:t xml:space="preserve"> ano“ </w:t>
      </w:r>
      <w:r w:rsidR="00A06FF3">
        <w:rPr>
          <w:rFonts w:asciiTheme="majorBidi" w:hAnsiTheme="majorBidi" w:cstheme="majorBidi"/>
          <w:sz w:val="24"/>
          <w:szCs w:val="24"/>
          <w:lang w:eastAsia="en-GB"/>
        </w:rPr>
        <w:t xml:space="preserve">atlyginti </w:t>
      </w:r>
      <w:r w:rsidRPr="001F0BE8">
        <w:rPr>
          <w:rFonts w:asciiTheme="majorBidi" w:hAnsiTheme="majorBidi" w:cstheme="majorBidi"/>
          <w:sz w:val="24"/>
          <w:szCs w:val="24"/>
          <w:lang w:eastAsia="en-GB"/>
        </w:rPr>
        <w:t xml:space="preserve">visus ieškovės nuostolius, atsiradusius dėl atsakovės neteisėtos prekybos Lietuvoje lygiagrečiai importuojamais vaistiniais preparatais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50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75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100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L-</w:t>
      </w:r>
      <w:proofErr w:type="spellStart"/>
      <w:r w:rsidRPr="001F0BE8">
        <w:rPr>
          <w:rFonts w:asciiTheme="majorBidi" w:hAnsiTheme="majorBidi" w:cstheme="majorBidi"/>
          <w:sz w:val="24"/>
          <w:szCs w:val="24"/>
          <w:lang w:eastAsia="en-GB"/>
        </w:rPr>
        <w:t>Thyroxin</w:t>
      </w:r>
      <w:proofErr w:type="spellEnd"/>
      <w:r w:rsidRPr="001F0BE8">
        <w:rPr>
          <w:rFonts w:asciiTheme="majorBidi" w:hAnsiTheme="majorBidi" w:cstheme="majorBidi"/>
          <w:sz w:val="24"/>
          <w:szCs w:val="24"/>
          <w:lang w:eastAsia="en-GB"/>
        </w:rPr>
        <w:t xml:space="preserve"> </w:t>
      </w:r>
      <w:proofErr w:type="spellStart"/>
      <w:r w:rsidRPr="001F0BE8">
        <w:rPr>
          <w:rFonts w:asciiTheme="majorBidi" w:hAnsiTheme="majorBidi" w:cstheme="majorBidi"/>
          <w:sz w:val="24"/>
          <w:szCs w:val="24"/>
          <w:lang w:eastAsia="en-GB"/>
        </w:rPr>
        <w:t>Berlin-Chemie</w:t>
      </w:r>
      <w:proofErr w:type="spellEnd"/>
      <w:r w:rsidRPr="001F0BE8">
        <w:rPr>
          <w:rFonts w:asciiTheme="majorBidi" w:hAnsiTheme="majorBidi" w:cstheme="majorBidi"/>
          <w:sz w:val="24"/>
          <w:szCs w:val="24"/>
          <w:lang w:eastAsia="en-GB"/>
        </w:rPr>
        <w:t xml:space="preserve"> 125 µg N100</w:t>
      </w:r>
      <w:r w:rsidR="004120CA">
        <w:rPr>
          <w:rFonts w:asciiTheme="majorBidi" w:hAnsiTheme="majorBidi" w:cstheme="majorBidi"/>
          <w:sz w:val="24"/>
          <w:szCs w:val="24"/>
          <w:lang w:eastAsia="en-GB"/>
        </w:rPr>
        <w:t>“</w:t>
      </w:r>
      <w:r w:rsidRPr="001F0BE8">
        <w:rPr>
          <w:rFonts w:asciiTheme="majorBidi" w:hAnsiTheme="majorBidi" w:cstheme="majorBidi"/>
          <w:sz w:val="24"/>
          <w:szCs w:val="24"/>
          <w:lang w:eastAsia="en-GB"/>
        </w:rPr>
        <w:t xml:space="preserve"> (lygiagrečiai importuojamų vaistų registracijos Nr. LT/L/20/1227/001, Nr.</w:t>
      </w:r>
      <w:r w:rsidR="004120CA">
        <w:rPr>
          <w:rFonts w:asciiTheme="majorBidi" w:hAnsiTheme="majorBidi" w:cstheme="majorBidi"/>
          <w:sz w:val="24"/>
          <w:szCs w:val="24"/>
          <w:lang w:eastAsia="en-GB"/>
        </w:rPr>
        <w:t> </w:t>
      </w:r>
      <w:r w:rsidRPr="001F0BE8">
        <w:rPr>
          <w:rFonts w:asciiTheme="majorBidi" w:hAnsiTheme="majorBidi" w:cstheme="majorBidi"/>
          <w:sz w:val="24"/>
          <w:szCs w:val="24"/>
          <w:lang w:eastAsia="en-GB"/>
        </w:rPr>
        <w:t>LT/l/21/1480/003, Nr. LT/L/20/1365/001 ir Nr. LT/L/20/1462/001), kurie sudaro ne mažiau kaip 32 436,99 Eur;</w:t>
      </w:r>
    </w:p>
    <w:p w14:paraId="0D5E57B2" w14:textId="21ACB63A" w:rsidR="001F0BE8" w:rsidRPr="001F0BE8" w:rsidRDefault="001F0BE8" w:rsidP="001F0BE8">
      <w:pPr>
        <w:pStyle w:val="ListParagraph"/>
        <w:numPr>
          <w:ilvl w:val="1"/>
          <w:numId w:val="15"/>
        </w:numPr>
        <w:tabs>
          <w:tab w:val="left" w:pos="709"/>
          <w:tab w:val="left" w:pos="851"/>
        </w:tabs>
        <w:snapToGrid w:val="0"/>
        <w:spacing w:after="120" w:line="240" w:lineRule="auto"/>
        <w:contextualSpacing w:val="0"/>
        <w:jc w:val="both"/>
        <w:rPr>
          <w:rFonts w:asciiTheme="majorBidi" w:hAnsiTheme="majorBidi" w:cstheme="majorBidi"/>
          <w:sz w:val="24"/>
          <w:szCs w:val="24"/>
          <w:lang w:eastAsia="en-GB"/>
        </w:rPr>
      </w:pPr>
      <w:r w:rsidRPr="001F0BE8">
        <w:rPr>
          <w:rFonts w:asciiTheme="majorBidi" w:hAnsiTheme="majorBidi" w:cstheme="majorBidi"/>
          <w:sz w:val="24"/>
          <w:szCs w:val="24"/>
          <w:lang w:eastAsia="en-GB"/>
        </w:rPr>
        <w:t>priteisti 6 proc. dydžio metines palūkanas už priteistą sumą nuo bylos iškėlimo teisme dienos iki teismo sprendimo visiško įvykdymo;</w:t>
      </w:r>
    </w:p>
    <w:p w14:paraId="2F30E8D2" w14:textId="41D19E25" w:rsidR="001F0BE8" w:rsidRPr="001F0BE8" w:rsidRDefault="001F0BE8" w:rsidP="001F0BE8">
      <w:pPr>
        <w:pStyle w:val="ListParagraph"/>
        <w:numPr>
          <w:ilvl w:val="1"/>
          <w:numId w:val="15"/>
        </w:numPr>
        <w:tabs>
          <w:tab w:val="left" w:pos="709"/>
          <w:tab w:val="left" w:pos="851"/>
        </w:tabs>
        <w:snapToGrid w:val="0"/>
        <w:spacing w:after="120" w:line="240" w:lineRule="auto"/>
        <w:contextualSpacing w:val="0"/>
        <w:jc w:val="both"/>
        <w:rPr>
          <w:rFonts w:asciiTheme="majorBidi" w:hAnsiTheme="majorBidi" w:cstheme="majorBidi"/>
          <w:sz w:val="24"/>
          <w:szCs w:val="24"/>
          <w:lang w:eastAsia="en-GB"/>
        </w:rPr>
      </w:pPr>
      <w:r w:rsidRPr="001F0BE8">
        <w:rPr>
          <w:rFonts w:asciiTheme="majorBidi" w:hAnsiTheme="majorBidi" w:cstheme="majorBidi"/>
          <w:sz w:val="24"/>
          <w:szCs w:val="24"/>
          <w:lang w:eastAsia="en-GB"/>
        </w:rPr>
        <w:t>priteisti bylinėjimosi išlaid</w:t>
      </w:r>
      <w:r>
        <w:rPr>
          <w:rFonts w:asciiTheme="majorBidi" w:hAnsiTheme="majorBidi" w:cstheme="majorBidi"/>
          <w:sz w:val="24"/>
          <w:szCs w:val="24"/>
          <w:lang w:eastAsia="en-GB"/>
        </w:rPr>
        <w:t>ų atlyginimą</w:t>
      </w:r>
      <w:r w:rsidRPr="001F0BE8">
        <w:rPr>
          <w:rFonts w:asciiTheme="majorBidi" w:hAnsiTheme="majorBidi" w:cstheme="majorBidi"/>
          <w:sz w:val="24"/>
          <w:szCs w:val="24"/>
          <w:lang w:eastAsia="en-GB"/>
        </w:rPr>
        <w:t>.</w:t>
      </w:r>
    </w:p>
    <w:p w14:paraId="026098B5" w14:textId="41807C13" w:rsidR="001F0BE8" w:rsidRDefault="00EC47D6" w:rsidP="00EC47D6">
      <w:pPr>
        <w:pStyle w:val="ListParagraph"/>
        <w:numPr>
          <w:ilvl w:val="0"/>
          <w:numId w:val="16"/>
        </w:numPr>
        <w:tabs>
          <w:tab w:val="left" w:pos="993"/>
        </w:tabs>
        <w:snapToGrid w:val="0"/>
        <w:spacing w:before="100" w:beforeAutospacing="1" w:after="120" w:line="240" w:lineRule="auto"/>
        <w:ind w:left="426" w:hanging="426"/>
        <w:contextualSpacing w:val="0"/>
        <w:jc w:val="both"/>
        <w:rPr>
          <w:rFonts w:ascii="Times New Roman" w:hAnsi="Times New Roman"/>
          <w:sz w:val="24"/>
          <w:szCs w:val="24"/>
          <w:lang w:eastAsia="en-GB"/>
        </w:rPr>
      </w:pPr>
      <w:r>
        <w:rPr>
          <w:rFonts w:ascii="Times New Roman" w:hAnsi="Times New Roman"/>
          <w:sz w:val="24"/>
          <w:szCs w:val="24"/>
          <w:lang w:eastAsia="en-GB"/>
        </w:rPr>
        <w:t>Ieškovė n</w:t>
      </w:r>
      <w:r w:rsidR="001F0BE8" w:rsidRPr="004F7C9E">
        <w:rPr>
          <w:rFonts w:ascii="Times New Roman" w:hAnsi="Times New Roman"/>
          <w:sz w:val="24"/>
          <w:szCs w:val="24"/>
          <w:lang w:eastAsia="en-GB"/>
        </w:rPr>
        <w:t xml:space="preserve">urodė, kad </w:t>
      </w:r>
      <w:r>
        <w:rPr>
          <w:rFonts w:ascii="Times New Roman" w:hAnsi="Times New Roman"/>
          <w:sz w:val="24"/>
          <w:szCs w:val="24"/>
          <w:lang w:eastAsia="en-GB"/>
        </w:rPr>
        <w:t>ji</w:t>
      </w:r>
      <w:r w:rsidR="001F0BE8" w:rsidRPr="004F7C9E">
        <w:rPr>
          <w:rFonts w:ascii="Times New Roman" w:hAnsi="Times New Roman"/>
          <w:sz w:val="24"/>
          <w:szCs w:val="24"/>
          <w:lang w:eastAsia="en-GB"/>
        </w:rPr>
        <w:t xml:space="preserve"> gamina ir platina vaistus bei medicinos priet</w:t>
      </w:r>
      <w:r w:rsidR="001F0BE8">
        <w:rPr>
          <w:rFonts w:ascii="Times New Roman" w:hAnsi="Times New Roman"/>
          <w:sz w:val="24"/>
          <w:szCs w:val="24"/>
          <w:lang w:eastAsia="en-GB"/>
        </w:rPr>
        <w:t xml:space="preserve">aisus Vokietijoje ir užsienyje. Be kita ko, ji gamina ir Rytų Europoje platina vaistinius preparatus su veikliąja medžiaga </w:t>
      </w:r>
      <w:proofErr w:type="spellStart"/>
      <w:r w:rsidR="001F0BE8">
        <w:rPr>
          <w:rFonts w:ascii="Times New Roman" w:hAnsi="Times New Roman"/>
          <w:sz w:val="24"/>
          <w:szCs w:val="24"/>
          <w:lang w:eastAsia="en-GB"/>
        </w:rPr>
        <w:t>levotiroksino</w:t>
      </w:r>
      <w:proofErr w:type="spellEnd"/>
      <w:r w:rsidR="001F0BE8">
        <w:rPr>
          <w:rFonts w:ascii="Times New Roman" w:hAnsi="Times New Roman"/>
          <w:sz w:val="24"/>
          <w:szCs w:val="24"/>
          <w:lang w:eastAsia="en-GB"/>
        </w:rPr>
        <w:t xml:space="preserve"> natrio druska, skirta skydliaukės hormono </w:t>
      </w:r>
      <w:proofErr w:type="spellStart"/>
      <w:r w:rsidR="001F0BE8">
        <w:rPr>
          <w:rFonts w:ascii="Times New Roman" w:hAnsi="Times New Roman"/>
          <w:sz w:val="24"/>
          <w:szCs w:val="24"/>
          <w:lang w:eastAsia="en-GB"/>
        </w:rPr>
        <w:t>levotiroksino</w:t>
      </w:r>
      <w:proofErr w:type="spellEnd"/>
      <w:r w:rsidR="001F0BE8">
        <w:rPr>
          <w:rFonts w:ascii="Times New Roman" w:hAnsi="Times New Roman"/>
          <w:sz w:val="24"/>
          <w:szCs w:val="24"/>
          <w:lang w:eastAsia="en-GB"/>
        </w:rPr>
        <w:t xml:space="preserve"> trūkum</w:t>
      </w:r>
      <w:r w:rsidR="00A06FF3">
        <w:rPr>
          <w:rFonts w:ascii="Times New Roman" w:hAnsi="Times New Roman"/>
          <w:sz w:val="24"/>
          <w:szCs w:val="24"/>
          <w:lang w:eastAsia="en-GB"/>
        </w:rPr>
        <w:t>ui</w:t>
      </w:r>
      <w:r w:rsidR="001F0BE8">
        <w:rPr>
          <w:rFonts w:ascii="Times New Roman" w:hAnsi="Times New Roman"/>
          <w:sz w:val="24"/>
          <w:szCs w:val="24"/>
          <w:lang w:eastAsia="en-GB"/>
        </w:rPr>
        <w:t xml:space="preserve"> </w:t>
      </w:r>
      <w:r w:rsidR="00A06FF3">
        <w:rPr>
          <w:rFonts w:ascii="Times New Roman" w:hAnsi="Times New Roman"/>
          <w:sz w:val="24"/>
          <w:szCs w:val="24"/>
          <w:lang w:eastAsia="en-GB"/>
        </w:rPr>
        <w:t xml:space="preserve">atkurti </w:t>
      </w:r>
      <w:r w:rsidR="001F0BE8">
        <w:rPr>
          <w:rFonts w:ascii="Times New Roman" w:hAnsi="Times New Roman"/>
          <w:sz w:val="24"/>
          <w:szCs w:val="24"/>
          <w:lang w:eastAsia="en-GB"/>
        </w:rPr>
        <w:t>ir (arba) skydliaukės veiklos įtamp</w:t>
      </w:r>
      <w:r w:rsidR="00A06FF3">
        <w:rPr>
          <w:rFonts w:ascii="Times New Roman" w:hAnsi="Times New Roman"/>
          <w:sz w:val="24"/>
          <w:szCs w:val="24"/>
          <w:lang w:eastAsia="en-GB"/>
        </w:rPr>
        <w:t>ai</w:t>
      </w:r>
      <w:r w:rsidR="00A06FF3" w:rsidRPr="00A06FF3">
        <w:rPr>
          <w:rFonts w:ascii="Times New Roman" w:hAnsi="Times New Roman"/>
          <w:sz w:val="24"/>
          <w:szCs w:val="24"/>
          <w:lang w:eastAsia="en-GB"/>
        </w:rPr>
        <w:t xml:space="preserve"> </w:t>
      </w:r>
      <w:r w:rsidR="00A06FF3">
        <w:rPr>
          <w:rFonts w:ascii="Times New Roman" w:hAnsi="Times New Roman"/>
          <w:sz w:val="24"/>
          <w:szCs w:val="24"/>
          <w:lang w:eastAsia="en-GB"/>
        </w:rPr>
        <w:t>sumažinti</w:t>
      </w:r>
      <w:r w:rsidR="001F0BE8">
        <w:rPr>
          <w:rFonts w:ascii="Times New Roman" w:hAnsi="Times New Roman"/>
          <w:sz w:val="24"/>
          <w:szCs w:val="24"/>
          <w:lang w:eastAsia="en-GB"/>
        </w:rPr>
        <w:t xml:space="preserve">. Skirtingose Rytų Europos valstybėse jie yra registruojami ir platinami skirtingais pavadinimais, pavyzdžiui, Lietuvoje jie užregistruoti ir platinami pavadinimu </w:t>
      </w:r>
      <w:r w:rsidR="004120CA">
        <w:rPr>
          <w:rFonts w:ascii="Times New Roman" w:hAnsi="Times New Roman"/>
          <w:sz w:val="24"/>
          <w:szCs w:val="24"/>
          <w:lang w:eastAsia="en-GB"/>
        </w:rPr>
        <w:t>„</w:t>
      </w:r>
      <w:r w:rsidR="001F0BE8">
        <w:rPr>
          <w:rFonts w:ascii="Times New Roman" w:hAnsi="Times New Roman"/>
          <w:sz w:val="24"/>
          <w:szCs w:val="24"/>
          <w:lang w:eastAsia="en-GB"/>
        </w:rPr>
        <w:t>L-</w:t>
      </w:r>
      <w:proofErr w:type="spellStart"/>
      <w:r w:rsidR="001F0BE8">
        <w:rPr>
          <w:rFonts w:ascii="Times New Roman" w:hAnsi="Times New Roman"/>
          <w:sz w:val="24"/>
          <w:szCs w:val="24"/>
          <w:lang w:eastAsia="en-GB"/>
        </w:rPr>
        <w:t>Thyroxin</w:t>
      </w:r>
      <w:proofErr w:type="spellEnd"/>
      <w:r w:rsidR="001F0BE8">
        <w:rPr>
          <w:rFonts w:ascii="Times New Roman" w:hAnsi="Times New Roman"/>
          <w:sz w:val="24"/>
          <w:szCs w:val="24"/>
          <w:lang w:eastAsia="en-GB"/>
        </w:rPr>
        <w:t xml:space="preserve"> </w:t>
      </w:r>
      <w:proofErr w:type="spellStart"/>
      <w:r w:rsidR="001F0BE8">
        <w:rPr>
          <w:rFonts w:ascii="Times New Roman" w:hAnsi="Times New Roman"/>
          <w:sz w:val="24"/>
          <w:szCs w:val="24"/>
          <w:lang w:eastAsia="en-GB"/>
        </w:rPr>
        <w:t>Berlin-Chemie</w:t>
      </w:r>
      <w:proofErr w:type="spellEnd"/>
      <w:r w:rsidR="004120CA">
        <w:rPr>
          <w:rFonts w:ascii="Times New Roman" w:hAnsi="Times New Roman"/>
          <w:sz w:val="24"/>
          <w:szCs w:val="24"/>
          <w:lang w:eastAsia="en-GB"/>
        </w:rPr>
        <w:t>“</w:t>
      </w:r>
      <w:r w:rsidR="001F0BE8">
        <w:rPr>
          <w:rFonts w:ascii="Times New Roman" w:hAnsi="Times New Roman"/>
          <w:sz w:val="24"/>
          <w:szCs w:val="24"/>
          <w:lang w:eastAsia="en-GB"/>
        </w:rPr>
        <w:t xml:space="preserve">, o Vengrijoje – </w:t>
      </w:r>
      <w:r w:rsidR="004120CA">
        <w:rPr>
          <w:rFonts w:ascii="Times New Roman" w:hAnsi="Times New Roman"/>
          <w:sz w:val="24"/>
          <w:szCs w:val="24"/>
          <w:lang w:eastAsia="en-GB"/>
        </w:rPr>
        <w:t>„</w:t>
      </w:r>
      <w:proofErr w:type="spellStart"/>
      <w:r w:rsidR="001F0BE8">
        <w:rPr>
          <w:rFonts w:ascii="Times New Roman" w:hAnsi="Times New Roman"/>
          <w:sz w:val="24"/>
          <w:szCs w:val="24"/>
          <w:lang w:eastAsia="en-GB"/>
        </w:rPr>
        <w:t>Letrox</w:t>
      </w:r>
      <w:proofErr w:type="spellEnd"/>
      <w:r w:rsidR="004120CA">
        <w:rPr>
          <w:rFonts w:ascii="Times New Roman" w:hAnsi="Times New Roman"/>
          <w:sz w:val="24"/>
          <w:szCs w:val="24"/>
          <w:lang w:eastAsia="en-GB"/>
        </w:rPr>
        <w:t>“</w:t>
      </w:r>
      <w:r w:rsidR="001F0BE8">
        <w:rPr>
          <w:rFonts w:ascii="Times New Roman" w:hAnsi="Times New Roman"/>
          <w:sz w:val="24"/>
          <w:szCs w:val="24"/>
          <w:lang w:eastAsia="en-GB"/>
        </w:rPr>
        <w:t>. Tiek pavadinimas ,,</w:t>
      </w:r>
      <w:proofErr w:type="spellStart"/>
      <w:r w:rsidR="001F0BE8">
        <w:rPr>
          <w:rFonts w:ascii="Times New Roman" w:hAnsi="Times New Roman"/>
          <w:sz w:val="24"/>
          <w:szCs w:val="24"/>
          <w:lang w:eastAsia="en-GB"/>
        </w:rPr>
        <w:t>Berlin-Chemie</w:t>
      </w:r>
      <w:proofErr w:type="spellEnd"/>
      <w:r w:rsidR="001F0BE8">
        <w:rPr>
          <w:rFonts w:ascii="Times New Roman" w:hAnsi="Times New Roman"/>
          <w:sz w:val="24"/>
          <w:szCs w:val="24"/>
          <w:lang w:eastAsia="en-GB"/>
        </w:rPr>
        <w:t>“, tiek ,,</w:t>
      </w:r>
      <w:proofErr w:type="spellStart"/>
      <w:r w:rsidR="001F0BE8">
        <w:rPr>
          <w:rFonts w:ascii="Times New Roman" w:hAnsi="Times New Roman"/>
          <w:sz w:val="24"/>
          <w:szCs w:val="24"/>
          <w:lang w:eastAsia="en-GB"/>
        </w:rPr>
        <w:t>Letrox</w:t>
      </w:r>
      <w:proofErr w:type="spellEnd"/>
      <w:r w:rsidR="001F0BE8">
        <w:rPr>
          <w:rFonts w:ascii="Times New Roman" w:hAnsi="Times New Roman"/>
          <w:sz w:val="24"/>
          <w:szCs w:val="24"/>
          <w:lang w:eastAsia="en-GB"/>
        </w:rPr>
        <w:t>“ ieškovės yra užregistruotas kaip prekių ženklas 5 prekių klasei (farmaciniai preparatai, vaistai).</w:t>
      </w:r>
    </w:p>
    <w:p w14:paraId="30EB1372" w14:textId="5E28B825" w:rsidR="00CA0F5E" w:rsidRDefault="00CA0F5E" w:rsidP="00CA0F5E">
      <w:pPr>
        <w:pStyle w:val="ListParagraph"/>
        <w:numPr>
          <w:ilvl w:val="0"/>
          <w:numId w:val="16"/>
        </w:numPr>
        <w:tabs>
          <w:tab w:val="left" w:pos="993"/>
        </w:tabs>
        <w:snapToGrid w:val="0"/>
        <w:spacing w:before="100" w:beforeAutospacing="1" w:after="120" w:line="240" w:lineRule="auto"/>
        <w:ind w:left="426" w:hanging="426"/>
        <w:contextualSpacing w:val="0"/>
        <w:jc w:val="both"/>
        <w:rPr>
          <w:rFonts w:ascii="Times New Roman" w:hAnsi="Times New Roman"/>
          <w:sz w:val="24"/>
          <w:szCs w:val="24"/>
          <w:lang w:eastAsia="en-GB"/>
        </w:rPr>
      </w:pPr>
      <w:r>
        <w:rPr>
          <w:rFonts w:ascii="Times New Roman" w:hAnsi="Times New Roman"/>
          <w:sz w:val="24"/>
          <w:szCs w:val="24"/>
          <w:lang w:eastAsia="en-GB"/>
        </w:rPr>
        <w:t>Ieškovės teigimu, a</w:t>
      </w:r>
      <w:r w:rsidR="001F0BE8">
        <w:rPr>
          <w:rFonts w:ascii="Times New Roman" w:hAnsi="Times New Roman"/>
          <w:sz w:val="24"/>
          <w:szCs w:val="24"/>
          <w:lang w:eastAsia="en-GB"/>
        </w:rPr>
        <w:t>tsakovė 2020 m. liepos 17 d., 2020 m. spalio 7 d., 2021 m. sausio 5 d., 2021</w:t>
      </w:r>
      <w:r>
        <w:rPr>
          <w:rFonts w:ascii="Times New Roman" w:hAnsi="Times New Roman"/>
          <w:sz w:val="24"/>
          <w:szCs w:val="24"/>
          <w:lang w:eastAsia="en-GB"/>
        </w:rPr>
        <w:t> </w:t>
      </w:r>
      <w:r w:rsidR="001F0BE8">
        <w:rPr>
          <w:rFonts w:ascii="Times New Roman" w:hAnsi="Times New Roman"/>
          <w:sz w:val="24"/>
          <w:szCs w:val="24"/>
          <w:lang w:eastAsia="en-GB"/>
        </w:rPr>
        <w:t>m.</w:t>
      </w:r>
      <w:r>
        <w:rPr>
          <w:rFonts w:ascii="Times New Roman" w:hAnsi="Times New Roman"/>
          <w:sz w:val="24"/>
          <w:szCs w:val="24"/>
          <w:lang w:eastAsia="en-GB"/>
        </w:rPr>
        <w:t> </w:t>
      </w:r>
      <w:r w:rsidR="001F0BE8">
        <w:rPr>
          <w:rFonts w:ascii="Times New Roman" w:hAnsi="Times New Roman"/>
          <w:sz w:val="24"/>
          <w:szCs w:val="24"/>
          <w:lang w:eastAsia="en-GB"/>
        </w:rPr>
        <w:t xml:space="preserve">vasario 11 d. pranešimais informavo ieškovę apie ketinimą lygiagrečiai importuoti iš Vengrijos į Lietuvą vaistinius preparatus </w:t>
      </w:r>
      <w:r w:rsidR="004120CA">
        <w:rPr>
          <w:rFonts w:ascii="Times New Roman" w:hAnsi="Times New Roman"/>
          <w:sz w:val="24"/>
          <w:szCs w:val="24"/>
          <w:lang w:eastAsia="en-GB"/>
        </w:rPr>
        <w:t>„</w:t>
      </w:r>
      <w:proofErr w:type="spellStart"/>
      <w:r w:rsidR="001F0BE8" w:rsidRPr="00BB0EB2">
        <w:rPr>
          <w:rFonts w:ascii="Times New Roman" w:hAnsi="Times New Roman"/>
          <w:sz w:val="24"/>
          <w:szCs w:val="24"/>
          <w:lang w:eastAsia="en-GB"/>
        </w:rPr>
        <w:t>Letrox</w:t>
      </w:r>
      <w:proofErr w:type="spellEnd"/>
      <w:r w:rsidR="001F0BE8" w:rsidRPr="00BB0EB2">
        <w:rPr>
          <w:rFonts w:ascii="Times New Roman" w:hAnsi="Times New Roman"/>
          <w:sz w:val="24"/>
          <w:szCs w:val="24"/>
          <w:lang w:eastAsia="en-GB"/>
        </w:rPr>
        <w:t xml:space="preserve"> 50 µg N100</w:t>
      </w:r>
      <w:r w:rsidR="004120CA">
        <w:rPr>
          <w:rFonts w:ascii="Times New Roman" w:hAnsi="Times New Roman"/>
          <w:sz w:val="24"/>
          <w:szCs w:val="24"/>
          <w:lang w:eastAsia="en-GB"/>
        </w:rPr>
        <w:t>“</w:t>
      </w:r>
      <w:r w:rsidR="001F0BE8" w:rsidRPr="00BB0EB2">
        <w:rPr>
          <w:rFonts w:ascii="Times New Roman" w:hAnsi="Times New Roman"/>
          <w:sz w:val="24"/>
          <w:szCs w:val="24"/>
          <w:lang w:eastAsia="en-GB"/>
        </w:rPr>
        <w:t xml:space="preserve"> </w:t>
      </w:r>
      <w:r w:rsidR="001F0BE8">
        <w:rPr>
          <w:rFonts w:ascii="Times New Roman" w:hAnsi="Times New Roman"/>
          <w:sz w:val="24"/>
          <w:szCs w:val="24"/>
          <w:lang w:eastAsia="en-GB"/>
        </w:rPr>
        <w:t xml:space="preserve">nauju pavadinimu – </w:t>
      </w:r>
      <w:r w:rsidR="001F0BE8" w:rsidRPr="00BB0EB2">
        <w:rPr>
          <w:rFonts w:ascii="Times New Roman" w:hAnsi="Times New Roman"/>
          <w:sz w:val="24"/>
          <w:szCs w:val="24"/>
          <w:lang w:eastAsia="en-GB"/>
        </w:rPr>
        <w:t xml:space="preserve">kaip </w:t>
      </w:r>
      <w:r w:rsidR="004120CA">
        <w:rPr>
          <w:rFonts w:ascii="Times New Roman" w:hAnsi="Times New Roman"/>
          <w:sz w:val="24"/>
          <w:szCs w:val="24"/>
          <w:lang w:eastAsia="en-GB"/>
        </w:rPr>
        <w:t>„</w:t>
      </w:r>
      <w:r w:rsidR="001F0BE8" w:rsidRPr="00BB0EB2">
        <w:rPr>
          <w:rFonts w:ascii="Times New Roman" w:hAnsi="Times New Roman"/>
          <w:sz w:val="24"/>
          <w:szCs w:val="24"/>
          <w:lang w:eastAsia="en-GB"/>
        </w:rPr>
        <w:t>L-</w:t>
      </w:r>
      <w:proofErr w:type="spellStart"/>
      <w:r w:rsidR="001F0BE8" w:rsidRPr="00BB0EB2">
        <w:rPr>
          <w:rFonts w:ascii="Times New Roman" w:hAnsi="Times New Roman"/>
          <w:sz w:val="24"/>
          <w:szCs w:val="24"/>
          <w:lang w:eastAsia="en-GB"/>
        </w:rPr>
        <w:t>Thyroxin</w:t>
      </w:r>
      <w:proofErr w:type="spellEnd"/>
      <w:r w:rsidR="001F0BE8" w:rsidRPr="00BB0EB2">
        <w:rPr>
          <w:rFonts w:ascii="Times New Roman" w:hAnsi="Times New Roman"/>
          <w:sz w:val="24"/>
          <w:szCs w:val="24"/>
          <w:lang w:eastAsia="en-GB"/>
        </w:rPr>
        <w:t xml:space="preserve"> </w:t>
      </w:r>
      <w:proofErr w:type="spellStart"/>
      <w:r w:rsidR="001F0BE8" w:rsidRPr="00BB0EB2">
        <w:rPr>
          <w:rFonts w:ascii="Times New Roman" w:hAnsi="Times New Roman"/>
          <w:sz w:val="24"/>
          <w:szCs w:val="24"/>
          <w:lang w:eastAsia="en-GB"/>
        </w:rPr>
        <w:t>Berlin-Chemie</w:t>
      </w:r>
      <w:proofErr w:type="spellEnd"/>
      <w:r w:rsidR="001F0BE8" w:rsidRPr="00BB0EB2">
        <w:rPr>
          <w:rFonts w:ascii="Times New Roman" w:hAnsi="Times New Roman"/>
          <w:sz w:val="24"/>
          <w:szCs w:val="24"/>
          <w:lang w:eastAsia="en-GB"/>
        </w:rPr>
        <w:t xml:space="preserve"> 50</w:t>
      </w:r>
      <w:r w:rsidR="001F0BE8">
        <w:rPr>
          <w:rFonts w:ascii="Times New Roman" w:hAnsi="Times New Roman"/>
          <w:sz w:val="24"/>
          <w:szCs w:val="24"/>
          <w:lang w:eastAsia="en-GB"/>
        </w:rPr>
        <w:t> </w:t>
      </w:r>
      <w:r w:rsidR="001F0BE8" w:rsidRPr="00BB0EB2">
        <w:rPr>
          <w:rFonts w:ascii="Times New Roman" w:hAnsi="Times New Roman"/>
          <w:sz w:val="24"/>
          <w:szCs w:val="24"/>
          <w:lang w:eastAsia="en-GB"/>
        </w:rPr>
        <w:t>µg N100</w:t>
      </w:r>
      <w:r w:rsidR="004120CA">
        <w:rPr>
          <w:rFonts w:ascii="Times New Roman" w:hAnsi="Times New Roman"/>
          <w:sz w:val="24"/>
          <w:szCs w:val="24"/>
          <w:lang w:eastAsia="en-GB"/>
        </w:rPr>
        <w:t>“</w:t>
      </w:r>
      <w:r w:rsidR="001F0BE8">
        <w:rPr>
          <w:rFonts w:ascii="Times New Roman" w:hAnsi="Times New Roman"/>
          <w:sz w:val="24"/>
          <w:szCs w:val="24"/>
          <w:lang w:eastAsia="en-GB"/>
        </w:rPr>
        <w:t xml:space="preserve">, </w:t>
      </w:r>
      <w:r w:rsidR="004120CA">
        <w:rPr>
          <w:rFonts w:ascii="Times New Roman" w:hAnsi="Times New Roman"/>
          <w:sz w:val="24"/>
          <w:szCs w:val="24"/>
          <w:lang w:eastAsia="en-GB"/>
        </w:rPr>
        <w:t>„</w:t>
      </w:r>
      <w:proofErr w:type="spellStart"/>
      <w:r w:rsidR="001F0BE8" w:rsidRPr="00BB0EB2">
        <w:rPr>
          <w:rFonts w:ascii="Times New Roman" w:hAnsi="Times New Roman"/>
          <w:sz w:val="24"/>
          <w:szCs w:val="24"/>
          <w:lang w:eastAsia="en-GB"/>
        </w:rPr>
        <w:t>Letrox</w:t>
      </w:r>
      <w:proofErr w:type="spellEnd"/>
      <w:r w:rsidR="001F0BE8" w:rsidRPr="00BB0EB2">
        <w:rPr>
          <w:rFonts w:ascii="Times New Roman" w:hAnsi="Times New Roman"/>
          <w:sz w:val="24"/>
          <w:szCs w:val="24"/>
          <w:lang w:eastAsia="en-GB"/>
        </w:rPr>
        <w:t xml:space="preserve"> 100 µg N100</w:t>
      </w:r>
      <w:r w:rsidR="004120CA">
        <w:rPr>
          <w:rFonts w:ascii="Times New Roman" w:hAnsi="Times New Roman"/>
          <w:sz w:val="24"/>
          <w:szCs w:val="24"/>
          <w:lang w:eastAsia="en-GB"/>
        </w:rPr>
        <w:t>“</w:t>
      </w:r>
      <w:r w:rsidR="001F0BE8">
        <w:rPr>
          <w:rFonts w:ascii="Times New Roman" w:hAnsi="Times New Roman"/>
          <w:sz w:val="24"/>
          <w:szCs w:val="24"/>
          <w:lang w:eastAsia="en-GB"/>
        </w:rPr>
        <w:t xml:space="preserve"> –</w:t>
      </w:r>
      <w:r w:rsidR="001F0BE8" w:rsidRPr="00BB0EB2">
        <w:rPr>
          <w:rFonts w:ascii="Times New Roman" w:hAnsi="Times New Roman"/>
          <w:sz w:val="24"/>
          <w:szCs w:val="24"/>
          <w:lang w:eastAsia="en-GB"/>
        </w:rPr>
        <w:t xml:space="preserve"> kaip </w:t>
      </w:r>
      <w:r w:rsidR="004120CA">
        <w:rPr>
          <w:rFonts w:ascii="Times New Roman" w:hAnsi="Times New Roman"/>
          <w:sz w:val="24"/>
          <w:szCs w:val="24"/>
          <w:lang w:eastAsia="en-GB"/>
        </w:rPr>
        <w:t>„</w:t>
      </w:r>
      <w:r w:rsidR="001F0BE8" w:rsidRPr="00BB0EB2">
        <w:rPr>
          <w:rFonts w:ascii="Times New Roman" w:hAnsi="Times New Roman"/>
          <w:sz w:val="24"/>
          <w:szCs w:val="24"/>
          <w:lang w:eastAsia="en-GB"/>
        </w:rPr>
        <w:t>L-</w:t>
      </w:r>
      <w:proofErr w:type="spellStart"/>
      <w:r w:rsidR="001F0BE8" w:rsidRPr="00BB0EB2">
        <w:rPr>
          <w:rFonts w:ascii="Times New Roman" w:hAnsi="Times New Roman"/>
          <w:sz w:val="24"/>
          <w:szCs w:val="24"/>
          <w:lang w:eastAsia="en-GB"/>
        </w:rPr>
        <w:t>Thyroxin</w:t>
      </w:r>
      <w:proofErr w:type="spellEnd"/>
      <w:r w:rsidR="001F0BE8" w:rsidRPr="00BB0EB2">
        <w:rPr>
          <w:rFonts w:ascii="Times New Roman" w:hAnsi="Times New Roman"/>
          <w:sz w:val="24"/>
          <w:szCs w:val="24"/>
          <w:lang w:eastAsia="en-GB"/>
        </w:rPr>
        <w:t xml:space="preserve"> </w:t>
      </w:r>
      <w:proofErr w:type="spellStart"/>
      <w:r w:rsidR="001F0BE8" w:rsidRPr="00BB0EB2">
        <w:rPr>
          <w:rFonts w:ascii="Times New Roman" w:hAnsi="Times New Roman"/>
          <w:sz w:val="24"/>
          <w:szCs w:val="24"/>
          <w:lang w:eastAsia="en-GB"/>
        </w:rPr>
        <w:t>Berlin-Chemie</w:t>
      </w:r>
      <w:proofErr w:type="spellEnd"/>
      <w:r w:rsidR="001F0BE8" w:rsidRPr="00BB0EB2">
        <w:rPr>
          <w:rFonts w:ascii="Times New Roman" w:hAnsi="Times New Roman"/>
          <w:sz w:val="24"/>
          <w:szCs w:val="24"/>
          <w:lang w:eastAsia="en-GB"/>
        </w:rPr>
        <w:t xml:space="preserve"> 100 µg N100</w:t>
      </w:r>
      <w:r w:rsidR="004120CA">
        <w:rPr>
          <w:rFonts w:ascii="Times New Roman" w:hAnsi="Times New Roman"/>
          <w:sz w:val="24"/>
          <w:szCs w:val="24"/>
          <w:lang w:eastAsia="en-GB"/>
        </w:rPr>
        <w:t>“</w:t>
      </w:r>
      <w:r w:rsidR="001F0BE8">
        <w:rPr>
          <w:rFonts w:ascii="Times New Roman" w:hAnsi="Times New Roman"/>
          <w:sz w:val="24"/>
          <w:szCs w:val="24"/>
          <w:lang w:eastAsia="en-GB"/>
        </w:rPr>
        <w:t xml:space="preserve">, </w:t>
      </w:r>
      <w:r w:rsidR="004120CA">
        <w:rPr>
          <w:rFonts w:ascii="Times New Roman" w:hAnsi="Times New Roman"/>
          <w:sz w:val="24"/>
          <w:szCs w:val="24"/>
          <w:lang w:eastAsia="en-GB"/>
        </w:rPr>
        <w:t>„</w:t>
      </w:r>
      <w:proofErr w:type="spellStart"/>
      <w:r w:rsidR="001F0BE8" w:rsidRPr="001F0DC4">
        <w:rPr>
          <w:rFonts w:ascii="Times New Roman" w:hAnsi="Times New Roman"/>
          <w:sz w:val="24"/>
          <w:szCs w:val="24"/>
          <w:lang w:eastAsia="en-GB"/>
        </w:rPr>
        <w:t>Letrox</w:t>
      </w:r>
      <w:proofErr w:type="spellEnd"/>
      <w:r w:rsidR="001F0BE8" w:rsidRPr="001F0DC4">
        <w:rPr>
          <w:rFonts w:ascii="Times New Roman" w:hAnsi="Times New Roman"/>
          <w:sz w:val="24"/>
          <w:szCs w:val="24"/>
          <w:lang w:eastAsia="en-GB"/>
        </w:rPr>
        <w:t xml:space="preserve"> 125</w:t>
      </w:r>
      <w:r w:rsidR="001F0BE8">
        <w:rPr>
          <w:rFonts w:ascii="Times New Roman" w:hAnsi="Times New Roman"/>
          <w:sz w:val="24"/>
          <w:szCs w:val="24"/>
          <w:lang w:eastAsia="en-GB"/>
        </w:rPr>
        <w:t> </w:t>
      </w:r>
      <w:r w:rsidR="001F0BE8" w:rsidRPr="001F0DC4">
        <w:rPr>
          <w:rFonts w:ascii="Times New Roman" w:hAnsi="Times New Roman"/>
          <w:sz w:val="24"/>
          <w:szCs w:val="24"/>
          <w:lang w:eastAsia="en-GB"/>
        </w:rPr>
        <w:t>µg N100</w:t>
      </w:r>
      <w:r w:rsidR="004120CA">
        <w:rPr>
          <w:rFonts w:ascii="Times New Roman" w:hAnsi="Times New Roman"/>
          <w:sz w:val="24"/>
          <w:szCs w:val="24"/>
          <w:lang w:eastAsia="en-GB"/>
        </w:rPr>
        <w:t>“</w:t>
      </w:r>
      <w:r w:rsidR="001F0BE8">
        <w:rPr>
          <w:rFonts w:ascii="Times New Roman" w:hAnsi="Times New Roman"/>
          <w:sz w:val="24"/>
          <w:szCs w:val="24"/>
          <w:lang w:eastAsia="en-GB"/>
        </w:rPr>
        <w:t xml:space="preserve"> –</w:t>
      </w:r>
      <w:r w:rsidR="001F0BE8" w:rsidRPr="001F0DC4">
        <w:rPr>
          <w:rFonts w:ascii="Times New Roman" w:hAnsi="Times New Roman"/>
          <w:sz w:val="24"/>
          <w:szCs w:val="24"/>
          <w:lang w:eastAsia="en-GB"/>
        </w:rPr>
        <w:t xml:space="preserve"> kaip </w:t>
      </w:r>
      <w:r w:rsidR="004120CA">
        <w:rPr>
          <w:rFonts w:ascii="Times New Roman" w:hAnsi="Times New Roman"/>
          <w:sz w:val="24"/>
          <w:szCs w:val="24"/>
          <w:lang w:eastAsia="en-GB"/>
        </w:rPr>
        <w:t>„</w:t>
      </w:r>
      <w:r w:rsidR="001F0BE8" w:rsidRPr="001F0DC4">
        <w:rPr>
          <w:rFonts w:ascii="Times New Roman" w:hAnsi="Times New Roman"/>
          <w:sz w:val="24"/>
          <w:szCs w:val="24"/>
          <w:lang w:eastAsia="en-GB"/>
        </w:rPr>
        <w:t>L-</w:t>
      </w:r>
      <w:proofErr w:type="spellStart"/>
      <w:r w:rsidR="001F0BE8" w:rsidRPr="001F0DC4">
        <w:rPr>
          <w:rFonts w:ascii="Times New Roman" w:hAnsi="Times New Roman"/>
          <w:sz w:val="24"/>
          <w:szCs w:val="24"/>
          <w:lang w:eastAsia="en-GB"/>
        </w:rPr>
        <w:t>Thyroxin</w:t>
      </w:r>
      <w:proofErr w:type="spellEnd"/>
      <w:r w:rsidR="001F0BE8" w:rsidRPr="001F0DC4">
        <w:rPr>
          <w:rFonts w:ascii="Times New Roman" w:hAnsi="Times New Roman"/>
          <w:sz w:val="24"/>
          <w:szCs w:val="24"/>
          <w:lang w:eastAsia="en-GB"/>
        </w:rPr>
        <w:t xml:space="preserve"> </w:t>
      </w:r>
      <w:proofErr w:type="spellStart"/>
      <w:r w:rsidR="001F0BE8" w:rsidRPr="001F0DC4">
        <w:rPr>
          <w:rFonts w:ascii="Times New Roman" w:hAnsi="Times New Roman"/>
          <w:sz w:val="24"/>
          <w:szCs w:val="24"/>
          <w:lang w:eastAsia="en-GB"/>
        </w:rPr>
        <w:t>Berlin-Chemie</w:t>
      </w:r>
      <w:proofErr w:type="spellEnd"/>
      <w:r w:rsidR="001F0BE8" w:rsidRPr="001F0DC4">
        <w:rPr>
          <w:rFonts w:ascii="Times New Roman" w:hAnsi="Times New Roman"/>
          <w:sz w:val="24"/>
          <w:szCs w:val="24"/>
          <w:lang w:eastAsia="en-GB"/>
        </w:rPr>
        <w:t xml:space="preserve"> 125 µg N100</w:t>
      </w:r>
      <w:r w:rsidR="004120CA">
        <w:rPr>
          <w:rFonts w:ascii="Times New Roman" w:hAnsi="Times New Roman"/>
          <w:sz w:val="24"/>
          <w:szCs w:val="24"/>
          <w:lang w:eastAsia="en-GB"/>
        </w:rPr>
        <w:t>“</w:t>
      </w:r>
      <w:r w:rsidR="001F0BE8">
        <w:rPr>
          <w:rFonts w:ascii="Times New Roman" w:hAnsi="Times New Roman"/>
          <w:sz w:val="24"/>
          <w:szCs w:val="24"/>
          <w:lang w:eastAsia="en-GB"/>
        </w:rPr>
        <w:t xml:space="preserve">, o </w:t>
      </w:r>
      <w:r w:rsidR="004120CA">
        <w:rPr>
          <w:rFonts w:ascii="Times New Roman" w:hAnsi="Times New Roman"/>
          <w:sz w:val="24"/>
          <w:szCs w:val="24"/>
          <w:lang w:eastAsia="en-GB"/>
        </w:rPr>
        <w:t>„</w:t>
      </w:r>
      <w:proofErr w:type="spellStart"/>
      <w:r w:rsidR="001F0BE8" w:rsidRPr="001F0DC4">
        <w:rPr>
          <w:rFonts w:ascii="Times New Roman" w:hAnsi="Times New Roman"/>
          <w:sz w:val="24"/>
          <w:szCs w:val="24"/>
          <w:lang w:eastAsia="en-GB"/>
        </w:rPr>
        <w:t>Letrox</w:t>
      </w:r>
      <w:proofErr w:type="spellEnd"/>
      <w:r w:rsidR="001F0BE8" w:rsidRPr="001F0DC4">
        <w:rPr>
          <w:rFonts w:ascii="Times New Roman" w:hAnsi="Times New Roman"/>
          <w:sz w:val="24"/>
          <w:szCs w:val="24"/>
          <w:lang w:eastAsia="en-GB"/>
        </w:rPr>
        <w:t xml:space="preserve"> 75 µg N100</w:t>
      </w:r>
      <w:r w:rsidR="004120CA">
        <w:rPr>
          <w:rFonts w:ascii="Times New Roman" w:hAnsi="Times New Roman"/>
          <w:sz w:val="24"/>
          <w:szCs w:val="24"/>
          <w:lang w:eastAsia="en-GB"/>
        </w:rPr>
        <w:t>“</w:t>
      </w:r>
      <w:r w:rsidR="001F0BE8">
        <w:rPr>
          <w:rFonts w:ascii="Times New Roman" w:hAnsi="Times New Roman"/>
          <w:sz w:val="24"/>
          <w:szCs w:val="24"/>
          <w:lang w:eastAsia="en-GB"/>
        </w:rPr>
        <w:t xml:space="preserve"> –</w:t>
      </w:r>
      <w:r w:rsidR="001F0BE8" w:rsidRPr="001F0DC4">
        <w:rPr>
          <w:rFonts w:ascii="Times New Roman" w:hAnsi="Times New Roman"/>
          <w:sz w:val="24"/>
          <w:szCs w:val="24"/>
          <w:lang w:eastAsia="en-GB"/>
        </w:rPr>
        <w:t xml:space="preserve"> kaip </w:t>
      </w:r>
      <w:r w:rsidR="004120CA">
        <w:rPr>
          <w:rFonts w:ascii="Times New Roman" w:hAnsi="Times New Roman"/>
          <w:sz w:val="24"/>
          <w:szCs w:val="24"/>
          <w:lang w:eastAsia="en-GB"/>
        </w:rPr>
        <w:t>„</w:t>
      </w:r>
      <w:r w:rsidR="001F0BE8" w:rsidRPr="001F0DC4">
        <w:rPr>
          <w:rFonts w:ascii="Times New Roman" w:hAnsi="Times New Roman"/>
          <w:sz w:val="24"/>
          <w:szCs w:val="24"/>
          <w:lang w:eastAsia="en-GB"/>
        </w:rPr>
        <w:t>L-</w:t>
      </w:r>
      <w:proofErr w:type="spellStart"/>
      <w:r w:rsidR="001F0BE8" w:rsidRPr="001F0DC4">
        <w:rPr>
          <w:rFonts w:ascii="Times New Roman" w:hAnsi="Times New Roman"/>
          <w:sz w:val="24"/>
          <w:szCs w:val="24"/>
          <w:lang w:eastAsia="en-GB"/>
        </w:rPr>
        <w:t>Thyroxin</w:t>
      </w:r>
      <w:proofErr w:type="spellEnd"/>
      <w:r w:rsidR="001F0BE8" w:rsidRPr="001F0DC4">
        <w:rPr>
          <w:rFonts w:ascii="Times New Roman" w:hAnsi="Times New Roman"/>
          <w:sz w:val="24"/>
          <w:szCs w:val="24"/>
          <w:lang w:eastAsia="en-GB"/>
        </w:rPr>
        <w:t xml:space="preserve"> </w:t>
      </w:r>
      <w:proofErr w:type="spellStart"/>
      <w:r w:rsidR="001F0BE8" w:rsidRPr="001F0DC4">
        <w:rPr>
          <w:rFonts w:ascii="Times New Roman" w:hAnsi="Times New Roman"/>
          <w:sz w:val="24"/>
          <w:szCs w:val="24"/>
          <w:lang w:eastAsia="en-GB"/>
        </w:rPr>
        <w:t>Berlin-Chemie</w:t>
      </w:r>
      <w:proofErr w:type="spellEnd"/>
      <w:r w:rsidR="001F0BE8" w:rsidRPr="001F0DC4">
        <w:rPr>
          <w:rFonts w:ascii="Times New Roman" w:hAnsi="Times New Roman"/>
          <w:sz w:val="24"/>
          <w:szCs w:val="24"/>
          <w:lang w:eastAsia="en-GB"/>
        </w:rPr>
        <w:t xml:space="preserve"> 75 µg N100</w:t>
      </w:r>
      <w:r w:rsidR="004120CA">
        <w:rPr>
          <w:rFonts w:ascii="Times New Roman" w:hAnsi="Times New Roman"/>
          <w:sz w:val="24"/>
          <w:szCs w:val="24"/>
          <w:lang w:eastAsia="en-GB"/>
        </w:rPr>
        <w:t>“</w:t>
      </w:r>
      <w:r w:rsidR="001F0BE8">
        <w:rPr>
          <w:rFonts w:ascii="Times New Roman" w:hAnsi="Times New Roman"/>
          <w:sz w:val="24"/>
          <w:szCs w:val="24"/>
          <w:lang w:eastAsia="en-GB"/>
        </w:rPr>
        <w:t>,</w:t>
      </w:r>
      <w:r w:rsidR="001F0BE8" w:rsidRPr="00887E70">
        <w:rPr>
          <w:rFonts w:ascii="Times New Roman" w:hAnsi="Times New Roman"/>
          <w:sz w:val="24"/>
          <w:szCs w:val="24"/>
          <w:lang w:eastAsia="en-GB"/>
        </w:rPr>
        <w:t xml:space="preserve"> pateikė </w:t>
      </w:r>
      <w:r w:rsidR="001F0BE8">
        <w:rPr>
          <w:rFonts w:ascii="Times New Roman" w:hAnsi="Times New Roman"/>
          <w:sz w:val="24"/>
          <w:szCs w:val="24"/>
          <w:lang w:eastAsia="en-GB"/>
        </w:rPr>
        <w:t xml:space="preserve">ieškovei </w:t>
      </w:r>
      <w:r w:rsidR="001F0BE8" w:rsidRPr="00887E70">
        <w:rPr>
          <w:rFonts w:ascii="Times New Roman" w:hAnsi="Times New Roman"/>
          <w:sz w:val="24"/>
          <w:szCs w:val="24"/>
          <w:lang w:eastAsia="en-GB"/>
        </w:rPr>
        <w:t xml:space="preserve">dalies jų sukurtas </w:t>
      </w:r>
      <w:r w:rsidR="00A06FF3">
        <w:rPr>
          <w:rFonts w:ascii="Times New Roman" w:hAnsi="Times New Roman"/>
          <w:sz w:val="24"/>
          <w:szCs w:val="24"/>
          <w:lang w:eastAsia="en-GB"/>
        </w:rPr>
        <w:t xml:space="preserve">naujas </w:t>
      </w:r>
      <w:r w:rsidR="001F0BE8" w:rsidRPr="00887E70">
        <w:rPr>
          <w:rFonts w:ascii="Times New Roman" w:hAnsi="Times New Roman"/>
          <w:sz w:val="24"/>
          <w:szCs w:val="24"/>
          <w:lang w:eastAsia="en-GB"/>
        </w:rPr>
        <w:t xml:space="preserve">išorines pakuotes, pakuotės lapelio ir </w:t>
      </w:r>
      <w:r w:rsidR="0044693F">
        <w:rPr>
          <w:rFonts w:ascii="Times New Roman" w:hAnsi="Times New Roman"/>
          <w:sz w:val="24"/>
          <w:szCs w:val="24"/>
          <w:lang w:eastAsia="en-GB"/>
        </w:rPr>
        <w:t>lizd</w:t>
      </w:r>
      <w:r w:rsidR="001F0BE8" w:rsidRPr="0044693F">
        <w:rPr>
          <w:rFonts w:ascii="Times New Roman" w:hAnsi="Times New Roman"/>
          <w:sz w:val="24"/>
          <w:szCs w:val="24"/>
          <w:lang w:eastAsia="en-GB"/>
        </w:rPr>
        <w:t>inės</w:t>
      </w:r>
      <w:r w:rsidR="001F0BE8" w:rsidRPr="00887E70">
        <w:rPr>
          <w:rFonts w:ascii="Times New Roman" w:hAnsi="Times New Roman"/>
          <w:sz w:val="24"/>
          <w:szCs w:val="24"/>
          <w:lang w:eastAsia="en-GB"/>
        </w:rPr>
        <w:t xml:space="preserve"> pakuotės pavyzdžius. </w:t>
      </w:r>
      <w:r>
        <w:rPr>
          <w:rFonts w:ascii="Times New Roman" w:hAnsi="Times New Roman"/>
          <w:sz w:val="24"/>
          <w:szCs w:val="24"/>
          <w:lang w:eastAsia="en-GB"/>
        </w:rPr>
        <w:t>Ieškovė p</w:t>
      </w:r>
      <w:r w:rsidR="001F0BE8">
        <w:rPr>
          <w:rFonts w:ascii="Times New Roman" w:hAnsi="Times New Roman"/>
          <w:sz w:val="24"/>
          <w:szCs w:val="24"/>
          <w:lang w:eastAsia="en-GB"/>
        </w:rPr>
        <w:t>ažymėjo, kad nors pavadinimas ,,L-</w:t>
      </w:r>
      <w:proofErr w:type="spellStart"/>
      <w:r w:rsidR="001F0BE8">
        <w:rPr>
          <w:rFonts w:ascii="Times New Roman" w:hAnsi="Times New Roman"/>
          <w:sz w:val="24"/>
          <w:szCs w:val="24"/>
          <w:lang w:eastAsia="en-GB"/>
        </w:rPr>
        <w:t>Thyroxin</w:t>
      </w:r>
      <w:proofErr w:type="spellEnd"/>
      <w:r w:rsidR="001F0BE8">
        <w:rPr>
          <w:rFonts w:ascii="Times New Roman" w:hAnsi="Times New Roman"/>
          <w:sz w:val="24"/>
          <w:szCs w:val="24"/>
          <w:lang w:eastAsia="en-GB"/>
        </w:rPr>
        <w:t xml:space="preserve"> </w:t>
      </w:r>
      <w:proofErr w:type="spellStart"/>
      <w:r w:rsidR="001F0BE8">
        <w:rPr>
          <w:rFonts w:ascii="Times New Roman" w:hAnsi="Times New Roman"/>
          <w:sz w:val="24"/>
          <w:szCs w:val="24"/>
          <w:lang w:eastAsia="en-GB"/>
        </w:rPr>
        <w:t>Berlin-Chemie</w:t>
      </w:r>
      <w:proofErr w:type="spellEnd"/>
      <w:r w:rsidR="001F0BE8">
        <w:rPr>
          <w:rFonts w:ascii="Times New Roman" w:hAnsi="Times New Roman"/>
          <w:sz w:val="24"/>
          <w:szCs w:val="24"/>
          <w:lang w:eastAsia="en-GB"/>
        </w:rPr>
        <w:t>“ ir nėra registruotas kaip prekių ženklas, nes žodis ,,L-</w:t>
      </w:r>
      <w:proofErr w:type="spellStart"/>
      <w:r w:rsidR="001F0BE8">
        <w:rPr>
          <w:rFonts w:ascii="Times New Roman" w:hAnsi="Times New Roman"/>
          <w:sz w:val="24"/>
          <w:szCs w:val="24"/>
          <w:lang w:eastAsia="en-GB"/>
        </w:rPr>
        <w:t>Thyroxin</w:t>
      </w:r>
      <w:proofErr w:type="spellEnd"/>
      <w:r w:rsidR="001F0BE8">
        <w:rPr>
          <w:rFonts w:ascii="Times New Roman" w:hAnsi="Times New Roman"/>
          <w:sz w:val="24"/>
          <w:szCs w:val="24"/>
          <w:lang w:eastAsia="en-GB"/>
        </w:rPr>
        <w:t xml:space="preserve">“ yra hormono </w:t>
      </w:r>
      <w:proofErr w:type="spellStart"/>
      <w:r w:rsidR="001F0BE8">
        <w:rPr>
          <w:rFonts w:ascii="Times New Roman" w:hAnsi="Times New Roman"/>
          <w:sz w:val="24"/>
          <w:szCs w:val="24"/>
          <w:lang w:eastAsia="en-GB"/>
        </w:rPr>
        <w:t>levotiroksino</w:t>
      </w:r>
      <w:proofErr w:type="spellEnd"/>
      <w:r w:rsidR="001F0BE8">
        <w:rPr>
          <w:rFonts w:ascii="Times New Roman" w:hAnsi="Times New Roman"/>
          <w:sz w:val="24"/>
          <w:szCs w:val="24"/>
          <w:lang w:eastAsia="en-GB"/>
        </w:rPr>
        <w:t xml:space="preserve"> trumpinys vokiečių kalba, tačiau žodžių junginys ,,</w:t>
      </w:r>
      <w:proofErr w:type="spellStart"/>
      <w:r w:rsidR="001F0BE8">
        <w:rPr>
          <w:rFonts w:ascii="Times New Roman" w:hAnsi="Times New Roman"/>
          <w:sz w:val="24"/>
          <w:szCs w:val="24"/>
          <w:lang w:eastAsia="en-GB"/>
        </w:rPr>
        <w:t>Berlin-Chemie</w:t>
      </w:r>
      <w:proofErr w:type="spellEnd"/>
      <w:r w:rsidR="001F0BE8">
        <w:rPr>
          <w:rFonts w:ascii="Times New Roman" w:hAnsi="Times New Roman"/>
          <w:sz w:val="24"/>
          <w:szCs w:val="24"/>
          <w:lang w:eastAsia="en-GB"/>
        </w:rPr>
        <w:t>“ yra užregistruotas kaip ieškovės pr</w:t>
      </w:r>
      <w:r w:rsidR="00A06FF3">
        <w:rPr>
          <w:rFonts w:ascii="Times New Roman" w:hAnsi="Times New Roman"/>
          <w:sz w:val="24"/>
          <w:szCs w:val="24"/>
          <w:lang w:eastAsia="en-GB"/>
        </w:rPr>
        <w:t>e</w:t>
      </w:r>
      <w:r w:rsidR="001F0BE8">
        <w:rPr>
          <w:rFonts w:ascii="Times New Roman" w:hAnsi="Times New Roman"/>
          <w:sz w:val="24"/>
          <w:szCs w:val="24"/>
          <w:lang w:eastAsia="en-GB"/>
        </w:rPr>
        <w:t>k</w:t>
      </w:r>
      <w:r w:rsidR="00A06FF3">
        <w:rPr>
          <w:rFonts w:ascii="Times New Roman" w:hAnsi="Times New Roman"/>
          <w:sz w:val="24"/>
          <w:szCs w:val="24"/>
          <w:lang w:eastAsia="en-GB"/>
        </w:rPr>
        <w:t>ių</w:t>
      </w:r>
      <w:r w:rsidR="001F0BE8">
        <w:rPr>
          <w:rFonts w:ascii="Times New Roman" w:hAnsi="Times New Roman"/>
          <w:sz w:val="24"/>
          <w:szCs w:val="24"/>
          <w:lang w:eastAsia="en-GB"/>
        </w:rPr>
        <w:t xml:space="preserve"> ženklas.</w:t>
      </w:r>
    </w:p>
    <w:p w14:paraId="42E2FBC5" w14:textId="5EFD0655" w:rsidR="00C36950" w:rsidRPr="00CA0F5E" w:rsidRDefault="00CA0F5E" w:rsidP="00CA0F5E">
      <w:pPr>
        <w:pStyle w:val="ListParagraph"/>
        <w:numPr>
          <w:ilvl w:val="0"/>
          <w:numId w:val="16"/>
        </w:numPr>
        <w:tabs>
          <w:tab w:val="left" w:pos="993"/>
        </w:tabs>
        <w:snapToGrid w:val="0"/>
        <w:spacing w:before="100" w:beforeAutospacing="1" w:after="120" w:line="240" w:lineRule="auto"/>
        <w:ind w:left="426" w:hanging="426"/>
        <w:contextualSpacing w:val="0"/>
        <w:jc w:val="both"/>
        <w:rPr>
          <w:rFonts w:asciiTheme="majorBidi" w:hAnsiTheme="majorBidi" w:cstheme="majorBidi"/>
          <w:sz w:val="24"/>
          <w:szCs w:val="24"/>
          <w:lang w:eastAsia="en-GB"/>
        </w:rPr>
      </w:pPr>
      <w:r w:rsidRPr="00CA0F5E">
        <w:rPr>
          <w:rFonts w:asciiTheme="majorBidi" w:hAnsiTheme="majorBidi" w:cstheme="majorBidi"/>
          <w:sz w:val="24"/>
          <w:szCs w:val="24"/>
          <w:lang w:eastAsia="en-GB"/>
        </w:rPr>
        <w:t>I</w:t>
      </w:r>
      <w:r w:rsidR="001F0BE8" w:rsidRPr="00CA0F5E">
        <w:rPr>
          <w:rFonts w:asciiTheme="majorBidi" w:hAnsiTheme="majorBidi" w:cstheme="majorBidi"/>
          <w:sz w:val="24"/>
          <w:szCs w:val="24"/>
          <w:lang w:eastAsia="en-GB"/>
        </w:rPr>
        <w:t xml:space="preserve">eškovė atsakovei pranešė, kad ji prieštarauja iš Vengrijos importuojamų vaistų </w:t>
      </w:r>
      <w:r w:rsidR="004120CA">
        <w:rPr>
          <w:rFonts w:asciiTheme="majorBidi" w:hAnsiTheme="majorBidi" w:cstheme="majorBidi"/>
          <w:sz w:val="24"/>
          <w:szCs w:val="24"/>
          <w:lang w:eastAsia="en-GB"/>
        </w:rPr>
        <w:t>„</w:t>
      </w:r>
      <w:proofErr w:type="spellStart"/>
      <w:r w:rsidR="001F0BE8" w:rsidRPr="00CA0F5E">
        <w:rPr>
          <w:rFonts w:asciiTheme="majorBidi" w:hAnsiTheme="majorBidi" w:cstheme="majorBidi"/>
          <w:sz w:val="24"/>
          <w:szCs w:val="24"/>
          <w:lang w:eastAsia="en-GB"/>
        </w:rPr>
        <w:t>Letrox</w:t>
      </w:r>
      <w:proofErr w:type="spellEnd"/>
      <w:r w:rsidR="001F0BE8" w:rsidRPr="00CA0F5E">
        <w:rPr>
          <w:rFonts w:asciiTheme="majorBidi" w:hAnsiTheme="majorBidi" w:cstheme="majorBidi"/>
          <w:sz w:val="24"/>
          <w:szCs w:val="24"/>
          <w:lang w:eastAsia="en-GB"/>
        </w:rPr>
        <w:t xml:space="preserve"> 50 µg N100</w:t>
      </w:r>
      <w:r w:rsidR="004120CA">
        <w:rPr>
          <w:rFonts w:asciiTheme="majorBidi" w:hAnsiTheme="majorBidi" w:cstheme="majorBidi"/>
          <w:sz w:val="24"/>
          <w:szCs w:val="24"/>
          <w:lang w:eastAsia="en-GB"/>
        </w:rPr>
        <w:t>“</w:t>
      </w:r>
      <w:r w:rsidR="001F0BE8" w:rsidRPr="00CA0F5E">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proofErr w:type="spellStart"/>
      <w:r w:rsidR="001F0BE8" w:rsidRPr="00CA0F5E">
        <w:rPr>
          <w:rFonts w:asciiTheme="majorBidi" w:hAnsiTheme="majorBidi" w:cstheme="majorBidi"/>
          <w:sz w:val="24"/>
          <w:szCs w:val="24"/>
          <w:lang w:eastAsia="en-GB"/>
        </w:rPr>
        <w:t>Letrox</w:t>
      </w:r>
      <w:proofErr w:type="spellEnd"/>
      <w:r w:rsidR="001F0BE8" w:rsidRPr="00CA0F5E">
        <w:rPr>
          <w:rFonts w:asciiTheme="majorBidi" w:hAnsiTheme="majorBidi" w:cstheme="majorBidi"/>
          <w:sz w:val="24"/>
          <w:szCs w:val="24"/>
          <w:lang w:eastAsia="en-GB"/>
        </w:rPr>
        <w:t xml:space="preserve"> 100 µg N100</w:t>
      </w:r>
      <w:r w:rsidR="004120CA">
        <w:rPr>
          <w:rFonts w:asciiTheme="majorBidi" w:hAnsiTheme="majorBidi" w:cstheme="majorBidi"/>
          <w:sz w:val="24"/>
          <w:szCs w:val="24"/>
          <w:lang w:eastAsia="en-GB"/>
        </w:rPr>
        <w:t>“</w:t>
      </w:r>
      <w:r w:rsidR="001F0BE8" w:rsidRPr="00CA0F5E">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proofErr w:type="spellStart"/>
      <w:r w:rsidR="001F0BE8" w:rsidRPr="00CA0F5E">
        <w:rPr>
          <w:rFonts w:asciiTheme="majorBidi" w:hAnsiTheme="majorBidi" w:cstheme="majorBidi"/>
          <w:sz w:val="24"/>
          <w:szCs w:val="24"/>
          <w:lang w:eastAsia="en-GB"/>
        </w:rPr>
        <w:t>Letrox</w:t>
      </w:r>
      <w:proofErr w:type="spellEnd"/>
      <w:r w:rsidR="001F0BE8" w:rsidRPr="00CA0F5E">
        <w:rPr>
          <w:rFonts w:asciiTheme="majorBidi" w:hAnsiTheme="majorBidi" w:cstheme="majorBidi"/>
          <w:sz w:val="24"/>
          <w:szCs w:val="24"/>
          <w:lang w:eastAsia="en-GB"/>
        </w:rPr>
        <w:t xml:space="preserve"> 125 µg N100</w:t>
      </w:r>
      <w:r w:rsidR="004120CA">
        <w:rPr>
          <w:rFonts w:asciiTheme="majorBidi" w:hAnsiTheme="majorBidi" w:cstheme="majorBidi"/>
          <w:sz w:val="24"/>
          <w:szCs w:val="24"/>
          <w:lang w:eastAsia="en-GB"/>
        </w:rPr>
        <w:t>“</w:t>
      </w:r>
      <w:r w:rsidR="001F0BE8" w:rsidRPr="00CA0F5E">
        <w:rPr>
          <w:rFonts w:asciiTheme="majorBidi" w:hAnsiTheme="majorBidi" w:cstheme="majorBidi"/>
          <w:sz w:val="24"/>
          <w:szCs w:val="24"/>
          <w:lang w:eastAsia="en-GB"/>
        </w:rPr>
        <w:t xml:space="preserve">, </w:t>
      </w:r>
      <w:r w:rsidR="004120CA">
        <w:rPr>
          <w:rFonts w:asciiTheme="majorBidi" w:hAnsiTheme="majorBidi" w:cstheme="majorBidi"/>
          <w:sz w:val="24"/>
          <w:szCs w:val="24"/>
          <w:lang w:eastAsia="en-GB"/>
        </w:rPr>
        <w:t>„</w:t>
      </w:r>
      <w:proofErr w:type="spellStart"/>
      <w:r w:rsidR="001F0BE8" w:rsidRPr="00CA0F5E">
        <w:rPr>
          <w:rFonts w:asciiTheme="majorBidi" w:hAnsiTheme="majorBidi" w:cstheme="majorBidi"/>
          <w:sz w:val="24"/>
          <w:szCs w:val="24"/>
          <w:lang w:eastAsia="en-GB"/>
        </w:rPr>
        <w:t>Letrox</w:t>
      </w:r>
      <w:proofErr w:type="spellEnd"/>
      <w:r w:rsidR="001F0BE8" w:rsidRPr="00CA0F5E">
        <w:rPr>
          <w:rFonts w:asciiTheme="majorBidi" w:hAnsiTheme="majorBidi" w:cstheme="majorBidi"/>
          <w:sz w:val="24"/>
          <w:szCs w:val="24"/>
          <w:lang w:eastAsia="en-GB"/>
        </w:rPr>
        <w:t xml:space="preserve"> 75 µg N100</w:t>
      </w:r>
      <w:r w:rsidR="004120CA">
        <w:rPr>
          <w:rFonts w:asciiTheme="majorBidi" w:hAnsiTheme="majorBidi" w:cstheme="majorBidi"/>
          <w:sz w:val="24"/>
          <w:szCs w:val="24"/>
          <w:lang w:eastAsia="en-GB"/>
        </w:rPr>
        <w:t>“</w:t>
      </w:r>
      <w:r w:rsidR="001F0BE8" w:rsidRPr="00CA0F5E">
        <w:rPr>
          <w:rFonts w:asciiTheme="majorBidi" w:hAnsiTheme="majorBidi" w:cstheme="majorBidi"/>
          <w:sz w:val="24"/>
          <w:szCs w:val="24"/>
          <w:lang w:eastAsia="en-GB"/>
        </w:rPr>
        <w:t xml:space="preserve"> pervadinimui</w:t>
      </w:r>
      <w:r w:rsidR="004120CA">
        <w:rPr>
          <w:rFonts w:asciiTheme="majorBidi" w:hAnsiTheme="majorBidi" w:cstheme="majorBidi"/>
          <w:sz w:val="24"/>
          <w:szCs w:val="24"/>
          <w:lang w:eastAsia="en-GB"/>
        </w:rPr>
        <w:t xml:space="preserve"> ir</w:t>
      </w:r>
      <w:r w:rsidR="001F0BE8" w:rsidRPr="00CA0F5E">
        <w:rPr>
          <w:rFonts w:asciiTheme="majorBidi" w:hAnsiTheme="majorBidi" w:cstheme="majorBidi"/>
          <w:sz w:val="24"/>
          <w:szCs w:val="24"/>
          <w:lang w:eastAsia="en-GB"/>
        </w:rPr>
        <w:t xml:space="preserve"> nesutinka, kad šie vaistai būtų pervadinti, perpakuoti į naujas pakuotes </w:t>
      </w:r>
      <w:r w:rsidR="004120CA">
        <w:rPr>
          <w:rFonts w:asciiTheme="majorBidi" w:hAnsiTheme="majorBidi" w:cstheme="majorBidi"/>
          <w:sz w:val="24"/>
          <w:szCs w:val="24"/>
          <w:lang w:eastAsia="en-GB"/>
        </w:rPr>
        <w:t>bei</w:t>
      </w:r>
      <w:r w:rsidR="001F0BE8" w:rsidRPr="00CA0F5E">
        <w:rPr>
          <w:rFonts w:asciiTheme="majorBidi" w:hAnsiTheme="majorBidi" w:cstheme="majorBidi"/>
          <w:sz w:val="24"/>
          <w:szCs w:val="24"/>
          <w:lang w:eastAsia="en-GB"/>
        </w:rPr>
        <w:t xml:space="preserve"> pardavinėjami Lietuvos rinkoje naujuoju pavadinimu, </w:t>
      </w:r>
      <w:r w:rsidR="004120CA">
        <w:rPr>
          <w:rFonts w:asciiTheme="majorBidi" w:hAnsiTheme="majorBidi" w:cstheme="majorBidi"/>
          <w:sz w:val="24"/>
          <w:szCs w:val="24"/>
          <w:lang w:eastAsia="en-GB"/>
        </w:rPr>
        <w:t>nes</w:t>
      </w:r>
      <w:r w:rsidR="001F0BE8" w:rsidRPr="00CA0F5E">
        <w:rPr>
          <w:rFonts w:asciiTheme="majorBidi" w:hAnsiTheme="majorBidi" w:cstheme="majorBidi"/>
          <w:sz w:val="24"/>
          <w:szCs w:val="24"/>
          <w:lang w:eastAsia="en-GB"/>
        </w:rPr>
        <w:t xml:space="preserve"> atsakovė nepagrindė būtinumo pervadinti ir perpakuoti šiuos vaistinius preparatus. Ieškovės nuomone, nėra jokių duomenų, kad </w:t>
      </w:r>
      <w:r w:rsidR="002455BE">
        <w:rPr>
          <w:rFonts w:asciiTheme="majorBidi" w:hAnsiTheme="majorBidi" w:cstheme="majorBidi"/>
          <w:sz w:val="24"/>
          <w:szCs w:val="24"/>
          <w:lang w:eastAsia="en-GB"/>
        </w:rPr>
        <w:t xml:space="preserve">nepervadintas </w:t>
      </w:r>
      <w:r w:rsidR="001F0BE8" w:rsidRPr="00CA0F5E">
        <w:rPr>
          <w:rFonts w:asciiTheme="majorBidi" w:hAnsiTheme="majorBidi" w:cstheme="majorBidi"/>
          <w:sz w:val="24"/>
          <w:szCs w:val="24"/>
          <w:lang w:eastAsia="en-GB"/>
        </w:rPr>
        <w:t>ši</w:t>
      </w:r>
      <w:r w:rsidR="002455BE">
        <w:rPr>
          <w:rFonts w:asciiTheme="majorBidi" w:hAnsiTheme="majorBidi" w:cstheme="majorBidi"/>
          <w:sz w:val="24"/>
          <w:szCs w:val="24"/>
          <w:lang w:eastAsia="en-GB"/>
        </w:rPr>
        <w:t>s</w:t>
      </w:r>
      <w:r w:rsidR="001F0BE8" w:rsidRPr="00CA0F5E">
        <w:rPr>
          <w:rFonts w:asciiTheme="majorBidi" w:hAnsiTheme="majorBidi" w:cstheme="majorBidi"/>
          <w:sz w:val="24"/>
          <w:szCs w:val="24"/>
          <w:lang w:eastAsia="en-GB"/>
        </w:rPr>
        <w:t xml:space="preserve"> vaistini</w:t>
      </w:r>
      <w:r w:rsidR="002455BE">
        <w:rPr>
          <w:rFonts w:asciiTheme="majorBidi" w:hAnsiTheme="majorBidi" w:cstheme="majorBidi"/>
          <w:sz w:val="24"/>
          <w:szCs w:val="24"/>
          <w:lang w:eastAsia="en-GB"/>
        </w:rPr>
        <w:t>s</w:t>
      </w:r>
      <w:r w:rsidR="001F0BE8" w:rsidRPr="00CA0F5E">
        <w:rPr>
          <w:rFonts w:asciiTheme="majorBidi" w:hAnsiTheme="majorBidi" w:cstheme="majorBidi"/>
          <w:sz w:val="24"/>
          <w:szCs w:val="24"/>
          <w:lang w:eastAsia="en-GB"/>
        </w:rPr>
        <w:t xml:space="preserve"> preparat</w:t>
      </w:r>
      <w:r w:rsidR="002455BE">
        <w:rPr>
          <w:rFonts w:asciiTheme="majorBidi" w:hAnsiTheme="majorBidi" w:cstheme="majorBidi"/>
          <w:sz w:val="24"/>
          <w:szCs w:val="24"/>
          <w:lang w:eastAsia="en-GB"/>
        </w:rPr>
        <w:t>as</w:t>
      </w:r>
      <w:r w:rsidR="00A06FF3">
        <w:rPr>
          <w:rFonts w:asciiTheme="majorBidi" w:hAnsiTheme="majorBidi" w:cstheme="majorBidi"/>
          <w:sz w:val="24"/>
          <w:szCs w:val="24"/>
          <w:lang w:eastAsia="en-GB"/>
        </w:rPr>
        <w:t>, t. y.</w:t>
      </w:r>
      <w:r w:rsidR="001F0BE8" w:rsidRPr="00CA0F5E">
        <w:rPr>
          <w:rFonts w:asciiTheme="majorBidi" w:hAnsiTheme="majorBidi" w:cstheme="majorBidi"/>
          <w:sz w:val="24"/>
          <w:szCs w:val="24"/>
          <w:lang w:eastAsia="en-GB"/>
        </w:rPr>
        <w:t xml:space="preserve"> </w:t>
      </w:r>
      <w:r w:rsidR="002455BE">
        <w:rPr>
          <w:rFonts w:asciiTheme="majorBidi" w:hAnsiTheme="majorBidi" w:cstheme="majorBidi"/>
          <w:sz w:val="24"/>
          <w:szCs w:val="24"/>
          <w:lang w:eastAsia="en-GB"/>
        </w:rPr>
        <w:t xml:space="preserve">jei būtų </w:t>
      </w:r>
      <w:r w:rsidR="001F0BE8" w:rsidRPr="00CA0F5E">
        <w:rPr>
          <w:rFonts w:asciiTheme="majorBidi" w:hAnsiTheme="majorBidi" w:cstheme="majorBidi"/>
          <w:sz w:val="24"/>
          <w:szCs w:val="24"/>
          <w:lang w:eastAsia="en-GB"/>
        </w:rPr>
        <w:t>palik</w:t>
      </w:r>
      <w:r w:rsidR="002455BE">
        <w:rPr>
          <w:rFonts w:asciiTheme="majorBidi" w:hAnsiTheme="majorBidi" w:cstheme="majorBidi"/>
          <w:sz w:val="24"/>
          <w:szCs w:val="24"/>
          <w:lang w:eastAsia="en-GB"/>
        </w:rPr>
        <w:t>tas</w:t>
      </w:r>
      <w:r w:rsidR="001F0BE8" w:rsidRPr="00CA0F5E">
        <w:rPr>
          <w:rFonts w:asciiTheme="majorBidi" w:hAnsiTheme="majorBidi" w:cstheme="majorBidi"/>
          <w:sz w:val="24"/>
          <w:szCs w:val="24"/>
          <w:lang w:eastAsia="en-GB"/>
        </w:rPr>
        <w:t xml:space="preserve"> jo pavadinim</w:t>
      </w:r>
      <w:r w:rsidR="002455BE">
        <w:rPr>
          <w:rFonts w:asciiTheme="majorBidi" w:hAnsiTheme="majorBidi" w:cstheme="majorBidi"/>
          <w:sz w:val="24"/>
          <w:szCs w:val="24"/>
          <w:lang w:eastAsia="en-GB"/>
        </w:rPr>
        <w:t>as</w:t>
      </w:r>
      <w:r w:rsidR="00A06FF3" w:rsidRPr="00A06FF3">
        <w:rPr>
          <w:rFonts w:asciiTheme="majorBidi" w:hAnsiTheme="majorBidi" w:cstheme="majorBidi"/>
          <w:sz w:val="24"/>
          <w:szCs w:val="24"/>
          <w:lang w:eastAsia="en-GB"/>
        </w:rPr>
        <w:t xml:space="preserve"> </w:t>
      </w:r>
      <w:r w:rsidR="00A06FF3">
        <w:rPr>
          <w:rFonts w:asciiTheme="majorBidi" w:hAnsiTheme="majorBidi" w:cstheme="majorBidi"/>
          <w:sz w:val="24"/>
          <w:szCs w:val="24"/>
          <w:lang w:eastAsia="en-GB"/>
        </w:rPr>
        <w:t>„</w:t>
      </w:r>
      <w:proofErr w:type="spellStart"/>
      <w:r w:rsidR="00A06FF3" w:rsidRPr="00CA0F5E">
        <w:rPr>
          <w:rFonts w:asciiTheme="majorBidi" w:hAnsiTheme="majorBidi" w:cstheme="majorBidi"/>
          <w:sz w:val="24"/>
          <w:szCs w:val="24"/>
          <w:lang w:eastAsia="en-GB"/>
        </w:rPr>
        <w:t>Letrox</w:t>
      </w:r>
      <w:proofErr w:type="spellEnd"/>
      <w:r w:rsidR="00A06FF3">
        <w:rPr>
          <w:rFonts w:asciiTheme="majorBidi" w:hAnsiTheme="majorBidi" w:cstheme="majorBidi"/>
          <w:sz w:val="24"/>
          <w:szCs w:val="24"/>
          <w:lang w:eastAsia="en-GB"/>
        </w:rPr>
        <w:t>“</w:t>
      </w:r>
      <w:r w:rsidR="001F0BE8" w:rsidRPr="00CA0F5E">
        <w:rPr>
          <w:rFonts w:asciiTheme="majorBidi" w:hAnsiTheme="majorBidi" w:cstheme="majorBidi"/>
          <w:sz w:val="24"/>
          <w:szCs w:val="24"/>
          <w:lang w:eastAsia="en-GB"/>
        </w:rPr>
        <w:t>, naudojam</w:t>
      </w:r>
      <w:r w:rsidR="002455BE">
        <w:rPr>
          <w:rFonts w:asciiTheme="majorBidi" w:hAnsiTheme="majorBidi" w:cstheme="majorBidi"/>
          <w:sz w:val="24"/>
          <w:szCs w:val="24"/>
          <w:lang w:eastAsia="en-GB"/>
        </w:rPr>
        <w:t>as</w:t>
      </w:r>
      <w:r w:rsidR="001F0BE8" w:rsidRPr="00CA0F5E">
        <w:rPr>
          <w:rFonts w:asciiTheme="majorBidi" w:hAnsiTheme="majorBidi" w:cstheme="majorBidi"/>
          <w:sz w:val="24"/>
          <w:szCs w:val="24"/>
          <w:lang w:eastAsia="en-GB"/>
        </w:rPr>
        <w:t xml:space="preserve"> Vengrijos rinkoje, būtų atpažintas gydytojų, vaistininkų ar vartotojų. </w:t>
      </w:r>
      <w:r w:rsidR="004120CA">
        <w:rPr>
          <w:rFonts w:asciiTheme="majorBidi" w:hAnsiTheme="majorBidi" w:cstheme="majorBidi"/>
          <w:sz w:val="24"/>
          <w:szCs w:val="24"/>
          <w:lang w:eastAsia="en-GB"/>
        </w:rPr>
        <w:t>Kadangi</w:t>
      </w:r>
      <w:r w:rsidR="001F0BE8" w:rsidRPr="00CA0F5E">
        <w:rPr>
          <w:rFonts w:asciiTheme="majorBidi" w:hAnsiTheme="majorBidi" w:cstheme="majorBidi"/>
          <w:sz w:val="24"/>
          <w:szCs w:val="24"/>
          <w:lang w:eastAsia="en-GB"/>
        </w:rPr>
        <w:t xml:space="preserve"> atsakovė ieškovės prieštaravimų nepaisė ir pradėjo pervadintų vaistų prekybą Lietuvoje, ieškovė prašo įpareigoti atsakovę šiuos neteisėtus veiksmus nutraukti, išimti pervadintus vaistinius preparatus iš prekybos. Taip pat ieškovė prašo priteisti jai iš atsakovės 32 436,99 Eur nuostolių atlyginimą, t.</w:t>
      </w:r>
      <w:r w:rsidR="00A06FF3">
        <w:rPr>
          <w:rFonts w:asciiTheme="majorBidi" w:hAnsiTheme="majorBidi" w:cstheme="majorBidi"/>
          <w:sz w:val="24"/>
          <w:szCs w:val="24"/>
          <w:lang w:eastAsia="en-GB"/>
        </w:rPr>
        <w:t> </w:t>
      </w:r>
      <w:r w:rsidR="001F0BE8" w:rsidRPr="00CA0F5E">
        <w:rPr>
          <w:rFonts w:asciiTheme="majorBidi" w:hAnsiTheme="majorBidi" w:cstheme="majorBidi"/>
          <w:sz w:val="24"/>
          <w:szCs w:val="24"/>
          <w:lang w:eastAsia="en-GB"/>
        </w:rPr>
        <w:t>y. atsakovės nuo 2021 metų pradžios iki 2021 m. rugpjūčio 1 d. gautą naudą, pardavus ginčo vaistinius preparatus.</w:t>
      </w:r>
    </w:p>
    <w:bookmarkEnd w:id="1"/>
    <w:bookmarkEnd w:id="2"/>
    <w:p w14:paraId="759620E9" w14:textId="73245665" w:rsidR="00123EE2" w:rsidRPr="00484D1A" w:rsidRDefault="00A80C8A" w:rsidP="00FD231A">
      <w:pPr>
        <w:pStyle w:val="ListParagraph"/>
        <w:spacing w:before="360" w:after="360" w:line="240" w:lineRule="auto"/>
        <w:ind w:left="0"/>
        <w:contextualSpacing w:val="0"/>
        <w:jc w:val="center"/>
        <w:rPr>
          <w:rFonts w:ascii="Times New Roman" w:hAnsi="Times New Roman"/>
          <w:sz w:val="24"/>
          <w:szCs w:val="24"/>
        </w:rPr>
      </w:pPr>
      <w:r w:rsidRPr="00484D1A">
        <w:rPr>
          <w:rFonts w:ascii="Times New Roman" w:hAnsi="Times New Roman"/>
          <w:sz w:val="24"/>
          <w:szCs w:val="24"/>
        </w:rPr>
        <w:lastRenderedPageBreak/>
        <w:t>II. Pirmosios ir apeliacinės instancijos teismų procesinių sprendimų esmė</w:t>
      </w:r>
    </w:p>
    <w:p w14:paraId="64B0311D" w14:textId="25E8BC19" w:rsidR="0096675C" w:rsidRPr="0096675C" w:rsidRDefault="00B7391F" w:rsidP="00CA0F5E">
      <w:pPr>
        <w:pStyle w:val="ListParagraph"/>
        <w:numPr>
          <w:ilvl w:val="0"/>
          <w:numId w:val="1"/>
        </w:numPr>
        <w:spacing w:after="120" w:line="240" w:lineRule="auto"/>
        <w:contextualSpacing w:val="0"/>
        <w:jc w:val="both"/>
        <w:rPr>
          <w:rFonts w:ascii="Times New Roman" w:hAnsi="Times New Roman"/>
          <w:sz w:val="24"/>
          <w:szCs w:val="24"/>
        </w:rPr>
      </w:pPr>
      <w:r w:rsidRPr="00C17E2B">
        <w:rPr>
          <w:rFonts w:ascii="Times New Roman" w:hAnsi="Times New Roman"/>
          <w:sz w:val="24"/>
          <w:szCs w:val="24"/>
          <w:lang w:eastAsia="en-GB"/>
        </w:rPr>
        <w:t>Vilniaus</w:t>
      </w:r>
      <w:r>
        <w:rPr>
          <w:rFonts w:ascii="Times New Roman" w:hAnsi="Times New Roman"/>
          <w:color w:val="000000"/>
          <w:sz w:val="24"/>
          <w:szCs w:val="24"/>
        </w:rPr>
        <w:t xml:space="preserve"> apygardos teismas 2022</w:t>
      </w:r>
      <w:r w:rsidRPr="00C17E2B">
        <w:rPr>
          <w:rFonts w:ascii="Times New Roman" w:hAnsi="Times New Roman"/>
          <w:color w:val="000000"/>
          <w:sz w:val="24"/>
          <w:szCs w:val="24"/>
        </w:rPr>
        <w:t xml:space="preserve"> m. </w:t>
      </w:r>
      <w:r>
        <w:rPr>
          <w:rFonts w:ascii="Times New Roman" w:hAnsi="Times New Roman"/>
          <w:color w:val="000000"/>
          <w:sz w:val="24"/>
          <w:szCs w:val="24"/>
        </w:rPr>
        <w:t>gegužės 23</w:t>
      </w:r>
      <w:r w:rsidRPr="00C17E2B">
        <w:rPr>
          <w:rFonts w:ascii="Times New Roman" w:hAnsi="Times New Roman"/>
          <w:color w:val="000000"/>
          <w:sz w:val="24"/>
          <w:szCs w:val="24"/>
        </w:rPr>
        <w:t xml:space="preserve"> d. sprendimu</w:t>
      </w:r>
      <w:r>
        <w:rPr>
          <w:rFonts w:ascii="Times New Roman" w:hAnsi="Times New Roman"/>
          <w:color w:val="000000"/>
          <w:sz w:val="24"/>
          <w:szCs w:val="24"/>
        </w:rPr>
        <w:t xml:space="preserve"> </w:t>
      </w:r>
      <w:r w:rsidRPr="00C17E2B">
        <w:rPr>
          <w:rFonts w:ascii="Times New Roman" w:hAnsi="Times New Roman"/>
          <w:color w:val="000000"/>
          <w:sz w:val="24"/>
          <w:szCs w:val="24"/>
        </w:rPr>
        <w:t>ieškovės ieškinį</w:t>
      </w:r>
      <w:r>
        <w:rPr>
          <w:rFonts w:ascii="Times New Roman" w:hAnsi="Times New Roman"/>
          <w:color w:val="000000"/>
          <w:sz w:val="24"/>
          <w:szCs w:val="24"/>
        </w:rPr>
        <w:t xml:space="preserve"> atmetė, priteisė atsakovei iš ieškovės 9500 Eur bylinėjimosi išlaidų atlyginimo</w:t>
      </w:r>
      <w:r w:rsidR="0096675C">
        <w:rPr>
          <w:rFonts w:ascii="Times New Roman" w:hAnsi="Times New Roman"/>
          <w:sz w:val="24"/>
          <w:szCs w:val="24"/>
        </w:rPr>
        <w:t>.</w:t>
      </w:r>
    </w:p>
    <w:p w14:paraId="736315CE" w14:textId="263ED0D4" w:rsidR="00A96BE0" w:rsidRPr="00610AA6"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Teismas sutiko su ieškove, kad</w:t>
      </w:r>
      <w:r w:rsidR="002455BE">
        <w:rPr>
          <w:rFonts w:ascii="Times New Roman" w:hAnsi="Times New Roman"/>
          <w:color w:val="000000"/>
          <w:sz w:val="24"/>
          <w:szCs w:val="24"/>
        </w:rPr>
        <w:t>,</w:t>
      </w:r>
      <w:r>
        <w:rPr>
          <w:rFonts w:ascii="Times New Roman" w:hAnsi="Times New Roman"/>
          <w:color w:val="000000"/>
          <w:sz w:val="24"/>
          <w:szCs w:val="24"/>
        </w:rPr>
        <w:t xml:space="preserve"> pagal Lietuvos Respublikos prekių ženklų įstatymo (toliau – PŽĮ) </w:t>
      </w:r>
      <w:r w:rsidRPr="00610AA6">
        <w:rPr>
          <w:rFonts w:ascii="Times New Roman" w:hAnsi="Times New Roman"/>
          <w:sz w:val="24"/>
          <w:szCs w:val="24"/>
          <w:lang w:eastAsia="en-GB"/>
        </w:rPr>
        <w:t>14 straip</w:t>
      </w:r>
      <w:r>
        <w:rPr>
          <w:rFonts w:ascii="Times New Roman" w:hAnsi="Times New Roman"/>
          <w:sz w:val="24"/>
          <w:szCs w:val="24"/>
          <w:lang w:eastAsia="en-GB"/>
        </w:rPr>
        <w:t>snio 2 dalies nuostatas</w:t>
      </w:r>
      <w:r w:rsidR="002455BE">
        <w:rPr>
          <w:rFonts w:ascii="Times New Roman" w:hAnsi="Times New Roman"/>
          <w:sz w:val="24"/>
          <w:szCs w:val="24"/>
          <w:lang w:eastAsia="en-GB"/>
        </w:rPr>
        <w:t>,</w:t>
      </w:r>
      <w:r>
        <w:rPr>
          <w:rFonts w:ascii="Times New Roman" w:hAnsi="Times New Roman"/>
          <w:sz w:val="24"/>
          <w:szCs w:val="24"/>
          <w:lang w:eastAsia="en-GB"/>
        </w:rPr>
        <w:t xml:space="preserve"> ieškovė, kaip šių ženklų savininkė,</w:t>
      </w:r>
      <w:r w:rsidRPr="00610AA6">
        <w:rPr>
          <w:rFonts w:ascii="Times New Roman" w:hAnsi="Times New Roman"/>
          <w:sz w:val="24"/>
          <w:szCs w:val="24"/>
          <w:lang w:eastAsia="en-GB"/>
        </w:rPr>
        <w:t xml:space="preserve"> turi teisę uždrausti kitiems asmenims, neturintiems jo</w:t>
      </w:r>
      <w:r>
        <w:rPr>
          <w:rFonts w:ascii="Times New Roman" w:hAnsi="Times New Roman"/>
          <w:sz w:val="24"/>
          <w:szCs w:val="24"/>
          <w:lang w:eastAsia="en-GB"/>
        </w:rPr>
        <w:t>s</w:t>
      </w:r>
      <w:r w:rsidRPr="00610AA6">
        <w:rPr>
          <w:rFonts w:ascii="Times New Roman" w:hAnsi="Times New Roman"/>
          <w:sz w:val="24"/>
          <w:szCs w:val="24"/>
          <w:lang w:eastAsia="en-GB"/>
        </w:rPr>
        <w:t xml:space="preserve"> sutikimo, vykdant komercinę veiklą naudoti bet kokį žymenį prekėms ar paslaugoms žymėti. Tačiau</w:t>
      </w:r>
      <w:r>
        <w:rPr>
          <w:rFonts w:ascii="Times New Roman" w:hAnsi="Times New Roman"/>
          <w:sz w:val="24"/>
          <w:szCs w:val="24"/>
          <w:lang w:eastAsia="en-GB"/>
        </w:rPr>
        <w:t xml:space="preserve">, skirtingai nei tvirtina ieškovė, </w:t>
      </w:r>
      <w:r w:rsidR="004120CA">
        <w:rPr>
          <w:rFonts w:ascii="Times New Roman" w:hAnsi="Times New Roman"/>
          <w:sz w:val="24"/>
          <w:szCs w:val="24"/>
          <w:lang w:eastAsia="en-GB"/>
        </w:rPr>
        <w:t xml:space="preserve">teismo vertinimu, </w:t>
      </w:r>
      <w:r>
        <w:rPr>
          <w:rFonts w:ascii="Times New Roman" w:hAnsi="Times New Roman"/>
          <w:sz w:val="24"/>
          <w:szCs w:val="24"/>
          <w:lang w:eastAsia="en-GB"/>
        </w:rPr>
        <w:t>šios jos teisės</w:t>
      </w:r>
      <w:r w:rsidRPr="00610AA6">
        <w:rPr>
          <w:rFonts w:ascii="Times New Roman" w:hAnsi="Times New Roman"/>
          <w:sz w:val="24"/>
          <w:szCs w:val="24"/>
          <w:lang w:eastAsia="en-GB"/>
        </w:rPr>
        <w:t xml:space="preserve"> nėra absoliučios.</w:t>
      </w:r>
    </w:p>
    <w:p w14:paraId="3B486BE2" w14:textId="0172A7D8" w:rsidR="00A96BE0" w:rsidRPr="00945146"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color w:val="000000"/>
          <w:sz w:val="24"/>
          <w:szCs w:val="24"/>
        </w:rPr>
      </w:pPr>
      <w:r>
        <w:rPr>
          <w:rFonts w:ascii="Times New Roman" w:hAnsi="Times New Roman"/>
          <w:sz w:val="24"/>
          <w:szCs w:val="24"/>
          <w:lang w:eastAsia="en-GB"/>
        </w:rPr>
        <w:t xml:space="preserve">Teismas nustatė, kad </w:t>
      </w:r>
      <w:r w:rsidRPr="003534CA">
        <w:rPr>
          <w:rFonts w:ascii="Times New Roman" w:hAnsi="Times New Roman"/>
          <w:sz w:val="24"/>
          <w:szCs w:val="24"/>
          <w:lang w:eastAsia="en-GB"/>
        </w:rPr>
        <w:t xml:space="preserve">vaistinis preparatas su veikliąja medžiaga </w:t>
      </w:r>
      <w:proofErr w:type="spellStart"/>
      <w:r w:rsidRPr="003534CA">
        <w:rPr>
          <w:rFonts w:ascii="Times New Roman" w:hAnsi="Times New Roman"/>
          <w:sz w:val="24"/>
          <w:szCs w:val="24"/>
          <w:lang w:eastAsia="en-GB"/>
        </w:rPr>
        <w:t>levotiroksino</w:t>
      </w:r>
      <w:proofErr w:type="spellEnd"/>
      <w:r w:rsidRPr="003534CA">
        <w:rPr>
          <w:rFonts w:ascii="Times New Roman" w:hAnsi="Times New Roman"/>
          <w:sz w:val="24"/>
          <w:szCs w:val="24"/>
          <w:lang w:eastAsia="en-GB"/>
        </w:rPr>
        <w:t xml:space="preserve"> natrio druska pavadinimu „</w:t>
      </w:r>
      <w:proofErr w:type="spellStart"/>
      <w:r w:rsidRPr="003534CA">
        <w:rPr>
          <w:rFonts w:ascii="Times New Roman" w:hAnsi="Times New Roman"/>
          <w:sz w:val="24"/>
          <w:szCs w:val="24"/>
          <w:lang w:eastAsia="en-GB"/>
        </w:rPr>
        <w:t>Letrox</w:t>
      </w:r>
      <w:proofErr w:type="spellEnd"/>
      <w:r w:rsidRPr="003534CA">
        <w:rPr>
          <w:rFonts w:ascii="Times New Roman" w:hAnsi="Times New Roman"/>
          <w:sz w:val="24"/>
          <w:szCs w:val="24"/>
          <w:lang w:eastAsia="en-GB"/>
        </w:rPr>
        <w:t>“ buvo išleistas į Europos ekonominė</w:t>
      </w:r>
      <w:r>
        <w:rPr>
          <w:rFonts w:ascii="Times New Roman" w:hAnsi="Times New Roman"/>
          <w:sz w:val="24"/>
          <w:szCs w:val="24"/>
          <w:lang w:eastAsia="en-GB"/>
        </w:rPr>
        <w:t>s erdvės rinką (parduodamas Vengrijoje) pačios ieškovės, todėl ji,</w:t>
      </w:r>
      <w:r w:rsidRPr="003534CA">
        <w:rPr>
          <w:rFonts w:ascii="Times New Roman" w:hAnsi="Times New Roman"/>
          <w:sz w:val="24"/>
          <w:szCs w:val="24"/>
          <w:lang w:eastAsia="en-GB"/>
        </w:rPr>
        <w:t xml:space="preserve"> kaip prekių ženklo s</w:t>
      </w:r>
      <w:r>
        <w:rPr>
          <w:rFonts w:ascii="Times New Roman" w:hAnsi="Times New Roman"/>
          <w:sz w:val="24"/>
          <w:szCs w:val="24"/>
          <w:lang w:eastAsia="en-GB"/>
        </w:rPr>
        <w:t>avininkė,</w:t>
      </w:r>
      <w:r w:rsidRPr="003534CA">
        <w:rPr>
          <w:rFonts w:ascii="Times New Roman" w:hAnsi="Times New Roman"/>
          <w:sz w:val="24"/>
          <w:szCs w:val="24"/>
          <w:lang w:eastAsia="en-GB"/>
        </w:rPr>
        <w:t xml:space="preserve"> neteko teisės uždrausti šių prekių perpardavimo Lietuvoje (PŽĮ 19 straipsnio 1 dalis). </w:t>
      </w:r>
      <w:r>
        <w:rPr>
          <w:rFonts w:ascii="Times New Roman" w:hAnsi="Times New Roman"/>
          <w:sz w:val="24"/>
          <w:szCs w:val="24"/>
          <w:lang w:eastAsia="en-GB"/>
        </w:rPr>
        <w:t>Ieškovės</w:t>
      </w:r>
      <w:r w:rsidRPr="003534CA">
        <w:rPr>
          <w:rFonts w:ascii="Times New Roman" w:hAnsi="Times New Roman"/>
          <w:sz w:val="24"/>
          <w:szCs w:val="24"/>
          <w:lang w:eastAsia="en-GB"/>
        </w:rPr>
        <w:t xml:space="preserve"> ženklas „</w:t>
      </w:r>
      <w:proofErr w:type="spellStart"/>
      <w:r w:rsidRPr="003534CA">
        <w:rPr>
          <w:rFonts w:ascii="Times New Roman" w:hAnsi="Times New Roman"/>
          <w:sz w:val="24"/>
          <w:szCs w:val="24"/>
          <w:lang w:eastAsia="en-GB"/>
        </w:rPr>
        <w:t>Letrox</w:t>
      </w:r>
      <w:proofErr w:type="spellEnd"/>
      <w:r w:rsidRPr="003534CA">
        <w:rPr>
          <w:rFonts w:ascii="Times New Roman" w:hAnsi="Times New Roman"/>
          <w:sz w:val="24"/>
          <w:szCs w:val="24"/>
          <w:lang w:eastAsia="en-GB"/>
        </w:rPr>
        <w:t xml:space="preserve">“, </w:t>
      </w:r>
      <w:proofErr w:type="spellStart"/>
      <w:r w:rsidRPr="003534CA">
        <w:rPr>
          <w:rFonts w:ascii="Times New Roman" w:hAnsi="Times New Roman"/>
          <w:sz w:val="24"/>
          <w:szCs w:val="24"/>
          <w:lang w:eastAsia="en-GB"/>
        </w:rPr>
        <w:t>reg</w:t>
      </w:r>
      <w:proofErr w:type="spellEnd"/>
      <w:r w:rsidRPr="003534CA">
        <w:rPr>
          <w:rFonts w:ascii="Times New Roman" w:hAnsi="Times New Roman"/>
          <w:sz w:val="24"/>
          <w:szCs w:val="24"/>
          <w:lang w:eastAsia="en-GB"/>
        </w:rPr>
        <w:t>.</w:t>
      </w:r>
      <w:r w:rsidR="002455BE">
        <w:rPr>
          <w:rFonts w:ascii="Times New Roman" w:hAnsi="Times New Roman"/>
          <w:sz w:val="24"/>
          <w:szCs w:val="24"/>
          <w:lang w:eastAsia="en-GB"/>
        </w:rPr>
        <w:t> </w:t>
      </w:r>
      <w:r w:rsidRPr="003534CA">
        <w:rPr>
          <w:rFonts w:ascii="Times New Roman" w:hAnsi="Times New Roman"/>
          <w:sz w:val="24"/>
          <w:szCs w:val="24"/>
          <w:lang w:eastAsia="en-GB"/>
        </w:rPr>
        <w:t>Nr.</w:t>
      </w:r>
      <w:r>
        <w:rPr>
          <w:rFonts w:ascii="Times New Roman" w:hAnsi="Times New Roman"/>
          <w:sz w:val="24"/>
          <w:szCs w:val="24"/>
          <w:lang w:eastAsia="en-GB"/>
        </w:rPr>
        <w:t> </w:t>
      </w:r>
      <w:r w:rsidRPr="003534CA">
        <w:rPr>
          <w:rFonts w:ascii="Times New Roman" w:hAnsi="Times New Roman"/>
          <w:sz w:val="24"/>
          <w:szCs w:val="24"/>
          <w:lang w:eastAsia="en-GB"/>
        </w:rPr>
        <w:t>31335,</w:t>
      </w:r>
      <w:r w:rsidRPr="00945146">
        <w:rPr>
          <w:rFonts w:ascii="Times New Roman" w:hAnsi="Times New Roman"/>
          <w:sz w:val="24"/>
          <w:szCs w:val="24"/>
          <w:lang w:eastAsia="en-GB"/>
        </w:rPr>
        <w:t xml:space="preserve"> </w:t>
      </w:r>
      <w:r w:rsidRPr="003534CA">
        <w:rPr>
          <w:rFonts w:ascii="Times New Roman" w:hAnsi="Times New Roman"/>
          <w:sz w:val="24"/>
          <w:szCs w:val="24"/>
          <w:lang w:eastAsia="en-GB"/>
        </w:rPr>
        <w:t xml:space="preserve">1999 </w:t>
      </w:r>
      <w:r>
        <w:rPr>
          <w:rFonts w:ascii="Times New Roman" w:hAnsi="Times New Roman"/>
          <w:sz w:val="24"/>
          <w:szCs w:val="24"/>
          <w:lang w:eastAsia="en-GB"/>
        </w:rPr>
        <w:t xml:space="preserve">m. sausio 25 d. </w:t>
      </w:r>
      <w:r w:rsidRPr="003534CA">
        <w:rPr>
          <w:rFonts w:ascii="Times New Roman" w:hAnsi="Times New Roman"/>
          <w:sz w:val="24"/>
          <w:szCs w:val="24"/>
          <w:lang w:eastAsia="en-GB"/>
        </w:rPr>
        <w:t xml:space="preserve">buvo įregistruotas </w:t>
      </w:r>
      <w:r>
        <w:rPr>
          <w:rFonts w:ascii="Times New Roman" w:hAnsi="Times New Roman"/>
          <w:sz w:val="24"/>
          <w:szCs w:val="24"/>
          <w:lang w:eastAsia="en-GB"/>
        </w:rPr>
        <w:t xml:space="preserve">ir </w:t>
      </w:r>
      <w:r w:rsidRPr="003534CA">
        <w:rPr>
          <w:rFonts w:ascii="Times New Roman" w:hAnsi="Times New Roman"/>
          <w:sz w:val="24"/>
          <w:szCs w:val="24"/>
          <w:lang w:eastAsia="en-GB"/>
        </w:rPr>
        <w:t>Lietuvoje</w:t>
      </w:r>
      <w:r w:rsidR="00243C1D">
        <w:rPr>
          <w:rFonts w:ascii="Times New Roman" w:hAnsi="Times New Roman"/>
          <w:sz w:val="24"/>
          <w:szCs w:val="24"/>
          <w:lang w:eastAsia="en-GB"/>
        </w:rPr>
        <w:t>,</w:t>
      </w:r>
      <w:r w:rsidRPr="003534CA">
        <w:rPr>
          <w:rFonts w:ascii="Times New Roman" w:hAnsi="Times New Roman"/>
          <w:sz w:val="24"/>
          <w:szCs w:val="24"/>
          <w:lang w:eastAsia="en-GB"/>
        </w:rPr>
        <w:t xml:space="preserve"> </w:t>
      </w:r>
      <w:r>
        <w:rPr>
          <w:rFonts w:ascii="Times New Roman" w:hAnsi="Times New Roman"/>
          <w:sz w:val="24"/>
          <w:szCs w:val="24"/>
          <w:lang w:eastAsia="en-GB"/>
        </w:rPr>
        <w:t>tačiau ieškovė, nepais</w:t>
      </w:r>
      <w:r w:rsidR="0044693F">
        <w:rPr>
          <w:rFonts w:ascii="Times New Roman" w:hAnsi="Times New Roman"/>
          <w:sz w:val="24"/>
          <w:szCs w:val="24"/>
          <w:lang w:eastAsia="en-GB"/>
        </w:rPr>
        <w:t>ydama</w:t>
      </w:r>
      <w:r>
        <w:rPr>
          <w:rFonts w:ascii="Times New Roman" w:hAnsi="Times New Roman"/>
          <w:sz w:val="24"/>
          <w:szCs w:val="24"/>
          <w:lang w:eastAsia="en-GB"/>
        </w:rPr>
        <w:t xml:space="preserve"> atsakovės</w:t>
      </w:r>
      <w:r w:rsidRPr="003534CA">
        <w:rPr>
          <w:rFonts w:ascii="Times New Roman" w:hAnsi="Times New Roman"/>
          <w:sz w:val="24"/>
          <w:szCs w:val="24"/>
          <w:lang w:eastAsia="en-GB"/>
        </w:rPr>
        <w:t xml:space="preserve"> reikalavimų, ne</w:t>
      </w:r>
      <w:r>
        <w:rPr>
          <w:rFonts w:ascii="Times New Roman" w:hAnsi="Times New Roman"/>
          <w:sz w:val="24"/>
          <w:szCs w:val="24"/>
          <w:lang w:eastAsia="en-GB"/>
        </w:rPr>
        <w:t xml:space="preserve">pateikė įrodymų, kad per 5 metus </w:t>
      </w:r>
      <w:r w:rsidRPr="003534CA">
        <w:rPr>
          <w:rFonts w:ascii="Times New Roman" w:hAnsi="Times New Roman"/>
          <w:sz w:val="24"/>
          <w:szCs w:val="24"/>
          <w:lang w:eastAsia="en-GB"/>
        </w:rPr>
        <w:t>iki ieškinio pateikimo šis ženklas buvo naudojamas (PŽĮ 21 straipsnio 2 dali</w:t>
      </w:r>
      <w:r>
        <w:rPr>
          <w:rFonts w:ascii="Times New Roman" w:hAnsi="Times New Roman"/>
          <w:sz w:val="24"/>
          <w:szCs w:val="24"/>
          <w:lang w:eastAsia="en-GB"/>
        </w:rPr>
        <w:t xml:space="preserve">s, 23 straipsnis). </w:t>
      </w:r>
      <w:r w:rsidR="004120CA">
        <w:rPr>
          <w:rFonts w:ascii="Times New Roman" w:hAnsi="Times New Roman"/>
          <w:sz w:val="24"/>
          <w:szCs w:val="24"/>
          <w:lang w:eastAsia="en-GB"/>
        </w:rPr>
        <w:t>Teism</w:t>
      </w:r>
      <w:r w:rsidR="00634A51">
        <w:rPr>
          <w:rFonts w:ascii="Times New Roman" w:hAnsi="Times New Roman"/>
          <w:sz w:val="24"/>
          <w:szCs w:val="24"/>
          <w:lang w:eastAsia="en-GB"/>
        </w:rPr>
        <w:t>as</w:t>
      </w:r>
      <w:r w:rsidR="004120CA">
        <w:rPr>
          <w:rFonts w:ascii="Times New Roman" w:hAnsi="Times New Roman"/>
          <w:sz w:val="24"/>
          <w:szCs w:val="24"/>
          <w:lang w:eastAsia="en-GB"/>
        </w:rPr>
        <w:t xml:space="preserve"> pažymėjo, kad </w:t>
      </w:r>
      <w:r>
        <w:rPr>
          <w:rFonts w:ascii="Times New Roman" w:hAnsi="Times New Roman"/>
          <w:sz w:val="24"/>
          <w:szCs w:val="24"/>
          <w:lang w:eastAsia="en-GB"/>
        </w:rPr>
        <w:t>ieškovė</w:t>
      </w:r>
      <w:r w:rsidRPr="003534CA">
        <w:rPr>
          <w:rFonts w:ascii="Times New Roman" w:hAnsi="Times New Roman"/>
          <w:sz w:val="24"/>
          <w:szCs w:val="24"/>
          <w:lang w:eastAsia="en-GB"/>
        </w:rPr>
        <w:t xml:space="preserve"> </w:t>
      </w:r>
      <w:r w:rsidR="004120CA">
        <w:rPr>
          <w:rFonts w:ascii="Times New Roman" w:hAnsi="Times New Roman"/>
          <w:sz w:val="24"/>
          <w:szCs w:val="24"/>
          <w:lang w:eastAsia="en-GB"/>
        </w:rPr>
        <w:t>pripažįsta</w:t>
      </w:r>
      <w:r>
        <w:rPr>
          <w:rFonts w:ascii="Times New Roman" w:hAnsi="Times New Roman"/>
          <w:sz w:val="24"/>
          <w:szCs w:val="24"/>
          <w:lang w:eastAsia="en-GB"/>
        </w:rPr>
        <w:t xml:space="preserve">, </w:t>
      </w:r>
      <w:r w:rsidR="004120CA">
        <w:rPr>
          <w:rFonts w:ascii="Times New Roman" w:hAnsi="Times New Roman"/>
          <w:sz w:val="24"/>
          <w:szCs w:val="24"/>
          <w:lang w:eastAsia="en-GB"/>
        </w:rPr>
        <w:t>jog</w:t>
      </w:r>
      <w:r>
        <w:rPr>
          <w:rFonts w:ascii="Times New Roman" w:hAnsi="Times New Roman"/>
          <w:sz w:val="24"/>
          <w:szCs w:val="24"/>
          <w:lang w:eastAsia="en-GB"/>
        </w:rPr>
        <w:t xml:space="preserve"> vietoje „</w:t>
      </w:r>
      <w:proofErr w:type="spellStart"/>
      <w:r>
        <w:rPr>
          <w:rFonts w:ascii="Times New Roman" w:hAnsi="Times New Roman"/>
          <w:sz w:val="24"/>
          <w:szCs w:val="24"/>
          <w:lang w:eastAsia="en-GB"/>
        </w:rPr>
        <w:t>Letrox</w:t>
      </w:r>
      <w:proofErr w:type="spellEnd"/>
      <w:r>
        <w:rPr>
          <w:rFonts w:ascii="Times New Roman" w:hAnsi="Times New Roman"/>
          <w:sz w:val="24"/>
          <w:szCs w:val="24"/>
          <w:lang w:eastAsia="en-GB"/>
        </w:rPr>
        <w:t>“ ženklo</w:t>
      </w:r>
      <w:r w:rsidRPr="003534CA">
        <w:rPr>
          <w:rFonts w:ascii="Times New Roman" w:hAnsi="Times New Roman"/>
          <w:sz w:val="24"/>
          <w:szCs w:val="24"/>
          <w:lang w:eastAsia="en-GB"/>
        </w:rPr>
        <w:t xml:space="preserve"> </w:t>
      </w:r>
      <w:r>
        <w:rPr>
          <w:rFonts w:ascii="Times New Roman" w:hAnsi="Times New Roman"/>
          <w:sz w:val="24"/>
          <w:szCs w:val="24"/>
          <w:lang w:eastAsia="en-GB"/>
        </w:rPr>
        <w:t>ji</w:t>
      </w:r>
      <w:r w:rsidRPr="003534CA">
        <w:rPr>
          <w:rFonts w:ascii="Times New Roman" w:hAnsi="Times New Roman"/>
          <w:sz w:val="24"/>
          <w:szCs w:val="24"/>
          <w:lang w:eastAsia="en-GB"/>
        </w:rPr>
        <w:t xml:space="preserve"> žymi Lietuvoje</w:t>
      </w:r>
      <w:r>
        <w:rPr>
          <w:rFonts w:ascii="Times New Roman" w:hAnsi="Times New Roman"/>
          <w:sz w:val="24"/>
          <w:szCs w:val="24"/>
          <w:lang w:eastAsia="en-GB"/>
        </w:rPr>
        <w:t xml:space="preserve"> parduodamus ginčo vaistinius preparatus </w:t>
      </w:r>
      <w:r w:rsidRPr="003534CA">
        <w:rPr>
          <w:rFonts w:ascii="Times New Roman" w:hAnsi="Times New Roman"/>
          <w:sz w:val="24"/>
          <w:szCs w:val="24"/>
          <w:lang w:eastAsia="en-GB"/>
        </w:rPr>
        <w:t>kitu ženklu – „L</w:t>
      </w:r>
      <w:r>
        <w:rPr>
          <w:rFonts w:ascii="Times New Roman" w:hAnsi="Times New Roman"/>
          <w:sz w:val="24"/>
          <w:szCs w:val="24"/>
          <w:lang w:eastAsia="en-GB"/>
        </w:rPr>
        <w:t>-</w:t>
      </w:r>
      <w:proofErr w:type="spellStart"/>
      <w:r>
        <w:rPr>
          <w:rFonts w:ascii="Times New Roman" w:hAnsi="Times New Roman"/>
          <w:sz w:val="24"/>
          <w:szCs w:val="24"/>
          <w:lang w:eastAsia="en-GB"/>
        </w:rPr>
        <w:t>Thyroxin</w:t>
      </w:r>
      <w:proofErr w:type="spellEnd"/>
      <w:r>
        <w:rPr>
          <w:rFonts w:ascii="Times New Roman" w:hAnsi="Times New Roman"/>
          <w:sz w:val="24"/>
          <w:szCs w:val="24"/>
          <w:lang w:eastAsia="en-GB"/>
        </w:rPr>
        <w:t xml:space="preserve"> </w:t>
      </w:r>
      <w:proofErr w:type="spellStart"/>
      <w:r>
        <w:rPr>
          <w:rFonts w:ascii="Times New Roman" w:hAnsi="Times New Roman"/>
          <w:sz w:val="24"/>
          <w:szCs w:val="24"/>
          <w:lang w:eastAsia="en-GB"/>
        </w:rPr>
        <w:t>Berlin-</w:t>
      </w:r>
      <w:r w:rsidRPr="003534CA">
        <w:rPr>
          <w:rFonts w:ascii="Times New Roman" w:hAnsi="Times New Roman"/>
          <w:sz w:val="24"/>
          <w:szCs w:val="24"/>
          <w:lang w:eastAsia="en-GB"/>
        </w:rPr>
        <w:t>Chemie</w:t>
      </w:r>
      <w:proofErr w:type="spellEnd"/>
      <w:r w:rsidRPr="003534CA">
        <w:rPr>
          <w:rFonts w:ascii="Times New Roman" w:hAnsi="Times New Roman"/>
          <w:sz w:val="24"/>
          <w:szCs w:val="24"/>
          <w:lang w:eastAsia="en-GB"/>
        </w:rPr>
        <w:t xml:space="preserve">“. </w:t>
      </w:r>
      <w:r>
        <w:rPr>
          <w:rFonts w:ascii="Times New Roman" w:hAnsi="Times New Roman"/>
          <w:sz w:val="24"/>
          <w:szCs w:val="24"/>
          <w:lang w:eastAsia="en-GB"/>
        </w:rPr>
        <w:t xml:space="preserve">Taigi, </w:t>
      </w:r>
      <w:r w:rsidRPr="003534CA">
        <w:rPr>
          <w:rFonts w:ascii="Times New Roman" w:hAnsi="Times New Roman"/>
          <w:sz w:val="24"/>
          <w:szCs w:val="24"/>
          <w:lang w:eastAsia="en-GB"/>
        </w:rPr>
        <w:t>ženklas „</w:t>
      </w:r>
      <w:proofErr w:type="spellStart"/>
      <w:r w:rsidRPr="003534CA">
        <w:rPr>
          <w:rFonts w:ascii="Times New Roman" w:hAnsi="Times New Roman"/>
          <w:sz w:val="24"/>
          <w:szCs w:val="24"/>
          <w:lang w:eastAsia="en-GB"/>
        </w:rPr>
        <w:t>Letrox</w:t>
      </w:r>
      <w:proofErr w:type="spellEnd"/>
      <w:r w:rsidRPr="003534CA">
        <w:rPr>
          <w:rFonts w:ascii="Times New Roman" w:hAnsi="Times New Roman"/>
          <w:sz w:val="24"/>
          <w:szCs w:val="24"/>
          <w:lang w:eastAsia="en-GB"/>
        </w:rPr>
        <w:t>“ nebuvo Lietuvoje naudojamas ne tik 5 metus iki ieškinio pareiškimo</w:t>
      </w:r>
      <w:r>
        <w:rPr>
          <w:rFonts w:ascii="Times New Roman" w:hAnsi="Times New Roman"/>
          <w:sz w:val="24"/>
          <w:szCs w:val="24"/>
          <w:lang w:eastAsia="en-GB"/>
        </w:rPr>
        <w:t>,</w:t>
      </w:r>
      <w:r w:rsidRPr="003534CA">
        <w:rPr>
          <w:rFonts w:ascii="Times New Roman" w:hAnsi="Times New Roman"/>
          <w:sz w:val="24"/>
          <w:szCs w:val="24"/>
          <w:lang w:eastAsia="en-GB"/>
        </w:rPr>
        <w:t xml:space="preserve"> bet ir visą laiką nu</w:t>
      </w:r>
      <w:r>
        <w:rPr>
          <w:rFonts w:ascii="Times New Roman" w:hAnsi="Times New Roman"/>
          <w:sz w:val="24"/>
          <w:szCs w:val="24"/>
          <w:lang w:eastAsia="en-GB"/>
        </w:rPr>
        <w:t>o pat jo įregistravimo.</w:t>
      </w:r>
    </w:p>
    <w:p w14:paraId="645F943E" w14:textId="192F11B1" w:rsidR="00A96BE0" w:rsidRPr="00E327E8"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color w:val="000000"/>
          <w:sz w:val="24"/>
          <w:szCs w:val="24"/>
        </w:rPr>
      </w:pPr>
      <w:r w:rsidRPr="00E327E8">
        <w:rPr>
          <w:rFonts w:ascii="Times New Roman" w:hAnsi="Times New Roman"/>
          <w:sz w:val="24"/>
          <w:szCs w:val="24"/>
          <w:lang w:eastAsia="en-GB"/>
        </w:rPr>
        <w:t>Teism</w:t>
      </w:r>
      <w:r>
        <w:rPr>
          <w:rFonts w:ascii="Times New Roman" w:hAnsi="Times New Roman"/>
          <w:sz w:val="24"/>
          <w:szCs w:val="24"/>
          <w:lang w:eastAsia="en-GB"/>
        </w:rPr>
        <w:t>as</w:t>
      </w:r>
      <w:r w:rsidRPr="00E327E8">
        <w:rPr>
          <w:rFonts w:ascii="Times New Roman" w:hAnsi="Times New Roman"/>
          <w:sz w:val="24"/>
          <w:szCs w:val="24"/>
          <w:lang w:eastAsia="en-GB"/>
        </w:rPr>
        <w:t xml:space="preserve"> </w:t>
      </w:r>
      <w:r>
        <w:rPr>
          <w:rFonts w:ascii="Times New Roman" w:hAnsi="Times New Roman"/>
          <w:sz w:val="24"/>
          <w:szCs w:val="24"/>
          <w:lang w:eastAsia="en-GB"/>
        </w:rPr>
        <w:t xml:space="preserve">nurodė, kad </w:t>
      </w:r>
      <w:r w:rsidRPr="00E327E8">
        <w:rPr>
          <w:rFonts w:ascii="Times New Roman" w:hAnsi="Times New Roman"/>
          <w:sz w:val="24"/>
          <w:szCs w:val="24"/>
          <w:lang w:eastAsia="en-GB"/>
        </w:rPr>
        <w:t xml:space="preserve">teigdama, </w:t>
      </w:r>
      <w:r>
        <w:rPr>
          <w:rFonts w:ascii="Times New Roman" w:hAnsi="Times New Roman"/>
          <w:sz w:val="24"/>
          <w:szCs w:val="24"/>
          <w:lang w:eastAsia="en-GB"/>
        </w:rPr>
        <w:t>jog</w:t>
      </w:r>
      <w:r w:rsidRPr="00E327E8">
        <w:rPr>
          <w:rFonts w:ascii="Times New Roman" w:hAnsi="Times New Roman"/>
          <w:sz w:val="24"/>
          <w:szCs w:val="24"/>
          <w:lang w:eastAsia="en-GB"/>
        </w:rPr>
        <w:t xml:space="preserve"> yra pažeidžiamos </w:t>
      </w:r>
      <w:r>
        <w:rPr>
          <w:rFonts w:ascii="Times New Roman" w:hAnsi="Times New Roman"/>
          <w:sz w:val="24"/>
          <w:szCs w:val="24"/>
          <w:lang w:eastAsia="en-GB"/>
        </w:rPr>
        <w:t xml:space="preserve">jos </w:t>
      </w:r>
      <w:r w:rsidRPr="00E327E8">
        <w:rPr>
          <w:rFonts w:ascii="Times New Roman" w:hAnsi="Times New Roman"/>
          <w:sz w:val="24"/>
          <w:szCs w:val="24"/>
          <w:lang w:eastAsia="en-GB"/>
        </w:rPr>
        <w:t>teisės ir į prekių ženklą „</w:t>
      </w:r>
      <w:proofErr w:type="spellStart"/>
      <w:r w:rsidRPr="00E327E8">
        <w:rPr>
          <w:rFonts w:ascii="Times New Roman" w:hAnsi="Times New Roman"/>
          <w:sz w:val="24"/>
          <w:szCs w:val="24"/>
          <w:lang w:eastAsia="en-GB"/>
        </w:rPr>
        <w:t>Berlin-Chemie</w:t>
      </w:r>
      <w:proofErr w:type="spellEnd"/>
      <w:r w:rsidRPr="00E327E8">
        <w:rPr>
          <w:rFonts w:ascii="Times New Roman" w:hAnsi="Times New Roman"/>
          <w:sz w:val="24"/>
          <w:szCs w:val="24"/>
          <w:lang w:eastAsia="en-GB"/>
        </w:rPr>
        <w:t>“, ieškov</w:t>
      </w:r>
      <w:r>
        <w:rPr>
          <w:rFonts w:ascii="Times New Roman" w:hAnsi="Times New Roman"/>
          <w:sz w:val="24"/>
          <w:szCs w:val="24"/>
          <w:lang w:eastAsia="en-GB"/>
        </w:rPr>
        <w:t>ė</w:t>
      </w:r>
      <w:r w:rsidRPr="00E327E8">
        <w:rPr>
          <w:rFonts w:ascii="Times New Roman" w:hAnsi="Times New Roman"/>
          <w:sz w:val="24"/>
          <w:szCs w:val="24"/>
          <w:lang w:eastAsia="en-GB"/>
        </w:rPr>
        <w:t xml:space="preserve"> šių aplinkybių plačiau nedetalizavo.</w:t>
      </w:r>
      <w:r>
        <w:rPr>
          <w:rFonts w:ascii="Times New Roman" w:hAnsi="Times New Roman"/>
          <w:sz w:val="24"/>
          <w:szCs w:val="24"/>
          <w:lang w:eastAsia="en-GB"/>
        </w:rPr>
        <w:t xml:space="preserve"> </w:t>
      </w:r>
      <w:r w:rsidR="004120CA">
        <w:rPr>
          <w:rFonts w:ascii="Times New Roman" w:hAnsi="Times New Roman"/>
          <w:sz w:val="24"/>
          <w:szCs w:val="24"/>
          <w:lang w:eastAsia="en-GB"/>
        </w:rPr>
        <w:t>Teismas atkreipė dėmesį, kad</w:t>
      </w:r>
      <w:r>
        <w:rPr>
          <w:rFonts w:ascii="Times New Roman" w:hAnsi="Times New Roman"/>
          <w:sz w:val="24"/>
          <w:szCs w:val="24"/>
          <w:lang w:eastAsia="en-GB"/>
        </w:rPr>
        <w:t xml:space="preserve"> </w:t>
      </w:r>
      <w:r w:rsidRPr="00E327E8">
        <w:rPr>
          <w:rFonts w:ascii="Times New Roman" w:hAnsi="Times New Roman"/>
          <w:sz w:val="24"/>
          <w:szCs w:val="24"/>
          <w:lang w:eastAsia="en-GB"/>
        </w:rPr>
        <w:t xml:space="preserve">atsakovė turi teisės aktų nustatyta tvarka išduotą valstybinės institucijos leidimą lygiagrečiai importuoti būtent iš Vengrijos vaistinį preparatą pavadinimu </w:t>
      </w:r>
      <w:r w:rsidR="004120CA">
        <w:rPr>
          <w:rFonts w:ascii="Times New Roman" w:hAnsi="Times New Roman"/>
          <w:sz w:val="24"/>
          <w:szCs w:val="24"/>
          <w:lang w:eastAsia="en-GB"/>
        </w:rPr>
        <w:t>„</w:t>
      </w:r>
      <w:r w:rsidRPr="00E327E8">
        <w:rPr>
          <w:rFonts w:ascii="Times New Roman" w:hAnsi="Times New Roman"/>
          <w:sz w:val="24"/>
          <w:szCs w:val="24"/>
          <w:lang w:eastAsia="en-GB"/>
        </w:rPr>
        <w:t>L-</w:t>
      </w:r>
      <w:proofErr w:type="spellStart"/>
      <w:r w:rsidRPr="00E327E8">
        <w:rPr>
          <w:rFonts w:ascii="Times New Roman" w:hAnsi="Times New Roman"/>
          <w:sz w:val="24"/>
          <w:szCs w:val="24"/>
          <w:lang w:eastAsia="en-GB"/>
        </w:rPr>
        <w:t>Thyroxin</w:t>
      </w:r>
      <w:proofErr w:type="spellEnd"/>
      <w:r w:rsidRPr="00E327E8">
        <w:rPr>
          <w:rFonts w:ascii="Times New Roman" w:hAnsi="Times New Roman"/>
          <w:sz w:val="24"/>
          <w:szCs w:val="24"/>
          <w:lang w:eastAsia="en-GB"/>
        </w:rPr>
        <w:t xml:space="preserve"> </w:t>
      </w:r>
      <w:proofErr w:type="spellStart"/>
      <w:r w:rsidRPr="00E327E8">
        <w:rPr>
          <w:rFonts w:ascii="Times New Roman" w:hAnsi="Times New Roman"/>
          <w:sz w:val="24"/>
          <w:szCs w:val="24"/>
          <w:lang w:eastAsia="en-GB"/>
        </w:rPr>
        <w:t>Berlin-Chemie</w:t>
      </w:r>
      <w:proofErr w:type="spellEnd"/>
      <w:r w:rsidR="004120CA">
        <w:rPr>
          <w:rFonts w:ascii="Times New Roman" w:hAnsi="Times New Roman"/>
          <w:sz w:val="24"/>
          <w:szCs w:val="24"/>
          <w:lang w:eastAsia="en-GB"/>
        </w:rPr>
        <w:t>“</w:t>
      </w:r>
      <w:r w:rsidRPr="00E327E8">
        <w:rPr>
          <w:rFonts w:ascii="Times New Roman" w:hAnsi="Times New Roman"/>
          <w:sz w:val="24"/>
          <w:szCs w:val="24"/>
          <w:lang w:eastAsia="en-GB"/>
        </w:rPr>
        <w:t xml:space="preserve">, o ieškovė neįrodinėja </w:t>
      </w:r>
      <w:r>
        <w:rPr>
          <w:rFonts w:ascii="Times New Roman" w:hAnsi="Times New Roman"/>
          <w:sz w:val="24"/>
          <w:szCs w:val="24"/>
          <w:lang w:eastAsia="en-GB"/>
        </w:rPr>
        <w:t>š</w:t>
      </w:r>
      <w:r w:rsidRPr="00E327E8">
        <w:rPr>
          <w:rFonts w:ascii="Times New Roman" w:hAnsi="Times New Roman"/>
          <w:sz w:val="24"/>
          <w:szCs w:val="24"/>
          <w:lang w:eastAsia="en-GB"/>
        </w:rPr>
        <w:t xml:space="preserve">io leidimo neteisėtumo. Šių aplinkybių pagrindu teismas priėjo prie išvados, kad </w:t>
      </w:r>
      <w:r>
        <w:rPr>
          <w:rFonts w:ascii="Times New Roman" w:hAnsi="Times New Roman"/>
          <w:sz w:val="24"/>
          <w:szCs w:val="24"/>
          <w:lang w:eastAsia="en-GB"/>
        </w:rPr>
        <w:t xml:space="preserve">nėra </w:t>
      </w:r>
      <w:r w:rsidRPr="00E327E8">
        <w:rPr>
          <w:rFonts w:ascii="Times New Roman" w:hAnsi="Times New Roman"/>
          <w:sz w:val="24"/>
          <w:szCs w:val="24"/>
          <w:lang w:eastAsia="en-GB"/>
        </w:rPr>
        <w:t>ieškov</w:t>
      </w:r>
      <w:r w:rsidR="002455BE">
        <w:rPr>
          <w:rFonts w:ascii="Times New Roman" w:hAnsi="Times New Roman"/>
          <w:sz w:val="24"/>
          <w:szCs w:val="24"/>
          <w:lang w:eastAsia="en-GB"/>
        </w:rPr>
        <w:t>ės</w:t>
      </w:r>
      <w:r>
        <w:rPr>
          <w:rFonts w:ascii="Times New Roman" w:hAnsi="Times New Roman"/>
          <w:sz w:val="24"/>
          <w:szCs w:val="24"/>
          <w:lang w:eastAsia="en-GB"/>
        </w:rPr>
        <w:t>,</w:t>
      </w:r>
      <w:r w:rsidRPr="00E327E8">
        <w:rPr>
          <w:rFonts w:ascii="Times New Roman" w:hAnsi="Times New Roman"/>
          <w:sz w:val="24"/>
          <w:szCs w:val="24"/>
          <w:lang w:eastAsia="en-GB"/>
        </w:rPr>
        <w:t xml:space="preserve"> prek</w:t>
      </w:r>
      <w:r w:rsidR="002455BE">
        <w:rPr>
          <w:rFonts w:ascii="Times New Roman" w:hAnsi="Times New Roman"/>
          <w:sz w:val="24"/>
          <w:szCs w:val="24"/>
          <w:lang w:eastAsia="en-GB"/>
        </w:rPr>
        <w:t>ių</w:t>
      </w:r>
      <w:r w:rsidRPr="00E327E8">
        <w:rPr>
          <w:rFonts w:ascii="Times New Roman" w:hAnsi="Times New Roman"/>
          <w:sz w:val="24"/>
          <w:szCs w:val="24"/>
          <w:lang w:eastAsia="en-GB"/>
        </w:rPr>
        <w:t xml:space="preserve"> ženklo „</w:t>
      </w:r>
      <w:proofErr w:type="spellStart"/>
      <w:r w:rsidRPr="00E327E8">
        <w:rPr>
          <w:rFonts w:ascii="Times New Roman" w:hAnsi="Times New Roman"/>
          <w:sz w:val="24"/>
          <w:szCs w:val="24"/>
          <w:lang w:eastAsia="en-GB"/>
        </w:rPr>
        <w:t>Berlin-Chemie</w:t>
      </w:r>
      <w:proofErr w:type="spellEnd"/>
      <w:r w:rsidRPr="00E327E8">
        <w:rPr>
          <w:rFonts w:ascii="Times New Roman" w:hAnsi="Times New Roman"/>
          <w:sz w:val="24"/>
          <w:szCs w:val="24"/>
          <w:lang w:eastAsia="en-GB"/>
        </w:rPr>
        <w:t>“</w:t>
      </w:r>
      <w:r>
        <w:rPr>
          <w:rFonts w:ascii="Times New Roman" w:hAnsi="Times New Roman"/>
          <w:sz w:val="24"/>
          <w:szCs w:val="24"/>
          <w:lang w:eastAsia="en-GB"/>
        </w:rPr>
        <w:t xml:space="preserve"> savinink</w:t>
      </w:r>
      <w:r w:rsidR="002455BE">
        <w:rPr>
          <w:rFonts w:ascii="Times New Roman" w:hAnsi="Times New Roman"/>
          <w:sz w:val="24"/>
          <w:szCs w:val="24"/>
          <w:lang w:eastAsia="en-GB"/>
        </w:rPr>
        <w:t>ės</w:t>
      </w:r>
      <w:r>
        <w:rPr>
          <w:rFonts w:ascii="Times New Roman" w:hAnsi="Times New Roman"/>
          <w:sz w:val="24"/>
          <w:szCs w:val="24"/>
          <w:lang w:eastAsia="en-GB"/>
        </w:rPr>
        <w:t>,</w:t>
      </w:r>
      <w:r w:rsidRPr="00E327E8">
        <w:rPr>
          <w:rFonts w:ascii="Times New Roman" w:hAnsi="Times New Roman"/>
          <w:sz w:val="24"/>
          <w:szCs w:val="24"/>
          <w:lang w:eastAsia="en-GB"/>
        </w:rPr>
        <w:t xml:space="preserve"> teisių pažeidimo. </w:t>
      </w:r>
      <w:r w:rsidR="004120CA">
        <w:rPr>
          <w:rFonts w:ascii="Times New Roman" w:hAnsi="Times New Roman"/>
          <w:sz w:val="24"/>
          <w:szCs w:val="24"/>
          <w:lang w:eastAsia="en-GB"/>
        </w:rPr>
        <w:t>Teismas pažymėjo, kad l</w:t>
      </w:r>
      <w:r w:rsidRPr="00E327E8">
        <w:rPr>
          <w:rFonts w:ascii="Times New Roman" w:hAnsi="Times New Roman"/>
          <w:sz w:val="24"/>
          <w:szCs w:val="24"/>
          <w:lang w:eastAsia="en-GB"/>
        </w:rPr>
        <w:t xml:space="preserve">eidimas yra išduotas būtent referencinio vaisto </w:t>
      </w:r>
      <w:r w:rsidR="004120CA">
        <w:rPr>
          <w:rFonts w:ascii="Times New Roman" w:hAnsi="Times New Roman"/>
          <w:sz w:val="24"/>
          <w:szCs w:val="24"/>
          <w:lang w:eastAsia="en-GB"/>
        </w:rPr>
        <w:t>„</w:t>
      </w:r>
      <w:r w:rsidRPr="00E327E8">
        <w:rPr>
          <w:rFonts w:ascii="Times New Roman" w:hAnsi="Times New Roman"/>
          <w:sz w:val="24"/>
          <w:szCs w:val="24"/>
          <w:lang w:eastAsia="en-GB"/>
        </w:rPr>
        <w:t>L-</w:t>
      </w:r>
      <w:proofErr w:type="spellStart"/>
      <w:r w:rsidRPr="00E327E8">
        <w:rPr>
          <w:rFonts w:ascii="Times New Roman" w:hAnsi="Times New Roman"/>
          <w:sz w:val="24"/>
          <w:szCs w:val="24"/>
          <w:lang w:eastAsia="en-GB"/>
        </w:rPr>
        <w:t>Thyroxin</w:t>
      </w:r>
      <w:proofErr w:type="spellEnd"/>
      <w:r w:rsidRPr="00E327E8">
        <w:rPr>
          <w:rFonts w:ascii="Times New Roman" w:hAnsi="Times New Roman"/>
          <w:sz w:val="24"/>
          <w:szCs w:val="24"/>
          <w:lang w:eastAsia="en-GB"/>
        </w:rPr>
        <w:t xml:space="preserve"> </w:t>
      </w:r>
      <w:proofErr w:type="spellStart"/>
      <w:r w:rsidRPr="00E327E8">
        <w:rPr>
          <w:rFonts w:ascii="Times New Roman" w:hAnsi="Times New Roman"/>
          <w:sz w:val="24"/>
          <w:szCs w:val="24"/>
          <w:lang w:eastAsia="en-GB"/>
        </w:rPr>
        <w:t>Berlin-Chemie</w:t>
      </w:r>
      <w:proofErr w:type="spellEnd"/>
      <w:r w:rsidR="004120CA">
        <w:rPr>
          <w:rFonts w:ascii="Times New Roman" w:hAnsi="Times New Roman"/>
          <w:sz w:val="24"/>
          <w:szCs w:val="24"/>
          <w:lang w:eastAsia="en-GB"/>
        </w:rPr>
        <w:t>“</w:t>
      </w:r>
      <w:r w:rsidRPr="00E327E8">
        <w:rPr>
          <w:rFonts w:ascii="Times New Roman" w:hAnsi="Times New Roman"/>
          <w:sz w:val="24"/>
          <w:szCs w:val="24"/>
          <w:lang w:eastAsia="en-GB"/>
        </w:rPr>
        <w:t xml:space="preserve"> pagrindu, kaip tai nu</w:t>
      </w:r>
      <w:r w:rsidR="004120CA">
        <w:rPr>
          <w:rFonts w:ascii="Times New Roman" w:hAnsi="Times New Roman"/>
          <w:sz w:val="24"/>
          <w:szCs w:val="24"/>
          <w:lang w:eastAsia="en-GB"/>
        </w:rPr>
        <w:t>st</w:t>
      </w:r>
      <w:r w:rsidRPr="00E327E8">
        <w:rPr>
          <w:rFonts w:ascii="Times New Roman" w:hAnsi="Times New Roman"/>
          <w:sz w:val="24"/>
          <w:szCs w:val="24"/>
          <w:lang w:eastAsia="en-GB"/>
        </w:rPr>
        <w:t>atyta Vaistinių preparatų lygiagretaus importo taisyklių 3.2, 6.2.1 punktuose.</w:t>
      </w:r>
    </w:p>
    <w:p w14:paraId="41C6F1E1" w14:textId="6211687D" w:rsidR="00A96BE0" w:rsidRPr="004C2445"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 xml:space="preserve">Teismas </w:t>
      </w:r>
      <w:r w:rsidR="002455BE">
        <w:rPr>
          <w:rFonts w:ascii="Times New Roman" w:hAnsi="Times New Roman"/>
          <w:color w:val="000000"/>
          <w:sz w:val="24"/>
          <w:szCs w:val="24"/>
        </w:rPr>
        <w:t>nu</w:t>
      </w:r>
      <w:r>
        <w:rPr>
          <w:rFonts w:ascii="Times New Roman" w:hAnsi="Times New Roman"/>
          <w:color w:val="000000"/>
          <w:sz w:val="24"/>
          <w:szCs w:val="24"/>
        </w:rPr>
        <w:t xml:space="preserve">sprendė, kad </w:t>
      </w:r>
      <w:r>
        <w:rPr>
          <w:rFonts w:ascii="Times New Roman" w:hAnsi="Times New Roman"/>
          <w:sz w:val="24"/>
          <w:szCs w:val="24"/>
          <w:lang w:eastAsia="en-GB"/>
        </w:rPr>
        <w:t xml:space="preserve">atsakovė </w:t>
      </w:r>
      <w:r w:rsidRPr="004C2445">
        <w:rPr>
          <w:rFonts w:ascii="Times New Roman" w:hAnsi="Times New Roman"/>
          <w:sz w:val="24"/>
          <w:szCs w:val="24"/>
          <w:lang w:eastAsia="en-GB"/>
        </w:rPr>
        <w:t>įvykdė</w:t>
      </w:r>
      <w:r>
        <w:rPr>
          <w:rFonts w:ascii="Times New Roman" w:hAnsi="Times New Roman"/>
          <w:sz w:val="24"/>
          <w:szCs w:val="24"/>
          <w:lang w:eastAsia="en-GB"/>
        </w:rPr>
        <w:t xml:space="preserve"> ir Lietuvos Respublikos f</w:t>
      </w:r>
      <w:r w:rsidRPr="004C2445">
        <w:rPr>
          <w:rFonts w:ascii="Times New Roman" w:hAnsi="Times New Roman"/>
          <w:sz w:val="24"/>
          <w:szCs w:val="24"/>
          <w:lang w:eastAsia="en-GB"/>
        </w:rPr>
        <w:t>armacijos įstatymo</w:t>
      </w:r>
      <w:r>
        <w:rPr>
          <w:rFonts w:ascii="Times New Roman" w:hAnsi="Times New Roman"/>
          <w:sz w:val="24"/>
          <w:szCs w:val="24"/>
          <w:lang w:eastAsia="en-GB"/>
        </w:rPr>
        <w:t xml:space="preserve"> </w:t>
      </w:r>
      <w:r w:rsidRPr="004C2445">
        <w:rPr>
          <w:rFonts w:ascii="Times New Roman" w:hAnsi="Times New Roman"/>
          <w:sz w:val="24"/>
          <w:szCs w:val="24"/>
          <w:lang w:eastAsia="en-GB"/>
        </w:rPr>
        <w:t>17</w:t>
      </w:r>
      <w:r w:rsidR="00797C9F">
        <w:rPr>
          <w:rFonts w:ascii="Times New Roman" w:hAnsi="Times New Roman"/>
          <w:sz w:val="24"/>
          <w:szCs w:val="24"/>
          <w:lang w:eastAsia="en-GB"/>
        </w:rPr>
        <w:t> </w:t>
      </w:r>
      <w:r w:rsidRPr="004C2445">
        <w:rPr>
          <w:rFonts w:ascii="Times New Roman" w:hAnsi="Times New Roman"/>
          <w:sz w:val="24"/>
          <w:szCs w:val="24"/>
          <w:lang w:eastAsia="en-GB"/>
        </w:rPr>
        <w:t xml:space="preserve">straipsnio 11 dalyje įtvirtintą pareigą apie ketinimą lygiagrečiai importuoti vaistinį preparatą ne vėliau kaip prieš 15 darbo dienų iki numatomo pirmojo importo raštu pranešti šio vaistinio preparato registruotojui ir Valstybinei vaistų kontrolės tarnybai, </w:t>
      </w:r>
      <w:r>
        <w:rPr>
          <w:rFonts w:ascii="Times New Roman" w:hAnsi="Times New Roman"/>
          <w:sz w:val="24"/>
          <w:szCs w:val="24"/>
          <w:lang w:eastAsia="en-GB"/>
        </w:rPr>
        <w:t xml:space="preserve">ji taip pat </w:t>
      </w:r>
      <w:r w:rsidRPr="004C2445">
        <w:rPr>
          <w:rFonts w:ascii="Times New Roman" w:hAnsi="Times New Roman"/>
          <w:sz w:val="24"/>
          <w:szCs w:val="24"/>
          <w:lang w:eastAsia="en-GB"/>
        </w:rPr>
        <w:t>pateikė sukurt</w:t>
      </w:r>
      <w:r w:rsidR="00797C9F">
        <w:rPr>
          <w:rFonts w:ascii="Times New Roman" w:hAnsi="Times New Roman"/>
          <w:sz w:val="24"/>
          <w:szCs w:val="24"/>
          <w:lang w:eastAsia="en-GB"/>
        </w:rPr>
        <w:t>us</w:t>
      </w:r>
      <w:r w:rsidR="008D6747">
        <w:rPr>
          <w:rFonts w:ascii="Times New Roman" w:hAnsi="Times New Roman"/>
          <w:sz w:val="24"/>
          <w:szCs w:val="24"/>
          <w:lang w:eastAsia="en-GB"/>
        </w:rPr>
        <w:t xml:space="preserve"> nauj</w:t>
      </w:r>
      <w:r w:rsidR="00797C9F">
        <w:rPr>
          <w:rFonts w:ascii="Times New Roman" w:hAnsi="Times New Roman"/>
          <w:sz w:val="24"/>
          <w:szCs w:val="24"/>
          <w:lang w:eastAsia="en-GB"/>
        </w:rPr>
        <w:t>us</w:t>
      </w:r>
      <w:r w:rsidRPr="004C2445">
        <w:rPr>
          <w:rFonts w:ascii="Times New Roman" w:hAnsi="Times New Roman"/>
          <w:sz w:val="24"/>
          <w:szCs w:val="24"/>
          <w:lang w:eastAsia="en-GB"/>
        </w:rPr>
        <w:t xml:space="preserve"> </w:t>
      </w:r>
      <w:r>
        <w:rPr>
          <w:rFonts w:ascii="Times New Roman" w:hAnsi="Times New Roman"/>
          <w:sz w:val="24"/>
          <w:szCs w:val="24"/>
          <w:lang w:eastAsia="en-GB"/>
        </w:rPr>
        <w:t xml:space="preserve">šio </w:t>
      </w:r>
      <w:r w:rsidRPr="004C2445">
        <w:rPr>
          <w:rFonts w:ascii="Times New Roman" w:hAnsi="Times New Roman"/>
          <w:sz w:val="24"/>
          <w:szCs w:val="24"/>
          <w:lang w:eastAsia="en-GB"/>
        </w:rPr>
        <w:t xml:space="preserve">vaistinio preparato išorinės pakuotės, pakuotės lapelio ir </w:t>
      </w:r>
      <w:r w:rsidR="0044693F">
        <w:rPr>
          <w:rFonts w:ascii="Times New Roman" w:hAnsi="Times New Roman"/>
          <w:sz w:val="24"/>
          <w:szCs w:val="24"/>
          <w:lang w:eastAsia="en-GB"/>
        </w:rPr>
        <w:t>lizd</w:t>
      </w:r>
      <w:r w:rsidRPr="0044693F">
        <w:rPr>
          <w:rFonts w:ascii="Times New Roman" w:hAnsi="Times New Roman"/>
          <w:sz w:val="24"/>
          <w:szCs w:val="24"/>
          <w:lang w:eastAsia="en-GB"/>
        </w:rPr>
        <w:t>inės</w:t>
      </w:r>
      <w:r w:rsidRPr="004C2445">
        <w:rPr>
          <w:rFonts w:ascii="Times New Roman" w:hAnsi="Times New Roman"/>
          <w:sz w:val="24"/>
          <w:szCs w:val="24"/>
          <w:lang w:eastAsia="en-GB"/>
        </w:rPr>
        <w:t xml:space="preserve"> pakuotės pavyzdžius.</w:t>
      </w:r>
    </w:p>
    <w:p w14:paraId="083A1909" w14:textId="1C312B2B" w:rsidR="00A96BE0" w:rsidRPr="00BB1EAB"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color w:val="000000"/>
          <w:sz w:val="24"/>
          <w:szCs w:val="24"/>
        </w:rPr>
      </w:pPr>
      <w:r>
        <w:rPr>
          <w:rFonts w:ascii="Times New Roman" w:hAnsi="Times New Roman"/>
          <w:color w:val="000000"/>
          <w:sz w:val="24"/>
          <w:szCs w:val="24"/>
        </w:rPr>
        <w:t xml:space="preserve">Teismo vertinimu, </w:t>
      </w:r>
      <w:r>
        <w:rPr>
          <w:rFonts w:ascii="Times New Roman" w:hAnsi="Times New Roman"/>
          <w:sz w:val="24"/>
          <w:szCs w:val="24"/>
          <w:lang w:eastAsia="en-GB"/>
        </w:rPr>
        <w:t>b</w:t>
      </w:r>
      <w:r w:rsidRPr="002E5FF5">
        <w:rPr>
          <w:rFonts w:ascii="Times New Roman" w:hAnsi="Times New Roman"/>
          <w:sz w:val="24"/>
          <w:szCs w:val="24"/>
          <w:lang w:eastAsia="en-GB"/>
        </w:rPr>
        <w:t>yloje nenustatyta</w:t>
      </w:r>
      <w:r>
        <w:rPr>
          <w:rFonts w:ascii="Times New Roman" w:hAnsi="Times New Roman"/>
          <w:sz w:val="24"/>
          <w:szCs w:val="24"/>
          <w:lang w:eastAsia="en-GB"/>
        </w:rPr>
        <w:t>, o ieškovė to ir neįrodinėjo, kad</w:t>
      </w:r>
      <w:r w:rsidRPr="002E5FF5">
        <w:rPr>
          <w:rFonts w:ascii="Times New Roman" w:hAnsi="Times New Roman"/>
          <w:sz w:val="24"/>
          <w:szCs w:val="24"/>
          <w:lang w:eastAsia="en-GB"/>
        </w:rPr>
        <w:t xml:space="preserve"> perpakavimas turėjo įtakos pradinei pro</w:t>
      </w:r>
      <w:r>
        <w:rPr>
          <w:rFonts w:ascii="Times New Roman" w:hAnsi="Times New Roman"/>
          <w:sz w:val="24"/>
          <w:szCs w:val="24"/>
          <w:lang w:eastAsia="en-GB"/>
        </w:rPr>
        <w:t xml:space="preserve">dukto būklei pakuotės viduje </w:t>
      </w:r>
      <w:r w:rsidRPr="002E5FF5">
        <w:rPr>
          <w:rFonts w:ascii="Times New Roman" w:hAnsi="Times New Roman"/>
          <w:sz w:val="24"/>
          <w:szCs w:val="24"/>
          <w:lang w:eastAsia="en-GB"/>
        </w:rPr>
        <w:t xml:space="preserve">ar </w:t>
      </w:r>
      <w:r w:rsidR="008D6747">
        <w:rPr>
          <w:rFonts w:ascii="Times New Roman" w:hAnsi="Times New Roman"/>
          <w:sz w:val="24"/>
          <w:szCs w:val="24"/>
          <w:lang w:eastAsia="en-GB"/>
        </w:rPr>
        <w:t>kad</w:t>
      </w:r>
      <w:r>
        <w:rPr>
          <w:rFonts w:ascii="Times New Roman" w:hAnsi="Times New Roman"/>
          <w:sz w:val="24"/>
          <w:szCs w:val="24"/>
          <w:lang w:eastAsia="en-GB"/>
        </w:rPr>
        <w:t xml:space="preserve"> </w:t>
      </w:r>
      <w:r w:rsidRPr="002E5FF5">
        <w:rPr>
          <w:rFonts w:ascii="Times New Roman" w:hAnsi="Times New Roman"/>
          <w:sz w:val="24"/>
          <w:szCs w:val="24"/>
          <w:lang w:eastAsia="en-GB"/>
        </w:rPr>
        <w:t>perpakuot</w:t>
      </w:r>
      <w:r>
        <w:rPr>
          <w:rFonts w:ascii="Times New Roman" w:hAnsi="Times New Roman"/>
          <w:sz w:val="24"/>
          <w:szCs w:val="24"/>
          <w:lang w:eastAsia="en-GB"/>
        </w:rPr>
        <w:t>o</w:t>
      </w:r>
      <w:r w:rsidRPr="002E5FF5">
        <w:rPr>
          <w:rFonts w:ascii="Times New Roman" w:hAnsi="Times New Roman"/>
          <w:sz w:val="24"/>
          <w:szCs w:val="24"/>
          <w:lang w:eastAsia="en-GB"/>
        </w:rPr>
        <w:t xml:space="preserve"> produkto pate</w:t>
      </w:r>
      <w:r>
        <w:rPr>
          <w:rFonts w:ascii="Times New Roman" w:hAnsi="Times New Roman"/>
          <w:sz w:val="24"/>
          <w:szCs w:val="24"/>
          <w:lang w:eastAsia="en-GB"/>
        </w:rPr>
        <w:t>ikimas pakenkė prekių ženklo ir (</w:t>
      </w:r>
      <w:r w:rsidRPr="002E5FF5">
        <w:rPr>
          <w:rFonts w:ascii="Times New Roman" w:hAnsi="Times New Roman"/>
          <w:sz w:val="24"/>
          <w:szCs w:val="24"/>
          <w:lang w:eastAsia="en-GB"/>
        </w:rPr>
        <w:t>ar</w:t>
      </w:r>
      <w:r>
        <w:rPr>
          <w:rFonts w:ascii="Times New Roman" w:hAnsi="Times New Roman"/>
          <w:sz w:val="24"/>
          <w:szCs w:val="24"/>
          <w:lang w:eastAsia="en-GB"/>
        </w:rPr>
        <w:t>)</w:t>
      </w:r>
      <w:r w:rsidRPr="002E5FF5">
        <w:rPr>
          <w:rFonts w:ascii="Times New Roman" w:hAnsi="Times New Roman"/>
          <w:sz w:val="24"/>
          <w:szCs w:val="24"/>
          <w:lang w:eastAsia="en-GB"/>
        </w:rPr>
        <w:t xml:space="preserve"> jo savininko rep</w:t>
      </w:r>
      <w:r>
        <w:rPr>
          <w:rFonts w:ascii="Times New Roman" w:hAnsi="Times New Roman"/>
          <w:sz w:val="24"/>
          <w:szCs w:val="24"/>
          <w:lang w:eastAsia="en-GB"/>
        </w:rPr>
        <w:t xml:space="preserve">utacijai. </w:t>
      </w:r>
      <w:r w:rsidR="00634A51">
        <w:rPr>
          <w:rFonts w:ascii="Times New Roman" w:hAnsi="Times New Roman"/>
          <w:sz w:val="24"/>
          <w:szCs w:val="24"/>
          <w:lang w:eastAsia="en-GB"/>
        </w:rPr>
        <w:t>Anot teismo</w:t>
      </w:r>
      <w:r w:rsidR="004120CA">
        <w:rPr>
          <w:rFonts w:ascii="Times New Roman" w:hAnsi="Times New Roman"/>
          <w:sz w:val="24"/>
          <w:szCs w:val="24"/>
          <w:lang w:eastAsia="en-GB"/>
        </w:rPr>
        <w:t>, ieškovė, t</w:t>
      </w:r>
      <w:r>
        <w:rPr>
          <w:rFonts w:ascii="Times New Roman" w:hAnsi="Times New Roman"/>
          <w:sz w:val="24"/>
          <w:szCs w:val="24"/>
          <w:lang w:eastAsia="en-GB"/>
        </w:rPr>
        <w:t>eigdama, kad atsakovė, pervadindama ir perpakuodama</w:t>
      </w:r>
      <w:r w:rsidRPr="002E5FF5">
        <w:rPr>
          <w:rFonts w:ascii="Times New Roman" w:hAnsi="Times New Roman"/>
          <w:sz w:val="24"/>
          <w:szCs w:val="24"/>
          <w:lang w:eastAsia="en-GB"/>
        </w:rPr>
        <w:t xml:space="preserve"> vaistinius preparatus</w:t>
      </w:r>
      <w:r>
        <w:rPr>
          <w:rFonts w:ascii="Times New Roman" w:hAnsi="Times New Roman"/>
          <w:sz w:val="24"/>
          <w:szCs w:val="24"/>
          <w:lang w:eastAsia="en-GB"/>
        </w:rPr>
        <w:t>,</w:t>
      </w:r>
      <w:r w:rsidRPr="002E5FF5">
        <w:rPr>
          <w:rFonts w:ascii="Times New Roman" w:hAnsi="Times New Roman"/>
          <w:sz w:val="24"/>
          <w:szCs w:val="24"/>
          <w:lang w:eastAsia="en-GB"/>
        </w:rPr>
        <w:t xml:space="preserve"> siekia komercinio pranašumo, </w:t>
      </w:r>
      <w:r>
        <w:rPr>
          <w:rFonts w:ascii="Times New Roman" w:hAnsi="Times New Roman"/>
          <w:sz w:val="24"/>
          <w:szCs w:val="24"/>
          <w:lang w:eastAsia="en-GB"/>
        </w:rPr>
        <w:t xml:space="preserve">jokių šiuos teiginius pagrindžiančių </w:t>
      </w:r>
      <w:r w:rsidRPr="002E5FF5">
        <w:rPr>
          <w:rFonts w:ascii="Times New Roman" w:hAnsi="Times New Roman"/>
          <w:sz w:val="24"/>
          <w:szCs w:val="24"/>
          <w:lang w:eastAsia="en-GB"/>
        </w:rPr>
        <w:t xml:space="preserve">duomenų nepateikė. </w:t>
      </w:r>
      <w:r w:rsidR="00634A51">
        <w:rPr>
          <w:rFonts w:ascii="Times New Roman" w:hAnsi="Times New Roman"/>
          <w:sz w:val="24"/>
          <w:szCs w:val="24"/>
          <w:lang w:eastAsia="en-GB"/>
        </w:rPr>
        <w:t>Teismo nuomone, b</w:t>
      </w:r>
      <w:r w:rsidRPr="002E5FF5">
        <w:rPr>
          <w:rFonts w:ascii="Times New Roman" w:hAnsi="Times New Roman"/>
          <w:sz w:val="24"/>
          <w:szCs w:val="24"/>
          <w:lang w:eastAsia="en-GB"/>
        </w:rPr>
        <w:t>yloje esantys duomenys patvirtina, kad tiek i</w:t>
      </w:r>
      <w:r>
        <w:rPr>
          <w:rFonts w:ascii="Times New Roman" w:hAnsi="Times New Roman"/>
          <w:sz w:val="24"/>
          <w:szCs w:val="24"/>
          <w:lang w:eastAsia="en-GB"/>
        </w:rPr>
        <w:t>eškovės</w:t>
      </w:r>
      <w:r w:rsidRPr="002E5FF5">
        <w:rPr>
          <w:rFonts w:ascii="Times New Roman" w:hAnsi="Times New Roman"/>
          <w:sz w:val="24"/>
          <w:szCs w:val="24"/>
          <w:lang w:eastAsia="en-GB"/>
        </w:rPr>
        <w:t xml:space="preserve">, tiek </w:t>
      </w:r>
      <w:r>
        <w:rPr>
          <w:rFonts w:ascii="Times New Roman" w:hAnsi="Times New Roman"/>
          <w:sz w:val="24"/>
          <w:szCs w:val="24"/>
          <w:lang w:eastAsia="en-GB"/>
        </w:rPr>
        <w:t>ir atsakovės</w:t>
      </w:r>
      <w:r w:rsidRPr="002E5FF5">
        <w:rPr>
          <w:rFonts w:ascii="Times New Roman" w:hAnsi="Times New Roman"/>
          <w:sz w:val="24"/>
          <w:szCs w:val="24"/>
          <w:lang w:eastAsia="en-GB"/>
        </w:rPr>
        <w:t>, kaip vaistinių preparatų lygiagre</w:t>
      </w:r>
      <w:r w:rsidR="008D6747">
        <w:rPr>
          <w:rFonts w:ascii="Times New Roman" w:hAnsi="Times New Roman"/>
          <w:sz w:val="24"/>
          <w:szCs w:val="24"/>
          <w:lang w:eastAsia="en-GB"/>
        </w:rPr>
        <w:t>čios</w:t>
      </w:r>
      <w:r w:rsidRPr="002E5FF5">
        <w:rPr>
          <w:rFonts w:ascii="Times New Roman" w:hAnsi="Times New Roman"/>
          <w:sz w:val="24"/>
          <w:szCs w:val="24"/>
          <w:lang w:eastAsia="en-GB"/>
        </w:rPr>
        <w:t xml:space="preserve"> importuotojo</w:t>
      </w:r>
      <w:r w:rsidR="008D6747">
        <w:rPr>
          <w:rFonts w:ascii="Times New Roman" w:hAnsi="Times New Roman"/>
          <w:sz w:val="24"/>
          <w:szCs w:val="24"/>
          <w:lang w:eastAsia="en-GB"/>
        </w:rPr>
        <w:t>s</w:t>
      </w:r>
      <w:r w:rsidRPr="002E5FF5">
        <w:rPr>
          <w:rFonts w:ascii="Times New Roman" w:hAnsi="Times New Roman"/>
          <w:sz w:val="24"/>
          <w:szCs w:val="24"/>
          <w:lang w:eastAsia="en-GB"/>
        </w:rPr>
        <w:t xml:space="preserve">, Lietuvos vaistinėse parduodamo vaistinio preparato kaina yra vienoda, </w:t>
      </w:r>
      <w:r>
        <w:rPr>
          <w:rFonts w:ascii="Times New Roman" w:hAnsi="Times New Roman"/>
          <w:sz w:val="24"/>
          <w:szCs w:val="24"/>
          <w:lang w:eastAsia="en-GB"/>
        </w:rPr>
        <w:t>nors pati ieškovė</w:t>
      </w:r>
      <w:r w:rsidRPr="002E5FF5">
        <w:rPr>
          <w:rFonts w:ascii="Times New Roman" w:hAnsi="Times New Roman"/>
          <w:sz w:val="24"/>
          <w:szCs w:val="24"/>
          <w:lang w:eastAsia="en-GB"/>
        </w:rPr>
        <w:t xml:space="preserve"> tam pačiam (identiškam) vaistiniam preparatui skirtingose Eur</w:t>
      </w:r>
      <w:r>
        <w:rPr>
          <w:rFonts w:ascii="Times New Roman" w:hAnsi="Times New Roman"/>
          <w:sz w:val="24"/>
          <w:szCs w:val="24"/>
          <w:lang w:eastAsia="en-GB"/>
        </w:rPr>
        <w:t xml:space="preserve">opos </w:t>
      </w:r>
      <w:r w:rsidR="004120CA">
        <w:rPr>
          <w:rFonts w:ascii="Times New Roman" w:hAnsi="Times New Roman"/>
          <w:sz w:val="24"/>
          <w:szCs w:val="24"/>
          <w:lang w:eastAsia="en-GB"/>
        </w:rPr>
        <w:t>S</w:t>
      </w:r>
      <w:r>
        <w:rPr>
          <w:rFonts w:ascii="Times New Roman" w:hAnsi="Times New Roman"/>
          <w:sz w:val="24"/>
          <w:szCs w:val="24"/>
          <w:lang w:eastAsia="en-GB"/>
        </w:rPr>
        <w:t xml:space="preserve">ąjungos valstybėse, t. y. Vengrijoje ir Lietuvoje, taiko skirtingą kainodarą, o </w:t>
      </w:r>
      <w:r w:rsidRPr="002E5FF5">
        <w:rPr>
          <w:rFonts w:ascii="Times New Roman" w:hAnsi="Times New Roman"/>
          <w:sz w:val="24"/>
          <w:szCs w:val="24"/>
          <w:lang w:eastAsia="en-GB"/>
        </w:rPr>
        <w:t>kainos skirtumas yra itin reikšmingas (pvz.</w:t>
      </w:r>
      <w:r w:rsidR="004120CA">
        <w:rPr>
          <w:rFonts w:ascii="Times New Roman" w:hAnsi="Times New Roman"/>
          <w:sz w:val="24"/>
          <w:szCs w:val="24"/>
          <w:lang w:eastAsia="en-GB"/>
        </w:rPr>
        <w:t>,</w:t>
      </w:r>
      <w:r w:rsidRPr="002E5FF5">
        <w:rPr>
          <w:rFonts w:ascii="Times New Roman" w:hAnsi="Times New Roman"/>
          <w:sz w:val="24"/>
          <w:szCs w:val="24"/>
          <w:lang w:eastAsia="en-GB"/>
        </w:rPr>
        <w:t xml:space="preserve"> </w:t>
      </w:r>
      <w:r w:rsidR="004120CA">
        <w:rPr>
          <w:rFonts w:ascii="Times New Roman" w:hAnsi="Times New Roman"/>
          <w:sz w:val="24"/>
          <w:szCs w:val="24"/>
          <w:lang w:eastAsia="en-GB"/>
        </w:rPr>
        <w:t>„</w:t>
      </w:r>
      <w:proofErr w:type="spellStart"/>
      <w:r w:rsidRPr="002E5FF5">
        <w:rPr>
          <w:rFonts w:ascii="Times New Roman" w:hAnsi="Times New Roman"/>
          <w:sz w:val="24"/>
          <w:szCs w:val="24"/>
          <w:lang w:eastAsia="en-GB"/>
        </w:rPr>
        <w:t>Letrox</w:t>
      </w:r>
      <w:proofErr w:type="spellEnd"/>
      <w:r w:rsidRPr="002E5FF5">
        <w:rPr>
          <w:rFonts w:ascii="Times New Roman" w:hAnsi="Times New Roman"/>
          <w:sz w:val="24"/>
          <w:szCs w:val="24"/>
          <w:lang w:eastAsia="en-GB"/>
        </w:rPr>
        <w:t xml:space="preserve"> 100 </w:t>
      </w:r>
      <w:proofErr w:type="spellStart"/>
      <w:r w:rsidRPr="002E5FF5">
        <w:rPr>
          <w:rFonts w:ascii="Times New Roman" w:hAnsi="Times New Roman"/>
          <w:sz w:val="24"/>
          <w:szCs w:val="24"/>
          <w:lang w:eastAsia="en-GB"/>
        </w:rPr>
        <w:t>μg</w:t>
      </w:r>
      <w:proofErr w:type="spellEnd"/>
      <w:r w:rsidRPr="002E5FF5">
        <w:rPr>
          <w:rFonts w:ascii="Times New Roman" w:hAnsi="Times New Roman"/>
          <w:sz w:val="24"/>
          <w:szCs w:val="24"/>
          <w:lang w:eastAsia="en-GB"/>
        </w:rPr>
        <w:t xml:space="preserve"> N100</w:t>
      </w:r>
      <w:r w:rsidR="004120CA">
        <w:rPr>
          <w:rFonts w:ascii="Times New Roman" w:hAnsi="Times New Roman"/>
          <w:sz w:val="24"/>
          <w:szCs w:val="24"/>
          <w:lang w:eastAsia="en-GB"/>
        </w:rPr>
        <w:t>“</w:t>
      </w:r>
      <w:r w:rsidR="008D6747">
        <w:rPr>
          <w:rFonts w:ascii="Times New Roman" w:hAnsi="Times New Roman"/>
          <w:sz w:val="24"/>
          <w:szCs w:val="24"/>
          <w:lang w:eastAsia="en-GB"/>
        </w:rPr>
        <w:t>,</w:t>
      </w:r>
      <w:r w:rsidRPr="002E5FF5">
        <w:rPr>
          <w:rFonts w:ascii="Times New Roman" w:hAnsi="Times New Roman"/>
          <w:sz w:val="24"/>
          <w:szCs w:val="24"/>
          <w:lang w:eastAsia="en-GB"/>
        </w:rPr>
        <w:t xml:space="preserve"> kaip </w:t>
      </w:r>
      <w:r w:rsidR="004120CA">
        <w:rPr>
          <w:rFonts w:ascii="Times New Roman" w:hAnsi="Times New Roman"/>
          <w:sz w:val="24"/>
          <w:szCs w:val="24"/>
          <w:lang w:eastAsia="en-GB"/>
        </w:rPr>
        <w:t>„</w:t>
      </w:r>
      <w:r w:rsidRPr="002E5FF5">
        <w:rPr>
          <w:rFonts w:ascii="Times New Roman" w:hAnsi="Times New Roman"/>
          <w:sz w:val="24"/>
          <w:szCs w:val="24"/>
          <w:lang w:eastAsia="en-GB"/>
        </w:rPr>
        <w:t>L-</w:t>
      </w:r>
      <w:proofErr w:type="spellStart"/>
      <w:r w:rsidRPr="002E5FF5">
        <w:rPr>
          <w:rFonts w:ascii="Times New Roman" w:hAnsi="Times New Roman"/>
          <w:sz w:val="24"/>
          <w:szCs w:val="24"/>
          <w:lang w:eastAsia="en-GB"/>
        </w:rPr>
        <w:t>Thyroxin</w:t>
      </w:r>
      <w:proofErr w:type="spellEnd"/>
      <w:r w:rsidRPr="002E5FF5">
        <w:rPr>
          <w:rFonts w:ascii="Times New Roman" w:hAnsi="Times New Roman"/>
          <w:sz w:val="24"/>
          <w:szCs w:val="24"/>
          <w:lang w:eastAsia="en-GB"/>
        </w:rPr>
        <w:t xml:space="preserve"> </w:t>
      </w:r>
      <w:proofErr w:type="spellStart"/>
      <w:r w:rsidRPr="002E5FF5">
        <w:rPr>
          <w:rFonts w:ascii="Times New Roman" w:hAnsi="Times New Roman"/>
          <w:sz w:val="24"/>
          <w:szCs w:val="24"/>
          <w:lang w:eastAsia="en-GB"/>
        </w:rPr>
        <w:t>Berlin-Chemie</w:t>
      </w:r>
      <w:proofErr w:type="spellEnd"/>
      <w:r w:rsidRPr="002E5FF5">
        <w:rPr>
          <w:rFonts w:ascii="Times New Roman" w:hAnsi="Times New Roman"/>
          <w:sz w:val="24"/>
          <w:szCs w:val="24"/>
          <w:lang w:eastAsia="en-GB"/>
        </w:rPr>
        <w:t xml:space="preserve"> 100 </w:t>
      </w:r>
      <w:proofErr w:type="spellStart"/>
      <w:r w:rsidRPr="002E5FF5">
        <w:rPr>
          <w:rFonts w:ascii="Times New Roman" w:hAnsi="Times New Roman"/>
          <w:sz w:val="24"/>
          <w:szCs w:val="24"/>
          <w:lang w:eastAsia="en-GB"/>
        </w:rPr>
        <w:t>μg</w:t>
      </w:r>
      <w:proofErr w:type="spellEnd"/>
      <w:r w:rsidRPr="002E5FF5">
        <w:rPr>
          <w:rFonts w:ascii="Times New Roman" w:hAnsi="Times New Roman"/>
          <w:sz w:val="24"/>
          <w:szCs w:val="24"/>
          <w:lang w:eastAsia="en-GB"/>
        </w:rPr>
        <w:t xml:space="preserve"> N100</w:t>
      </w:r>
      <w:r w:rsidR="004120CA">
        <w:rPr>
          <w:rFonts w:ascii="Times New Roman" w:hAnsi="Times New Roman"/>
          <w:sz w:val="24"/>
          <w:szCs w:val="24"/>
          <w:lang w:eastAsia="en-GB"/>
        </w:rPr>
        <w:t>“</w:t>
      </w:r>
      <w:r w:rsidR="008D6747">
        <w:rPr>
          <w:rFonts w:ascii="Times New Roman" w:hAnsi="Times New Roman"/>
          <w:sz w:val="24"/>
          <w:szCs w:val="24"/>
          <w:lang w:eastAsia="en-GB"/>
        </w:rPr>
        <w:t>,</w:t>
      </w:r>
      <w:r w:rsidRPr="002E5FF5">
        <w:rPr>
          <w:rFonts w:ascii="Times New Roman" w:hAnsi="Times New Roman"/>
          <w:sz w:val="24"/>
          <w:szCs w:val="24"/>
          <w:lang w:eastAsia="en-GB"/>
        </w:rPr>
        <w:t xml:space="preserve"> Ve</w:t>
      </w:r>
      <w:r>
        <w:rPr>
          <w:rFonts w:ascii="Times New Roman" w:hAnsi="Times New Roman"/>
          <w:sz w:val="24"/>
          <w:szCs w:val="24"/>
          <w:lang w:eastAsia="en-GB"/>
        </w:rPr>
        <w:t>ngrijoje kainuoja 2,37</w:t>
      </w:r>
      <w:r w:rsidR="00634A51">
        <w:rPr>
          <w:rFonts w:ascii="Times New Roman" w:hAnsi="Times New Roman"/>
          <w:sz w:val="24"/>
          <w:szCs w:val="24"/>
          <w:lang w:eastAsia="en-GB"/>
        </w:rPr>
        <w:t> </w:t>
      </w:r>
      <w:r>
        <w:rPr>
          <w:rFonts w:ascii="Times New Roman" w:hAnsi="Times New Roman"/>
          <w:sz w:val="24"/>
          <w:szCs w:val="24"/>
          <w:lang w:eastAsia="en-GB"/>
        </w:rPr>
        <w:t>Eur, o Lietuvoje – 6,31 Eur)</w:t>
      </w:r>
      <w:r w:rsidRPr="002E5FF5">
        <w:rPr>
          <w:rFonts w:ascii="Times New Roman" w:hAnsi="Times New Roman"/>
          <w:sz w:val="24"/>
          <w:szCs w:val="24"/>
          <w:lang w:eastAsia="en-GB"/>
        </w:rPr>
        <w:t>.</w:t>
      </w:r>
    </w:p>
    <w:p w14:paraId="37DF2F02" w14:textId="5AFA44E3" w:rsidR="00A96BE0" w:rsidRPr="006E2D25"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color w:val="000000"/>
          <w:sz w:val="24"/>
          <w:szCs w:val="24"/>
        </w:rPr>
      </w:pPr>
      <w:r w:rsidRPr="006E2D25">
        <w:rPr>
          <w:rFonts w:ascii="Times New Roman" w:hAnsi="Times New Roman"/>
          <w:sz w:val="24"/>
          <w:szCs w:val="24"/>
          <w:lang w:eastAsia="en-GB"/>
        </w:rPr>
        <w:t xml:space="preserve">Įvertinęs byloje </w:t>
      </w:r>
      <w:r w:rsidR="004120CA">
        <w:rPr>
          <w:rFonts w:ascii="Times New Roman" w:hAnsi="Times New Roman"/>
          <w:sz w:val="24"/>
          <w:szCs w:val="24"/>
          <w:lang w:eastAsia="en-GB"/>
        </w:rPr>
        <w:t>esančius</w:t>
      </w:r>
      <w:r w:rsidRPr="006E2D25">
        <w:rPr>
          <w:rFonts w:ascii="Times New Roman" w:hAnsi="Times New Roman"/>
          <w:sz w:val="24"/>
          <w:szCs w:val="24"/>
          <w:lang w:eastAsia="en-GB"/>
        </w:rPr>
        <w:t xml:space="preserve"> įrodymus, teismo posėdžio metu apžiūrėtas vaistinių preparatų pakuotes, teismas konstatavo, kad pervadinimas ir perpakavimas neturi visiškai jokios įtakos pradinei produkto būklei, kadangi pats produktas nėra niekaip pakeičiamas. Naujoje pakuotėje aiškiai nurodoma, kad UAB „</w:t>
      </w:r>
      <w:proofErr w:type="spellStart"/>
      <w:r w:rsidRPr="006E2D25">
        <w:rPr>
          <w:rFonts w:ascii="Times New Roman" w:hAnsi="Times New Roman"/>
          <w:sz w:val="24"/>
          <w:szCs w:val="24"/>
          <w:lang w:eastAsia="en-GB"/>
        </w:rPr>
        <w:t>Lex</w:t>
      </w:r>
      <w:proofErr w:type="spellEnd"/>
      <w:r w:rsidRPr="006E2D25">
        <w:rPr>
          <w:rFonts w:ascii="Times New Roman" w:hAnsi="Times New Roman"/>
          <w:sz w:val="24"/>
          <w:szCs w:val="24"/>
          <w:lang w:eastAsia="en-GB"/>
        </w:rPr>
        <w:t xml:space="preserve"> ano“ perpakavo gaminį, nurodomas gamintojo vardas – </w:t>
      </w:r>
      <w:r w:rsidR="004120CA">
        <w:rPr>
          <w:rFonts w:ascii="Times New Roman" w:hAnsi="Times New Roman"/>
          <w:sz w:val="24"/>
          <w:szCs w:val="24"/>
          <w:lang w:eastAsia="en-GB"/>
        </w:rPr>
        <w:lastRenderedPageBreak/>
        <w:t>„</w:t>
      </w:r>
      <w:proofErr w:type="spellStart"/>
      <w:r w:rsidRPr="006E2D25">
        <w:rPr>
          <w:rFonts w:ascii="Times New Roman" w:hAnsi="Times New Roman"/>
          <w:sz w:val="24"/>
          <w:szCs w:val="24"/>
          <w:lang w:eastAsia="en-GB"/>
        </w:rPr>
        <w:t>Berlin</w:t>
      </w:r>
      <w:proofErr w:type="spellEnd"/>
      <w:r w:rsidRPr="006E2D25">
        <w:rPr>
          <w:rFonts w:ascii="Times New Roman" w:hAnsi="Times New Roman"/>
          <w:sz w:val="24"/>
          <w:szCs w:val="24"/>
          <w:lang w:eastAsia="en-GB"/>
        </w:rPr>
        <w:t xml:space="preserve">- </w:t>
      </w:r>
      <w:proofErr w:type="spellStart"/>
      <w:r w:rsidRPr="006E2D25">
        <w:rPr>
          <w:rFonts w:ascii="Times New Roman" w:hAnsi="Times New Roman"/>
          <w:sz w:val="24"/>
          <w:szCs w:val="24"/>
          <w:lang w:eastAsia="en-GB"/>
        </w:rPr>
        <w:t>Chemie</w:t>
      </w:r>
      <w:proofErr w:type="spellEnd"/>
      <w:r w:rsidRPr="006E2D25">
        <w:rPr>
          <w:rFonts w:ascii="Times New Roman" w:hAnsi="Times New Roman"/>
          <w:sz w:val="24"/>
          <w:szCs w:val="24"/>
          <w:lang w:eastAsia="en-GB"/>
        </w:rPr>
        <w:t xml:space="preserve"> AG</w:t>
      </w:r>
      <w:r w:rsidR="004120CA">
        <w:rPr>
          <w:rFonts w:ascii="Times New Roman" w:hAnsi="Times New Roman"/>
          <w:sz w:val="24"/>
          <w:szCs w:val="24"/>
          <w:lang w:eastAsia="en-GB"/>
        </w:rPr>
        <w:t>“</w:t>
      </w:r>
      <w:r w:rsidRPr="006E2D25">
        <w:rPr>
          <w:rFonts w:ascii="Times New Roman" w:hAnsi="Times New Roman"/>
          <w:sz w:val="24"/>
          <w:szCs w:val="24"/>
          <w:lang w:eastAsia="en-GB"/>
        </w:rPr>
        <w:t xml:space="preserve">, t. y. atskleidžiama informacija, kad šį vaistinį preparatą lygiagrečiai importuoja ir yra atlikusi jo perpakavimą atsakovė, o šio vaistinio preparato gamintoja yra ieškovė. </w:t>
      </w:r>
      <w:r w:rsidR="001A5159">
        <w:rPr>
          <w:rFonts w:ascii="Times New Roman" w:hAnsi="Times New Roman"/>
          <w:sz w:val="24"/>
          <w:szCs w:val="24"/>
          <w:lang w:eastAsia="en-GB"/>
        </w:rPr>
        <w:t>Teismo vertinimu</w:t>
      </w:r>
      <w:r w:rsidRPr="006E2D25">
        <w:rPr>
          <w:rFonts w:ascii="Times New Roman" w:hAnsi="Times New Roman"/>
          <w:sz w:val="24"/>
          <w:szCs w:val="24"/>
          <w:lang w:eastAsia="en-GB"/>
        </w:rPr>
        <w:t>, galutiniai vartotojai, gaudami privalomą informaciją apie lygiagretų importą, be jokių sunkumų gali atskirti, jog atsakovės į Lietuvos rinką tiekiamas vaistas (</w:t>
      </w:r>
      <w:proofErr w:type="spellStart"/>
      <w:r w:rsidRPr="006E2D25">
        <w:rPr>
          <w:rFonts w:ascii="Times New Roman" w:hAnsi="Times New Roman"/>
          <w:sz w:val="24"/>
          <w:szCs w:val="24"/>
          <w:lang w:eastAsia="en-GB"/>
        </w:rPr>
        <w:t>l</w:t>
      </w:r>
      <w:r>
        <w:rPr>
          <w:rFonts w:ascii="Times New Roman" w:hAnsi="Times New Roman"/>
          <w:sz w:val="24"/>
          <w:szCs w:val="24"/>
          <w:lang w:eastAsia="en-GB"/>
        </w:rPr>
        <w:t>e</w:t>
      </w:r>
      <w:r w:rsidRPr="006E2D25">
        <w:rPr>
          <w:rFonts w:ascii="Times New Roman" w:hAnsi="Times New Roman"/>
          <w:sz w:val="24"/>
          <w:szCs w:val="24"/>
          <w:lang w:eastAsia="en-GB"/>
        </w:rPr>
        <w:t>votiroksino</w:t>
      </w:r>
      <w:proofErr w:type="spellEnd"/>
      <w:r w:rsidRPr="006E2D25">
        <w:rPr>
          <w:rFonts w:ascii="Times New Roman" w:hAnsi="Times New Roman"/>
          <w:sz w:val="24"/>
          <w:szCs w:val="24"/>
          <w:lang w:eastAsia="en-GB"/>
        </w:rPr>
        <w:t xml:space="preserve"> natrio druska) yra perpakuotas. Pakuotės yra tvarkingos, be defektų ir visiškai identiškos, išskyrus prierašą apie gamintoją. T</w:t>
      </w:r>
      <w:r w:rsidR="001A5159">
        <w:rPr>
          <w:rFonts w:ascii="Times New Roman" w:hAnsi="Times New Roman"/>
          <w:sz w:val="24"/>
          <w:szCs w:val="24"/>
          <w:lang w:eastAsia="en-GB"/>
        </w:rPr>
        <w:t>eismo nuomone, t</w:t>
      </w:r>
      <w:r w:rsidRPr="006E2D25">
        <w:rPr>
          <w:rFonts w:ascii="Times New Roman" w:hAnsi="Times New Roman"/>
          <w:sz w:val="24"/>
          <w:szCs w:val="24"/>
          <w:lang w:eastAsia="en-GB"/>
        </w:rPr>
        <w:t>ai atitinka Lietuvos Respublikos sveikatos apsaugos ministro 2007 m. kovo 30 d.</w:t>
      </w:r>
      <w:r>
        <w:rPr>
          <w:rFonts w:ascii="Times New Roman" w:hAnsi="Times New Roman"/>
          <w:sz w:val="24"/>
          <w:szCs w:val="24"/>
          <w:lang w:eastAsia="en-GB"/>
        </w:rPr>
        <w:t xml:space="preserve"> įsakymo</w:t>
      </w:r>
      <w:r w:rsidRPr="006E2D25">
        <w:rPr>
          <w:rFonts w:ascii="Times New Roman" w:hAnsi="Times New Roman"/>
          <w:sz w:val="24"/>
          <w:szCs w:val="24"/>
          <w:lang w:eastAsia="en-GB"/>
        </w:rPr>
        <w:t xml:space="preserve"> „Dėl vaistinių preparatų lygiagretaus importo taisyklių patvirtinimo“ Nr. V-228 6.6.1 punkto reikalavi</w:t>
      </w:r>
      <w:r>
        <w:rPr>
          <w:rFonts w:ascii="Times New Roman" w:hAnsi="Times New Roman"/>
          <w:sz w:val="24"/>
          <w:szCs w:val="24"/>
          <w:lang w:eastAsia="en-GB"/>
        </w:rPr>
        <w:t>mus, kad jei perpakuojama vidinė pakuotė</w:t>
      </w:r>
      <w:r w:rsidRPr="006E2D25">
        <w:rPr>
          <w:rFonts w:ascii="Times New Roman" w:hAnsi="Times New Roman"/>
          <w:sz w:val="24"/>
          <w:szCs w:val="24"/>
          <w:lang w:eastAsia="en-GB"/>
        </w:rPr>
        <w:t xml:space="preserve"> perdeda</w:t>
      </w:r>
      <w:r w:rsidR="008D6747">
        <w:rPr>
          <w:rFonts w:ascii="Times New Roman" w:hAnsi="Times New Roman"/>
          <w:sz w:val="24"/>
          <w:szCs w:val="24"/>
          <w:lang w:eastAsia="en-GB"/>
        </w:rPr>
        <w:t>ma</w:t>
      </w:r>
      <w:r w:rsidRPr="006E2D25">
        <w:rPr>
          <w:rFonts w:ascii="Times New Roman" w:hAnsi="Times New Roman"/>
          <w:sz w:val="24"/>
          <w:szCs w:val="24"/>
          <w:lang w:eastAsia="en-GB"/>
        </w:rPr>
        <w:t xml:space="preserve"> į naują išorinę pakuotę, pateikiamas paaiškinimas.</w:t>
      </w:r>
    </w:p>
    <w:p w14:paraId="081B372C" w14:textId="1A4D8CB2" w:rsidR="00A96BE0"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sz w:val="24"/>
          <w:szCs w:val="24"/>
          <w:lang w:eastAsia="en-GB"/>
        </w:rPr>
      </w:pPr>
      <w:r>
        <w:rPr>
          <w:rFonts w:ascii="Times New Roman" w:hAnsi="Times New Roman"/>
          <w:color w:val="000000"/>
          <w:sz w:val="24"/>
          <w:szCs w:val="24"/>
        </w:rPr>
        <w:t xml:space="preserve">Spręsdamas, ar egzistavo objektyvios aplinkybės ir būtinumas perpakuoti bei pervadinti ginčo vaistinius preparatus, teismas nustatė, kad </w:t>
      </w:r>
      <w:r>
        <w:rPr>
          <w:rFonts w:ascii="Times New Roman" w:hAnsi="Times New Roman"/>
          <w:sz w:val="24"/>
          <w:szCs w:val="24"/>
          <w:lang w:eastAsia="en-GB"/>
        </w:rPr>
        <w:t>v</w:t>
      </w:r>
      <w:r w:rsidRPr="00621D82">
        <w:rPr>
          <w:rFonts w:ascii="Times New Roman" w:hAnsi="Times New Roman"/>
          <w:sz w:val="24"/>
          <w:szCs w:val="24"/>
          <w:lang w:eastAsia="en-GB"/>
        </w:rPr>
        <w:t xml:space="preserve">aistinis preparatas </w:t>
      </w:r>
      <w:proofErr w:type="spellStart"/>
      <w:r w:rsidRPr="00621D82">
        <w:rPr>
          <w:rFonts w:ascii="Times New Roman" w:hAnsi="Times New Roman"/>
          <w:sz w:val="24"/>
          <w:szCs w:val="24"/>
          <w:lang w:eastAsia="en-GB"/>
        </w:rPr>
        <w:t>levotiroksino</w:t>
      </w:r>
      <w:proofErr w:type="spellEnd"/>
      <w:r w:rsidRPr="00621D82">
        <w:rPr>
          <w:rFonts w:ascii="Times New Roman" w:hAnsi="Times New Roman"/>
          <w:sz w:val="24"/>
          <w:szCs w:val="24"/>
          <w:lang w:eastAsia="en-GB"/>
        </w:rPr>
        <w:t xml:space="preserve"> natrio druska (</w:t>
      </w:r>
      <w:r w:rsidR="001A5159">
        <w:rPr>
          <w:rFonts w:ascii="Times New Roman" w:hAnsi="Times New Roman"/>
          <w:sz w:val="24"/>
          <w:szCs w:val="24"/>
          <w:lang w:eastAsia="en-GB"/>
        </w:rPr>
        <w:t>„</w:t>
      </w:r>
      <w:r w:rsidRPr="00621D82">
        <w:rPr>
          <w:rFonts w:ascii="Times New Roman" w:hAnsi="Times New Roman"/>
          <w:sz w:val="24"/>
          <w:szCs w:val="24"/>
          <w:lang w:eastAsia="en-GB"/>
        </w:rPr>
        <w:t>L-</w:t>
      </w:r>
      <w:proofErr w:type="spellStart"/>
      <w:r w:rsidRPr="00621D82">
        <w:rPr>
          <w:rFonts w:ascii="Times New Roman" w:hAnsi="Times New Roman"/>
          <w:sz w:val="24"/>
          <w:szCs w:val="24"/>
          <w:lang w:eastAsia="en-GB"/>
        </w:rPr>
        <w:t>Thyronix</w:t>
      </w:r>
      <w:proofErr w:type="spellEnd"/>
      <w:r w:rsidRPr="00621D82">
        <w:rPr>
          <w:rFonts w:ascii="Times New Roman" w:hAnsi="Times New Roman"/>
          <w:sz w:val="24"/>
          <w:szCs w:val="24"/>
          <w:lang w:eastAsia="en-GB"/>
        </w:rPr>
        <w:t xml:space="preserve"> </w:t>
      </w:r>
      <w:proofErr w:type="spellStart"/>
      <w:r w:rsidRPr="00621D82">
        <w:rPr>
          <w:rFonts w:ascii="Times New Roman" w:hAnsi="Times New Roman"/>
          <w:sz w:val="24"/>
          <w:szCs w:val="24"/>
          <w:lang w:eastAsia="en-GB"/>
        </w:rPr>
        <w:t>Berlin-Chemie</w:t>
      </w:r>
      <w:proofErr w:type="spellEnd"/>
      <w:r w:rsidR="001A5159">
        <w:rPr>
          <w:rFonts w:ascii="Times New Roman" w:hAnsi="Times New Roman"/>
          <w:sz w:val="24"/>
          <w:szCs w:val="24"/>
          <w:lang w:eastAsia="en-GB"/>
        </w:rPr>
        <w:t>“</w:t>
      </w:r>
      <w:r w:rsidRPr="00621D82">
        <w:rPr>
          <w:rFonts w:ascii="Times New Roman" w:hAnsi="Times New Roman"/>
          <w:sz w:val="24"/>
          <w:szCs w:val="24"/>
          <w:lang w:eastAsia="en-GB"/>
        </w:rPr>
        <w:t xml:space="preserve">) yra įtrauktas į </w:t>
      </w:r>
      <w:r w:rsidR="008D6747">
        <w:rPr>
          <w:rFonts w:ascii="Times New Roman" w:hAnsi="Times New Roman"/>
          <w:sz w:val="24"/>
          <w:szCs w:val="24"/>
          <w:lang w:eastAsia="en-GB"/>
        </w:rPr>
        <w:t>K</w:t>
      </w:r>
      <w:r w:rsidRPr="00621D82">
        <w:rPr>
          <w:rFonts w:ascii="Times New Roman" w:hAnsi="Times New Roman"/>
          <w:sz w:val="24"/>
          <w:szCs w:val="24"/>
          <w:lang w:eastAsia="en-GB"/>
        </w:rPr>
        <w:t>ompensuojamų</w:t>
      </w:r>
      <w:r w:rsidR="008D6747">
        <w:rPr>
          <w:rFonts w:ascii="Times New Roman" w:hAnsi="Times New Roman"/>
          <w:sz w:val="24"/>
          <w:szCs w:val="24"/>
          <w:lang w:eastAsia="en-GB"/>
        </w:rPr>
        <w:t>jų</w:t>
      </w:r>
      <w:r w:rsidRPr="00621D82">
        <w:rPr>
          <w:rFonts w:ascii="Times New Roman" w:hAnsi="Times New Roman"/>
          <w:sz w:val="24"/>
          <w:szCs w:val="24"/>
          <w:lang w:eastAsia="en-GB"/>
        </w:rPr>
        <w:t xml:space="preserve"> vaistų sąrašą; veiklioji medžiaga – </w:t>
      </w:r>
      <w:proofErr w:type="spellStart"/>
      <w:r w:rsidRPr="00621D82">
        <w:rPr>
          <w:rFonts w:ascii="Times New Roman" w:hAnsi="Times New Roman"/>
          <w:sz w:val="24"/>
          <w:szCs w:val="24"/>
          <w:lang w:eastAsia="en-GB"/>
        </w:rPr>
        <w:t>levotiroksino</w:t>
      </w:r>
      <w:proofErr w:type="spellEnd"/>
      <w:r w:rsidRPr="00621D82">
        <w:rPr>
          <w:rFonts w:ascii="Times New Roman" w:hAnsi="Times New Roman"/>
          <w:sz w:val="24"/>
          <w:szCs w:val="24"/>
          <w:lang w:eastAsia="en-GB"/>
        </w:rPr>
        <w:t xml:space="preserve"> n</w:t>
      </w:r>
      <w:r>
        <w:rPr>
          <w:rFonts w:ascii="Times New Roman" w:hAnsi="Times New Roman"/>
          <w:sz w:val="24"/>
          <w:szCs w:val="24"/>
          <w:lang w:eastAsia="en-GB"/>
        </w:rPr>
        <w:t>atrio druska</w:t>
      </w:r>
      <w:r w:rsidR="008D6747">
        <w:rPr>
          <w:rFonts w:ascii="Times New Roman" w:hAnsi="Times New Roman"/>
          <w:sz w:val="24"/>
          <w:szCs w:val="24"/>
          <w:lang w:eastAsia="en-GB"/>
        </w:rPr>
        <w:t>,</w:t>
      </w:r>
      <w:r>
        <w:rPr>
          <w:rFonts w:ascii="Times New Roman" w:hAnsi="Times New Roman"/>
          <w:sz w:val="24"/>
          <w:szCs w:val="24"/>
          <w:lang w:eastAsia="en-GB"/>
        </w:rPr>
        <w:t xml:space="preserve"> pagal 2020, 2021 metų</w:t>
      </w:r>
      <w:r w:rsidRPr="00621D82">
        <w:rPr>
          <w:rFonts w:ascii="Times New Roman" w:hAnsi="Times New Roman"/>
          <w:sz w:val="24"/>
          <w:szCs w:val="24"/>
          <w:lang w:eastAsia="en-GB"/>
        </w:rPr>
        <w:t xml:space="preserve"> vaistų suvartojimo ataskaitą</w:t>
      </w:r>
      <w:r w:rsidR="008D6747">
        <w:rPr>
          <w:rFonts w:ascii="Times New Roman" w:hAnsi="Times New Roman"/>
          <w:sz w:val="24"/>
          <w:szCs w:val="24"/>
          <w:lang w:eastAsia="en-GB"/>
        </w:rPr>
        <w:t>,</w:t>
      </w:r>
      <w:r w:rsidRPr="00621D82">
        <w:rPr>
          <w:rFonts w:ascii="Times New Roman" w:hAnsi="Times New Roman"/>
          <w:sz w:val="24"/>
          <w:szCs w:val="24"/>
          <w:lang w:eastAsia="en-GB"/>
        </w:rPr>
        <w:t xml:space="preserve"> yra vienas iš daugiausiai parduodamų preparatų pagal bendrinį pavadinimą Lietuvoje; </w:t>
      </w:r>
      <w:r>
        <w:rPr>
          <w:rFonts w:ascii="Times New Roman" w:hAnsi="Times New Roman"/>
          <w:sz w:val="24"/>
          <w:szCs w:val="24"/>
          <w:lang w:eastAsia="en-GB"/>
        </w:rPr>
        <w:t>ieškovė</w:t>
      </w:r>
      <w:r w:rsidRPr="00621D82">
        <w:rPr>
          <w:rFonts w:ascii="Times New Roman" w:hAnsi="Times New Roman"/>
          <w:sz w:val="24"/>
          <w:szCs w:val="24"/>
          <w:lang w:eastAsia="en-GB"/>
        </w:rPr>
        <w:t xml:space="preserve"> </w:t>
      </w:r>
      <w:r>
        <w:rPr>
          <w:rFonts w:ascii="Times New Roman" w:hAnsi="Times New Roman"/>
          <w:sz w:val="24"/>
          <w:szCs w:val="24"/>
          <w:lang w:eastAsia="en-GB"/>
        </w:rPr>
        <w:t>ilgą laiką, t. y. nuo 1995 metų, buvo vienintelė vaistinio preparato tiekėja</w:t>
      </w:r>
      <w:r w:rsidRPr="00621D82">
        <w:rPr>
          <w:rFonts w:ascii="Times New Roman" w:hAnsi="Times New Roman"/>
          <w:sz w:val="24"/>
          <w:szCs w:val="24"/>
          <w:lang w:eastAsia="en-GB"/>
        </w:rPr>
        <w:t xml:space="preserve"> Lietuvoje; </w:t>
      </w:r>
      <w:bookmarkStart w:id="3" w:name="_Hlk155050400"/>
      <w:r w:rsidRPr="00621D82">
        <w:rPr>
          <w:rFonts w:ascii="Times New Roman" w:hAnsi="Times New Roman"/>
          <w:sz w:val="24"/>
          <w:szCs w:val="24"/>
          <w:lang w:eastAsia="en-GB"/>
        </w:rPr>
        <w:t>dabartiniu metu vaistai išrašomi į jų sudėtį įeinančios veikliosios medžiagos bendriniu pavadinimu</w:t>
      </w:r>
      <w:bookmarkEnd w:id="3"/>
      <w:r w:rsidRPr="00621D82">
        <w:rPr>
          <w:rFonts w:ascii="Times New Roman" w:hAnsi="Times New Roman"/>
          <w:sz w:val="24"/>
          <w:szCs w:val="24"/>
          <w:lang w:eastAsia="en-GB"/>
        </w:rPr>
        <w:t xml:space="preserve">, tačiau anksčiau vaistinis preparatas buvo išrašomas </w:t>
      </w:r>
      <w:r w:rsidR="001A5159">
        <w:rPr>
          <w:rFonts w:ascii="Times New Roman" w:hAnsi="Times New Roman"/>
          <w:sz w:val="24"/>
          <w:szCs w:val="24"/>
          <w:lang w:eastAsia="en-GB"/>
        </w:rPr>
        <w:t>„</w:t>
      </w:r>
      <w:r w:rsidRPr="00621D82">
        <w:rPr>
          <w:rFonts w:ascii="Times New Roman" w:hAnsi="Times New Roman"/>
          <w:sz w:val="24"/>
          <w:szCs w:val="24"/>
          <w:lang w:eastAsia="en-GB"/>
        </w:rPr>
        <w:t>L-</w:t>
      </w:r>
      <w:proofErr w:type="spellStart"/>
      <w:r w:rsidRPr="00621D82">
        <w:rPr>
          <w:rFonts w:ascii="Times New Roman" w:hAnsi="Times New Roman"/>
          <w:sz w:val="24"/>
          <w:szCs w:val="24"/>
          <w:lang w:eastAsia="en-GB"/>
        </w:rPr>
        <w:t>tiroksino</w:t>
      </w:r>
      <w:proofErr w:type="spellEnd"/>
      <w:r w:rsidR="001A5159">
        <w:rPr>
          <w:rFonts w:ascii="Times New Roman" w:hAnsi="Times New Roman"/>
          <w:sz w:val="24"/>
          <w:szCs w:val="24"/>
          <w:lang w:eastAsia="en-GB"/>
        </w:rPr>
        <w:t>“</w:t>
      </w:r>
      <w:r w:rsidRPr="00621D82">
        <w:rPr>
          <w:rFonts w:ascii="Times New Roman" w:hAnsi="Times New Roman"/>
          <w:sz w:val="24"/>
          <w:szCs w:val="24"/>
          <w:lang w:eastAsia="en-GB"/>
        </w:rPr>
        <w:t xml:space="preserve"> pavadinimu</w:t>
      </w:r>
      <w:r>
        <w:rPr>
          <w:rFonts w:ascii="Times New Roman" w:hAnsi="Times New Roman"/>
          <w:sz w:val="24"/>
          <w:szCs w:val="24"/>
          <w:lang w:eastAsia="en-GB"/>
        </w:rPr>
        <w:t xml:space="preserve"> ar</w:t>
      </w:r>
      <w:r w:rsidRPr="00621D82">
        <w:rPr>
          <w:rFonts w:ascii="Times New Roman" w:hAnsi="Times New Roman"/>
          <w:sz w:val="24"/>
          <w:szCs w:val="24"/>
          <w:lang w:eastAsia="en-GB"/>
        </w:rPr>
        <w:t xml:space="preserve"> vaistinio preparato pavadi</w:t>
      </w:r>
      <w:r>
        <w:rPr>
          <w:rFonts w:ascii="Times New Roman" w:hAnsi="Times New Roman"/>
          <w:sz w:val="24"/>
          <w:szCs w:val="24"/>
          <w:lang w:eastAsia="en-GB"/>
        </w:rPr>
        <w:t xml:space="preserve">nimu </w:t>
      </w:r>
      <w:r w:rsidR="001A5159">
        <w:rPr>
          <w:rFonts w:ascii="Times New Roman" w:hAnsi="Times New Roman"/>
          <w:sz w:val="24"/>
          <w:szCs w:val="24"/>
          <w:lang w:eastAsia="en-GB"/>
        </w:rPr>
        <w:t>„</w:t>
      </w:r>
      <w:r>
        <w:rPr>
          <w:rFonts w:ascii="Times New Roman" w:hAnsi="Times New Roman"/>
          <w:sz w:val="24"/>
          <w:szCs w:val="24"/>
          <w:lang w:eastAsia="en-GB"/>
        </w:rPr>
        <w:t>L-</w:t>
      </w:r>
      <w:proofErr w:type="spellStart"/>
      <w:r>
        <w:rPr>
          <w:rFonts w:ascii="Times New Roman" w:hAnsi="Times New Roman"/>
          <w:sz w:val="24"/>
          <w:szCs w:val="24"/>
          <w:lang w:eastAsia="en-GB"/>
        </w:rPr>
        <w:t>Thyronix</w:t>
      </w:r>
      <w:proofErr w:type="spellEnd"/>
      <w:r>
        <w:rPr>
          <w:rFonts w:ascii="Times New Roman" w:hAnsi="Times New Roman"/>
          <w:sz w:val="24"/>
          <w:szCs w:val="24"/>
          <w:lang w:eastAsia="en-GB"/>
        </w:rPr>
        <w:t xml:space="preserve"> </w:t>
      </w:r>
      <w:proofErr w:type="spellStart"/>
      <w:r>
        <w:rPr>
          <w:rFonts w:ascii="Times New Roman" w:hAnsi="Times New Roman"/>
          <w:sz w:val="24"/>
          <w:szCs w:val="24"/>
          <w:lang w:eastAsia="en-GB"/>
        </w:rPr>
        <w:t>Berlin-Chemie</w:t>
      </w:r>
      <w:proofErr w:type="spellEnd"/>
      <w:r w:rsidR="001A5159">
        <w:rPr>
          <w:rFonts w:ascii="Times New Roman" w:hAnsi="Times New Roman"/>
          <w:sz w:val="24"/>
          <w:szCs w:val="24"/>
          <w:lang w:eastAsia="en-GB"/>
        </w:rPr>
        <w:t>“</w:t>
      </w:r>
      <w:r>
        <w:rPr>
          <w:rFonts w:ascii="Times New Roman" w:hAnsi="Times New Roman"/>
          <w:sz w:val="24"/>
          <w:szCs w:val="24"/>
          <w:lang w:eastAsia="en-GB"/>
        </w:rPr>
        <w:t>; ieškovė, nors yra įregistravusi</w:t>
      </w:r>
      <w:r w:rsidRPr="00621D82">
        <w:rPr>
          <w:rFonts w:ascii="Times New Roman" w:hAnsi="Times New Roman"/>
          <w:sz w:val="24"/>
          <w:szCs w:val="24"/>
          <w:lang w:eastAsia="en-GB"/>
        </w:rPr>
        <w:t xml:space="preserve"> prekių ženklą „</w:t>
      </w:r>
      <w:proofErr w:type="spellStart"/>
      <w:r w:rsidRPr="00621D82">
        <w:rPr>
          <w:rFonts w:ascii="Times New Roman" w:hAnsi="Times New Roman"/>
          <w:sz w:val="24"/>
          <w:szCs w:val="24"/>
          <w:lang w:eastAsia="en-GB"/>
        </w:rPr>
        <w:t>Letrox</w:t>
      </w:r>
      <w:proofErr w:type="spellEnd"/>
      <w:r w:rsidRPr="00621D82">
        <w:rPr>
          <w:rFonts w:ascii="Times New Roman" w:hAnsi="Times New Roman"/>
          <w:sz w:val="24"/>
          <w:szCs w:val="24"/>
          <w:lang w:eastAsia="en-GB"/>
        </w:rPr>
        <w:t xml:space="preserve">“, niekada šio ženklo </w:t>
      </w:r>
      <w:r>
        <w:rPr>
          <w:rFonts w:ascii="Times New Roman" w:hAnsi="Times New Roman"/>
          <w:sz w:val="24"/>
          <w:szCs w:val="24"/>
          <w:lang w:eastAsia="en-GB"/>
        </w:rPr>
        <w:t>Lietuvos Respublikoje nėra naudojusi; v</w:t>
      </w:r>
      <w:r w:rsidRPr="00621D82">
        <w:rPr>
          <w:rFonts w:ascii="Times New Roman" w:hAnsi="Times New Roman"/>
          <w:sz w:val="24"/>
          <w:szCs w:val="24"/>
          <w:lang w:eastAsia="en-GB"/>
        </w:rPr>
        <w:t xml:space="preserve">aistinis preparatas yra skirtas skydliaukės hormono </w:t>
      </w:r>
      <w:proofErr w:type="spellStart"/>
      <w:r w:rsidRPr="00621D82">
        <w:rPr>
          <w:rFonts w:ascii="Times New Roman" w:hAnsi="Times New Roman"/>
          <w:sz w:val="24"/>
          <w:szCs w:val="24"/>
          <w:lang w:eastAsia="en-GB"/>
        </w:rPr>
        <w:t>levotiroksino</w:t>
      </w:r>
      <w:proofErr w:type="spellEnd"/>
      <w:r w:rsidRPr="00621D82">
        <w:rPr>
          <w:rFonts w:ascii="Times New Roman" w:hAnsi="Times New Roman"/>
          <w:sz w:val="24"/>
          <w:szCs w:val="24"/>
          <w:lang w:eastAsia="en-GB"/>
        </w:rPr>
        <w:t xml:space="preserve"> trūkum</w:t>
      </w:r>
      <w:r w:rsidR="008D6747">
        <w:rPr>
          <w:rFonts w:ascii="Times New Roman" w:hAnsi="Times New Roman"/>
          <w:sz w:val="24"/>
          <w:szCs w:val="24"/>
          <w:lang w:eastAsia="en-GB"/>
        </w:rPr>
        <w:t>ui atkurti</w:t>
      </w:r>
      <w:r w:rsidRPr="00621D82">
        <w:rPr>
          <w:rFonts w:ascii="Times New Roman" w:hAnsi="Times New Roman"/>
          <w:sz w:val="24"/>
          <w:szCs w:val="24"/>
          <w:lang w:eastAsia="en-GB"/>
        </w:rPr>
        <w:t xml:space="preserve"> ir paprastai skiriamas ilgam laikui, </w:t>
      </w:r>
      <w:r w:rsidR="001A5159">
        <w:rPr>
          <w:rFonts w:ascii="Times New Roman" w:hAnsi="Times New Roman"/>
          <w:sz w:val="24"/>
          <w:szCs w:val="24"/>
          <w:lang w:eastAsia="en-GB"/>
        </w:rPr>
        <w:t>todėl</w:t>
      </w:r>
      <w:r w:rsidRPr="00621D82">
        <w:rPr>
          <w:rFonts w:ascii="Times New Roman" w:hAnsi="Times New Roman"/>
          <w:sz w:val="24"/>
          <w:szCs w:val="24"/>
          <w:lang w:eastAsia="en-GB"/>
        </w:rPr>
        <w:t xml:space="preserve"> vartotojai natūraliai pripranta prie konkretaus gamintojo, prek</w:t>
      </w:r>
      <w:r w:rsidR="008D6747">
        <w:rPr>
          <w:rFonts w:ascii="Times New Roman" w:hAnsi="Times New Roman"/>
          <w:sz w:val="24"/>
          <w:szCs w:val="24"/>
          <w:lang w:eastAsia="en-GB"/>
        </w:rPr>
        <w:t>ių</w:t>
      </w:r>
      <w:r w:rsidRPr="00621D82">
        <w:rPr>
          <w:rFonts w:ascii="Times New Roman" w:hAnsi="Times New Roman"/>
          <w:sz w:val="24"/>
          <w:szCs w:val="24"/>
          <w:lang w:eastAsia="en-GB"/>
        </w:rPr>
        <w:t xml:space="preserve"> ženklo; sveikatos priežiūros specialistai vaistinį preparatą, kurio sudėtyje yra </w:t>
      </w:r>
      <w:proofErr w:type="spellStart"/>
      <w:r w:rsidRPr="00621D82">
        <w:rPr>
          <w:rFonts w:ascii="Times New Roman" w:hAnsi="Times New Roman"/>
          <w:sz w:val="24"/>
          <w:szCs w:val="24"/>
          <w:lang w:eastAsia="en-GB"/>
        </w:rPr>
        <w:t>lev</w:t>
      </w:r>
      <w:r>
        <w:rPr>
          <w:rFonts w:ascii="Times New Roman" w:hAnsi="Times New Roman"/>
          <w:sz w:val="24"/>
          <w:szCs w:val="24"/>
          <w:lang w:eastAsia="en-GB"/>
        </w:rPr>
        <w:t>o</w:t>
      </w:r>
      <w:r w:rsidRPr="00621D82">
        <w:rPr>
          <w:rFonts w:ascii="Times New Roman" w:hAnsi="Times New Roman"/>
          <w:sz w:val="24"/>
          <w:szCs w:val="24"/>
          <w:lang w:eastAsia="en-GB"/>
        </w:rPr>
        <w:t>t</w:t>
      </w:r>
      <w:r>
        <w:rPr>
          <w:rFonts w:ascii="Times New Roman" w:hAnsi="Times New Roman"/>
          <w:sz w:val="24"/>
          <w:szCs w:val="24"/>
          <w:lang w:eastAsia="en-GB"/>
        </w:rPr>
        <w:t>i</w:t>
      </w:r>
      <w:r w:rsidRPr="00621D82">
        <w:rPr>
          <w:rFonts w:ascii="Times New Roman" w:hAnsi="Times New Roman"/>
          <w:sz w:val="24"/>
          <w:szCs w:val="24"/>
          <w:lang w:eastAsia="en-GB"/>
        </w:rPr>
        <w:t>roksino</w:t>
      </w:r>
      <w:proofErr w:type="spellEnd"/>
      <w:r w:rsidRPr="00621D82">
        <w:rPr>
          <w:rFonts w:ascii="Times New Roman" w:hAnsi="Times New Roman"/>
          <w:sz w:val="24"/>
          <w:szCs w:val="24"/>
          <w:lang w:eastAsia="en-GB"/>
        </w:rPr>
        <w:t xml:space="preserve"> drusk</w:t>
      </w:r>
      <w:r w:rsidR="00797C9F">
        <w:rPr>
          <w:rFonts w:ascii="Times New Roman" w:hAnsi="Times New Roman"/>
          <w:sz w:val="24"/>
          <w:szCs w:val="24"/>
          <w:lang w:eastAsia="en-GB"/>
        </w:rPr>
        <w:t>os</w:t>
      </w:r>
      <w:r>
        <w:rPr>
          <w:rFonts w:ascii="Times New Roman" w:hAnsi="Times New Roman"/>
          <w:sz w:val="24"/>
          <w:szCs w:val="24"/>
          <w:lang w:eastAsia="en-GB"/>
        </w:rPr>
        <w:t>,</w:t>
      </w:r>
      <w:r w:rsidRPr="00621D82">
        <w:rPr>
          <w:rFonts w:ascii="Times New Roman" w:hAnsi="Times New Roman"/>
          <w:sz w:val="24"/>
          <w:szCs w:val="24"/>
          <w:lang w:eastAsia="en-GB"/>
        </w:rPr>
        <w:t xml:space="preserve"> naudoja ne veikliosios medž</w:t>
      </w:r>
      <w:r>
        <w:rPr>
          <w:rFonts w:ascii="Times New Roman" w:hAnsi="Times New Roman"/>
          <w:sz w:val="24"/>
          <w:szCs w:val="24"/>
          <w:lang w:eastAsia="en-GB"/>
        </w:rPr>
        <w:t xml:space="preserve">iagos pavadinimu, o </w:t>
      </w:r>
      <w:r w:rsidR="008D6747">
        <w:rPr>
          <w:rFonts w:ascii="Times New Roman" w:hAnsi="Times New Roman"/>
          <w:sz w:val="24"/>
          <w:szCs w:val="24"/>
          <w:lang w:eastAsia="en-GB"/>
        </w:rPr>
        <w:t>„</w:t>
      </w:r>
      <w:r>
        <w:rPr>
          <w:rFonts w:ascii="Times New Roman" w:hAnsi="Times New Roman"/>
          <w:sz w:val="24"/>
          <w:szCs w:val="24"/>
          <w:lang w:eastAsia="en-GB"/>
        </w:rPr>
        <w:t>L-</w:t>
      </w:r>
      <w:proofErr w:type="spellStart"/>
      <w:r>
        <w:rPr>
          <w:rFonts w:ascii="Times New Roman" w:hAnsi="Times New Roman"/>
          <w:sz w:val="24"/>
          <w:szCs w:val="24"/>
          <w:lang w:eastAsia="en-GB"/>
        </w:rPr>
        <w:t>tiroksino</w:t>
      </w:r>
      <w:proofErr w:type="spellEnd"/>
      <w:r w:rsidR="008D6747">
        <w:rPr>
          <w:rFonts w:ascii="Times New Roman" w:hAnsi="Times New Roman"/>
          <w:sz w:val="24"/>
          <w:szCs w:val="24"/>
          <w:lang w:eastAsia="en-GB"/>
        </w:rPr>
        <w:t>“</w:t>
      </w:r>
      <w:r>
        <w:rPr>
          <w:rFonts w:ascii="Times New Roman" w:hAnsi="Times New Roman"/>
          <w:sz w:val="24"/>
          <w:szCs w:val="24"/>
          <w:lang w:eastAsia="en-GB"/>
        </w:rPr>
        <w:t xml:space="preserve"> pavadinimu</w:t>
      </w:r>
      <w:r w:rsidRPr="00621D82">
        <w:rPr>
          <w:rFonts w:ascii="Times New Roman" w:hAnsi="Times New Roman"/>
          <w:sz w:val="24"/>
          <w:szCs w:val="24"/>
          <w:lang w:eastAsia="en-GB"/>
        </w:rPr>
        <w:t>.</w:t>
      </w:r>
    </w:p>
    <w:p w14:paraId="1720457D" w14:textId="0F970ABE" w:rsidR="00A96BE0" w:rsidRPr="00135457"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color w:val="000000"/>
          <w:sz w:val="24"/>
          <w:szCs w:val="24"/>
        </w:rPr>
      </w:pPr>
      <w:r w:rsidRPr="00135457">
        <w:rPr>
          <w:rFonts w:ascii="Times New Roman" w:hAnsi="Times New Roman"/>
          <w:color w:val="000000"/>
          <w:sz w:val="24"/>
          <w:szCs w:val="24"/>
        </w:rPr>
        <w:t>Teismas pažymėjo</w:t>
      </w:r>
      <w:r w:rsidR="001A5159">
        <w:rPr>
          <w:rFonts w:ascii="Times New Roman" w:hAnsi="Times New Roman"/>
          <w:color w:val="000000"/>
          <w:sz w:val="24"/>
          <w:szCs w:val="24"/>
        </w:rPr>
        <w:t>,</w:t>
      </w:r>
      <w:r w:rsidRPr="00135457">
        <w:rPr>
          <w:rFonts w:ascii="Times New Roman" w:hAnsi="Times New Roman"/>
          <w:color w:val="000000"/>
          <w:sz w:val="24"/>
          <w:szCs w:val="24"/>
        </w:rPr>
        <w:t xml:space="preserve"> kad </w:t>
      </w:r>
      <w:r w:rsidRPr="00135457">
        <w:rPr>
          <w:rFonts w:ascii="Times New Roman" w:hAnsi="Times New Roman"/>
          <w:sz w:val="24"/>
          <w:szCs w:val="24"/>
          <w:lang w:eastAsia="en-GB"/>
        </w:rPr>
        <w:t>ir išvadą teikiančios institucijos – Valstybinės lig</w:t>
      </w:r>
      <w:r w:rsidR="008D6747">
        <w:rPr>
          <w:rFonts w:ascii="Times New Roman" w:hAnsi="Times New Roman"/>
          <w:sz w:val="24"/>
          <w:szCs w:val="24"/>
          <w:lang w:eastAsia="en-GB"/>
        </w:rPr>
        <w:t>o</w:t>
      </w:r>
      <w:r w:rsidRPr="00135457">
        <w:rPr>
          <w:rFonts w:ascii="Times New Roman" w:hAnsi="Times New Roman"/>
          <w:sz w:val="24"/>
          <w:szCs w:val="24"/>
          <w:lang w:eastAsia="en-GB"/>
        </w:rPr>
        <w:t xml:space="preserve">nių kasos prie Lietuvos Respublikos sveikatos apsaugos ministerijos (toliau – </w:t>
      </w:r>
      <w:r>
        <w:rPr>
          <w:rFonts w:ascii="Times New Roman" w:hAnsi="Times New Roman"/>
          <w:sz w:val="24"/>
          <w:szCs w:val="24"/>
          <w:lang w:eastAsia="en-GB"/>
        </w:rPr>
        <w:t>VLK</w:t>
      </w:r>
      <w:r w:rsidRPr="00135457">
        <w:rPr>
          <w:rFonts w:ascii="Times New Roman" w:hAnsi="Times New Roman"/>
          <w:sz w:val="24"/>
          <w:szCs w:val="24"/>
          <w:lang w:eastAsia="en-GB"/>
        </w:rPr>
        <w:t>)</w:t>
      </w:r>
      <w:r w:rsidR="008D6747">
        <w:rPr>
          <w:rFonts w:ascii="Times New Roman" w:hAnsi="Times New Roman"/>
          <w:sz w:val="24"/>
          <w:szCs w:val="24"/>
          <w:lang w:eastAsia="en-GB"/>
        </w:rPr>
        <w:t xml:space="preserve"> –</w:t>
      </w:r>
      <w:r w:rsidRPr="00135457">
        <w:rPr>
          <w:rFonts w:ascii="Times New Roman" w:hAnsi="Times New Roman"/>
          <w:sz w:val="24"/>
          <w:szCs w:val="24"/>
          <w:lang w:eastAsia="en-GB"/>
        </w:rPr>
        <w:t xml:space="preserve"> išvadose nurodoma, </w:t>
      </w:r>
      <w:r w:rsidR="001A5159">
        <w:rPr>
          <w:rFonts w:ascii="Times New Roman" w:hAnsi="Times New Roman"/>
          <w:sz w:val="24"/>
          <w:szCs w:val="24"/>
          <w:lang w:eastAsia="en-GB"/>
        </w:rPr>
        <w:t>jog</w:t>
      </w:r>
      <w:r w:rsidRPr="00135457">
        <w:rPr>
          <w:rFonts w:ascii="Times New Roman" w:hAnsi="Times New Roman"/>
          <w:sz w:val="24"/>
          <w:szCs w:val="24"/>
          <w:lang w:eastAsia="en-GB"/>
        </w:rPr>
        <w:t xml:space="preserve"> pacientai sunkiai renkasi vaistus, kurie jiems nežinomi, dauguma pacientų rinktųsi tą patį vaistą, kokį ir anksčiau vartojo. Tai patvirtina ir </w:t>
      </w:r>
      <w:r>
        <w:rPr>
          <w:rFonts w:ascii="Times New Roman" w:hAnsi="Times New Roman"/>
          <w:sz w:val="24"/>
          <w:szCs w:val="24"/>
          <w:lang w:eastAsia="en-GB"/>
        </w:rPr>
        <w:t>VLK</w:t>
      </w:r>
      <w:r w:rsidRPr="00135457">
        <w:rPr>
          <w:rFonts w:ascii="Times New Roman" w:hAnsi="Times New Roman"/>
          <w:sz w:val="24"/>
          <w:szCs w:val="24"/>
          <w:lang w:eastAsia="en-GB"/>
        </w:rPr>
        <w:t xml:space="preserve"> užsakymu atliktas </w:t>
      </w:r>
      <w:r w:rsidR="00DC408F">
        <w:rPr>
          <w:rFonts w:ascii="Times New Roman" w:hAnsi="Times New Roman"/>
          <w:sz w:val="24"/>
          <w:szCs w:val="24"/>
          <w:lang w:eastAsia="en-GB"/>
        </w:rPr>
        <w:t>š</w:t>
      </w:r>
      <w:r w:rsidRPr="00135457">
        <w:rPr>
          <w:rFonts w:ascii="Times New Roman" w:hAnsi="Times New Roman"/>
          <w:sz w:val="24"/>
          <w:szCs w:val="24"/>
          <w:lang w:eastAsia="en-GB"/>
        </w:rPr>
        <w:t xml:space="preserve">alies gyventojų informuotumo ir pasitikėjimo PSD sistema bei ligonių kasomis sociologinis tyrimas. </w:t>
      </w:r>
      <w:r w:rsidR="001A5159">
        <w:rPr>
          <w:rFonts w:ascii="Times New Roman" w:hAnsi="Times New Roman"/>
          <w:sz w:val="24"/>
          <w:szCs w:val="24"/>
          <w:lang w:eastAsia="en-GB"/>
        </w:rPr>
        <w:t>Teismo vertinimu</w:t>
      </w:r>
      <w:r w:rsidRPr="00135457">
        <w:rPr>
          <w:rFonts w:ascii="Times New Roman" w:hAnsi="Times New Roman"/>
          <w:sz w:val="24"/>
          <w:szCs w:val="24"/>
          <w:lang w:eastAsia="en-GB"/>
        </w:rPr>
        <w:t xml:space="preserve">, per tokį ilgą laikotarpį </w:t>
      </w:r>
      <w:bookmarkStart w:id="4" w:name="_Hlk155772622"/>
      <w:r w:rsidRPr="00135457">
        <w:rPr>
          <w:rFonts w:ascii="Times New Roman" w:hAnsi="Times New Roman"/>
          <w:sz w:val="24"/>
          <w:szCs w:val="24"/>
          <w:lang w:eastAsia="en-GB"/>
        </w:rPr>
        <w:t>vartotojai bei sveikatos priežiūros specialistai priprato prie vaistinio preparato pavadinimo ir gamintojo, juo labiau kad Lietuvoje ilgą laiką nebuvo jokių kitų jo tiekėjų. Susiformavę vartotojų įpročiai teism</w:t>
      </w:r>
      <w:r w:rsidR="001A5159">
        <w:rPr>
          <w:rFonts w:ascii="Times New Roman" w:hAnsi="Times New Roman"/>
          <w:sz w:val="24"/>
          <w:szCs w:val="24"/>
          <w:lang w:eastAsia="en-GB"/>
        </w:rPr>
        <w:t xml:space="preserve">ui sudarė </w:t>
      </w:r>
      <w:r w:rsidRPr="00135457">
        <w:rPr>
          <w:rFonts w:ascii="Times New Roman" w:hAnsi="Times New Roman"/>
          <w:sz w:val="24"/>
          <w:szCs w:val="24"/>
          <w:lang w:eastAsia="en-GB"/>
        </w:rPr>
        <w:t xml:space="preserve">pakankamą pagrindą konstatuoti </w:t>
      </w:r>
      <w:r>
        <w:rPr>
          <w:rFonts w:ascii="Times New Roman" w:hAnsi="Times New Roman"/>
          <w:sz w:val="24"/>
          <w:szCs w:val="24"/>
          <w:lang w:eastAsia="en-GB"/>
        </w:rPr>
        <w:t xml:space="preserve">buvusį </w:t>
      </w:r>
      <w:r w:rsidRPr="00135457">
        <w:rPr>
          <w:rFonts w:ascii="Times New Roman" w:hAnsi="Times New Roman"/>
          <w:sz w:val="24"/>
          <w:szCs w:val="24"/>
          <w:lang w:eastAsia="en-GB"/>
        </w:rPr>
        <w:t>objektyv</w:t>
      </w:r>
      <w:r>
        <w:rPr>
          <w:rFonts w:ascii="Times New Roman" w:hAnsi="Times New Roman"/>
          <w:sz w:val="24"/>
          <w:szCs w:val="24"/>
          <w:lang w:eastAsia="en-GB"/>
        </w:rPr>
        <w:t>ų</w:t>
      </w:r>
      <w:r w:rsidRPr="00135457">
        <w:rPr>
          <w:rFonts w:ascii="Times New Roman" w:hAnsi="Times New Roman"/>
          <w:sz w:val="24"/>
          <w:szCs w:val="24"/>
          <w:lang w:eastAsia="en-GB"/>
        </w:rPr>
        <w:t xml:space="preserve"> būtinum</w:t>
      </w:r>
      <w:r>
        <w:rPr>
          <w:rFonts w:ascii="Times New Roman" w:hAnsi="Times New Roman"/>
          <w:sz w:val="24"/>
          <w:szCs w:val="24"/>
          <w:lang w:eastAsia="en-GB"/>
        </w:rPr>
        <w:t>ą</w:t>
      </w:r>
      <w:r w:rsidRPr="00135457">
        <w:rPr>
          <w:rFonts w:ascii="Times New Roman" w:hAnsi="Times New Roman"/>
          <w:sz w:val="24"/>
          <w:szCs w:val="24"/>
          <w:lang w:eastAsia="en-GB"/>
        </w:rPr>
        <w:t xml:space="preserve"> pervadinti ir perpakuoti ieškovės gaminimą vaistinį preparatą</w:t>
      </w:r>
      <w:bookmarkEnd w:id="4"/>
      <w:r w:rsidRPr="00135457">
        <w:rPr>
          <w:rFonts w:ascii="Times New Roman" w:hAnsi="Times New Roman"/>
          <w:sz w:val="24"/>
          <w:szCs w:val="24"/>
          <w:lang w:eastAsia="en-GB"/>
        </w:rPr>
        <w:t>.</w:t>
      </w:r>
    </w:p>
    <w:p w14:paraId="4C169038" w14:textId="2BA400BB" w:rsidR="00A96BE0" w:rsidRPr="002E26B4" w:rsidRDefault="00A96BE0" w:rsidP="00A96BE0">
      <w:pPr>
        <w:pStyle w:val="ListParagraph"/>
        <w:numPr>
          <w:ilvl w:val="0"/>
          <w:numId w:val="1"/>
        </w:numPr>
        <w:snapToGrid w:val="0"/>
        <w:spacing w:before="100" w:beforeAutospacing="1" w:after="120" w:line="240" w:lineRule="auto"/>
        <w:contextualSpacing w:val="0"/>
        <w:jc w:val="both"/>
        <w:rPr>
          <w:rFonts w:ascii="Times New Roman" w:hAnsi="Times New Roman"/>
          <w:sz w:val="24"/>
          <w:szCs w:val="24"/>
          <w:lang w:eastAsia="en-GB"/>
        </w:rPr>
      </w:pPr>
      <w:r w:rsidRPr="002E26B4">
        <w:rPr>
          <w:rFonts w:ascii="Times New Roman" w:hAnsi="Times New Roman"/>
          <w:sz w:val="24"/>
          <w:szCs w:val="24"/>
          <w:lang w:eastAsia="en-GB"/>
        </w:rPr>
        <w:t xml:space="preserve">Pagrįstais teismas pripažino atsakovės atsikirtimus, kad ieškovės reikalavimas tiekti į Lietuvos rinką </w:t>
      </w:r>
      <w:proofErr w:type="spellStart"/>
      <w:r w:rsidRPr="002E26B4">
        <w:rPr>
          <w:rFonts w:ascii="Times New Roman" w:hAnsi="Times New Roman"/>
          <w:sz w:val="24"/>
          <w:szCs w:val="24"/>
          <w:lang w:eastAsia="en-GB"/>
        </w:rPr>
        <w:t>levotiroksino</w:t>
      </w:r>
      <w:proofErr w:type="spellEnd"/>
      <w:r w:rsidRPr="002E26B4">
        <w:rPr>
          <w:rFonts w:ascii="Times New Roman" w:hAnsi="Times New Roman"/>
          <w:sz w:val="24"/>
          <w:szCs w:val="24"/>
          <w:lang w:eastAsia="en-GB"/>
        </w:rPr>
        <w:t xml:space="preserve"> vaistus originalia pakuote sudarytų sąlygas galutiniams vaisto vartotojams abejoti vaisto autentiškumu, nes pažeidus pakuotę (tam, kad būtų pakeistas reikalavimus atitinkantis pakuotės lapelis) ant originalios ir jau pažeistos apsaugos priemonės turėtų būti užklijuojama nauja apsaugos priemonė. Šios teismo išvados nepaneigė ir ieškovės argumentai, kad lygiagrečiai importuojamas vaistas būtų priimtinas vartotojams eksporto šalies pavadinimu</w:t>
      </w:r>
      <w:r w:rsidR="001A5159">
        <w:rPr>
          <w:rFonts w:ascii="Times New Roman" w:hAnsi="Times New Roman"/>
          <w:sz w:val="24"/>
          <w:szCs w:val="24"/>
          <w:lang w:eastAsia="en-GB"/>
        </w:rPr>
        <w:t>,</w:t>
      </w:r>
      <w:r w:rsidRPr="002E26B4">
        <w:rPr>
          <w:rFonts w:ascii="Times New Roman" w:hAnsi="Times New Roman"/>
          <w:sz w:val="24"/>
          <w:szCs w:val="24"/>
          <w:lang w:eastAsia="en-GB"/>
        </w:rPr>
        <w:t xml:space="preserve"> t.</w:t>
      </w:r>
      <w:r w:rsidR="001A5159">
        <w:rPr>
          <w:rFonts w:ascii="Times New Roman" w:hAnsi="Times New Roman"/>
          <w:sz w:val="24"/>
          <w:szCs w:val="24"/>
          <w:lang w:eastAsia="en-GB"/>
        </w:rPr>
        <w:t> </w:t>
      </w:r>
      <w:r w:rsidRPr="002E26B4">
        <w:rPr>
          <w:rFonts w:ascii="Times New Roman" w:hAnsi="Times New Roman"/>
          <w:sz w:val="24"/>
          <w:szCs w:val="24"/>
          <w:lang w:eastAsia="en-GB"/>
        </w:rPr>
        <w:t xml:space="preserve">y. </w:t>
      </w:r>
      <w:r w:rsidR="001A5159">
        <w:rPr>
          <w:rFonts w:ascii="Times New Roman" w:hAnsi="Times New Roman"/>
          <w:sz w:val="24"/>
          <w:szCs w:val="24"/>
          <w:lang w:eastAsia="en-GB"/>
        </w:rPr>
        <w:t>„</w:t>
      </w:r>
      <w:proofErr w:type="spellStart"/>
      <w:r w:rsidRPr="002E26B4">
        <w:rPr>
          <w:rFonts w:ascii="Times New Roman" w:hAnsi="Times New Roman"/>
          <w:sz w:val="24"/>
          <w:szCs w:val="24"/>
          <w:lang w:eastAsia="en-GB"/>
        </w:rPr>
        <w:t>Letrox</w:t>
      </w:r>
      <w:proofErr w:type="spellEnd"/>
      <w:r w:rsidR="001A5159">
        <w:rPr>
          <w:rFonts w:ascii="Times New Roman" w:hAnsi="Times New Roman"/>
          <w:sz w:val="24"/>
          <w:szCs w:val="24"/>
          <w:lang w:eastAsia="en-GB"/>
        </w:rPr>
        <w:t>“</w:t>
      </w:r>
      <w:r w:rsidRPr="002E26B4">
        <w:rPr>
          <w:rFonts w:ascii="Times New Roman" w:hAnsi="Times New Roman"/>
          <w:sz w:val="24"/>
          <w:szCs w:val="24"/>
          <w:lang w:eastAsia="en-GB"/>
        </w:rPr>
        <w:t>, ir neperpakuotas į naują pakuotę, jeigu jis būtų tiekiamas žemesne kaina, negu šį vaistą į Lietuvos rinką tiekia pati ieškovė. Teismas pažymėjo, kad, bylos duomenimis, iš Lietuvos rinkos pasitraukė ir buvo išbrauktas iš kompensuojamų</w:t>
      </w:r>
      <w:r w:rsidR="00DC408F">
        <w:rPr>
          <w:rFonts w:ascii="Times New Roman" w:hAnsi="Times New Roman"/>
          <w:sz w:val="24"/>
          <w:szCs w:val="24"/>
          <w:lang w:eastAsia="en-GB"/>
        </w:rPr>
        <w:t>jų</w:t>
      </w:r>
      <w:r w:rsidRPr="002E26B4">
        <w:rPr>
          <w:rFonts w:ascii="Times New Roman" w:hAnsi="Times New Roman"/>
          <w:sz w:val="24"/>
          <w:szCs w:val="24"/>
          <w:lang w:eastAsia="en-GB"/>
        </w:rPr>
        <w:t xml:space="preserve"> vaistų kainyno kito lygiagretaus importuotojo į Lietuvą tiekiamas vaistas, kurio priemoka kompensuojamų</w:t>
      </w:r>
      <w:r w:rsidR="00DC408F">
        <w:rPr>
          <w:rFonts w:ascii="Times New Roman" w:hAnsi="Times New Roman"/>
          <w:sz w:val="24"/>
          <w:szCs w:val="24"/>
          <w:lang w:eastAsia="en-GB"/>
        </w:rPr>
        <w:t>jų</w:t>
      </w:r>
      <w:r w:rsidRPr="002E26B4">
        <w:rPr>
          <w:rFonts w:ascii="Times New Roman" w:hAnsi="Times New Roman"/>
          <w:sz w:val="24"/>
          <w:szCs w:val="24"/>
          <w:lang w:eastAsia="en-GB"/>
        </w:rPr>
        <w:t xml:space="preserve"> vaistų kainyne buvo žemiausia, t. y. pacientams vaistinėje jis buvo siūlomas su mažiausia priemoka.</w:t>
      </w:r>
    </w:p>
    <w:p w14:paraId="18A79CF2" w14:textId="6CFCB6C1" w:rsidR="00A96BE0" w:rsidRDefault="001A5159" w:rsidP="00A96BE0">
      <w:pPr>
        <w:pStyle w:val="ListParagraph"/>
        <w:numPr>
          <w:ilvl w:val="0"/>
          <w:numId w:val="1"/>
        </w:numPr>
        <w:snapToGrid w:val="0"/>
        <w:spacing w:before="100" w:beforeAutospacing="1" w:after="120" w:line="240" w:lineRule="auto"/>
        <w:contextualSpacing w:val="0"/>
        <w:jc w:val="both"/>
        <w:rPr>
          <w:rFonts w:ascii="Times New Roman" w:hAnsi="Times New Roman"/>
          <w:sz w:val="24"/>
          <w:szCs w:val="24"/>
          <w:lang w:eastAsia="en-GB"/>
        </w:rPr>
      </w:pPr>
      <w:r>
        <w:rPr>
          <w:rFonts w:ascii="Times New Roman" w:hAnsi="Times New Roman"/>
          <w:sz w:val="24"/>
          <w:szCs w:val="24"/>
          <w:lang w:eastAsia="en-GB"/>
        </w:rPr>
        <w:t>A</w:t>
      </w:r>
      <w:r w:rsidR="00A96BE0">
        <w:rPr>
          <w:rFonts w:ascii="Times New Roman" w:hAnsi="Times New Roman"/>
          <w:sz w:val="24"/>
          <w:szCs w:val="24"/>
          <w:lang w:eastAsia="en-GB"/>
        </w:rPr>
        <w:t xml:space="preserve">plinkybė, </w:t>
      </w:r>
      <w:r w:rsidR="00A96BE0" w:rsidRPr="00087E1C">
        <w:rPr>
          <w:rFonts w:ascii="Times New Roman" w:hAnsi="Times New Roman"/>
          <w:sz w:val="24"/>
          <w:szCs w:val="24"/>
          <w:lang w:eastAsia="en-GB"/>
        </w:rPr>
        <w:t xml:space="preserve">kad šiuo metu galiojantis teisinis reguliavimas įpareigoja receptuose </w:t>
      </w:r>
      <w:r w:rsidR="00DC408F">
        <w:rPr>
          <w:rFonts w:ascii="Times New Roman" w:hAnsi="Times New Roman"/>
          <w:sz w:val="24"/>
          <w:szCs w:val="24"/>
          <w:lang w:eastAsia="en-GB"/>
        </w:rPr>
        <w:t>rašy</w:t>
      </w:r>
      <w:r w:rsidR="00A96BE0" w:rsidRPr="00087E1C">
        <w:rPr>
          <w:rFonts w:ascii="Times New Roman" w:hAnsi="Times New Roman"/>
          <w:sz w:val="24"/>
          <w:szCs w:val="24"/>
          <w:lang w:eastAsia="en-GB"/>
        </w:rPr>
        <w:t xml:space="preserve">ti tik vaisto veikliąją medžiagą, </w:t>
      </w:r>
      <w:r w:rsidR="00A96BE0">
        <w:rPr>
          <w:rFonts w:ascii="Times New Roman" w:hAnsi="Times New Roman"/>
          <w:sz w:val="24"/>
          <w:szCs w:val="24"/>
          <w:lang w:eastAsia="en-GB"/>
        </w:rPr>
        <w:t xml:space="preserve">taip pat </w:t>
      </w:r>
      <w:r w:rsidR="00A96BE0" w:rsidRPr="00087E1C">
        <w:rPr>
          <w:rFonts w:ascii="Times New Roman" w:hAnsi="Times New Roman"/>
          <w:sz w:val="24"/>
          <w:szCs w:val="24"/>
          <w:lang w:eastAsia="en-GB"/>
        </w:rPr>
        <w:t>nepa</w:t>
      </w:r>
      <w:r w:rsidR="00A96BE0">
        <w:rPr>
          <w:rFonts w:ascii="Times New Roman" w:hAnsi="Times New Roman"/>
          <w:sz w:val="24"/>
          <w:szCs w:val="24"/>
          <w:lang w:eastAsia="en-GB"/>
        </w:rPr>
        <w:t xml:space="preserve">keitė teismo pozicijos, </w:t>
      </w:r>
      <w:r w:rsidR="00A96BE0" w:rsidRPr="00087E1C">
        <w:rPr>
          <w:rFonts w:ascii="Times New Roman" w:hAnsi="Times New Roman"/>
          <w:sz w:val="24"/>
          <w:szCs w:val="24"/>
          <w:lang w:eastAsia="en-GB"/>
        </w:rPr>
        <w:t>jog tiek pacientai, tiek sveikatos priežiūros</w:t>
      </w:r>
      <w:r w:rsidR="00A96BE0">
        <w:rPr>
          <w:rFonts w:ascii="Times New Roman" w:hAnsi="Times New Roman"/>
          <w:sz w:val="24"/>
          <w:szCs w:val="24"/>
          <w:lang w:eastAsia="en-GB"/>
        </w:rPr>
        <w:t xml:space="preserve"> įstaigų</w:t>
      </w:r>
      <w:r w:rsidR="00A96BE0" w:rsidRPr="00087E1C">
        <w:rPr>
          <w:rFonts w:ascii="Times New Roman" w:hAnsi="Times New Roman"/>
          <w:sz w:val="24"/>
          <w:szCs w:val="24"/>
          <w:lang w:eastAsia="en-GB"/>
        </w:rPr>
        <w:t xml:space="preserve"> darbuotojai per daugelį metų labiau yra įpratę prie </w:t>
      </w:r>
      <w:r>
        <w:rPr>
          <w:rFonts w:ascii="Times New Roman" w:hAnsi="Times New Roman"/>
          <w:sz w:val="24"/>
          <w:szCs w:val="24"/>
          <w:lang w:eastAsia="en-GB"/>
        </w:rPr>
        <w:t>„</w:t>
      </w:r>
      <w:r w:rsidR="00A96BE0" w:rsidRPr="00087E1C">
        <w:rPr>
          <w:rFonts w:ascii="Times New Roman" w:hAnsi="Times New Roman"/>
          <w:sz w:val="24"/>
          <w:szCs w:val="24"/>
          <w:lang w:eastAsia="en-GB"/>
        </w:rPr>
        <w:t>L-</w:t>
      </w:r>
      <w:proofErr w:type="spellStart"/>
      <w:r w:rsidR="00A96BE0" w:rsidRPr="00087E1C">
        <w:rPr>
          <w:rFonts w:ascii="Times New Roman" w:hAnsi="Times New Roman"/>
          <w:sz w:val="24"/>
          <w:szCs w:val="24"/>
          <w:lang w:eastAsia="en-GB"/>
        </w:rPr>
        <w:t>Thyronix</w:t>
      </w:r>
      <w:proofErr w:type="spellEnd"/>
      <w:r w:rsidR="00A96BE0" w:rsidRPr="00087E1C">
        <w:rPr>
          <w:rFonts w:ascii="Times New Roman" w:hAnsi="Times New Roman"/>
          <w:sz w:val="24"/>
          <w:szCs w:val="24"/>
          <w:lang w:eastAsia="en-GB"/>
        </w:rPr>
        <w:t xml:space="preserve"> </w:t>
      </w:r>
      <w:proofErr w:type="spellStart"/>
      <w:r w:rsidR="00A96BE0" w:rsidRPr="00087E1C">
        <w:rPr>
          <w:rFonts w:ascii="Times New Roman" w:hAnsi="Times New Roman"/>
          <w:sz w:val="24"/>
          <w:szCs w:val="24"/>
          <w:lang w:eastAsia="en-GB"/>
        </w:rPr>
        <w:t>Berlin-Chemie</w:t>
      </w:r>
      <w:proofErr w:type="spellEnd"/>
      <w:r>
        <w:rPr>
          <w:rFonts w:ascii="Times New Roman" w:hAnsi="Times New Roman"/>
          <w:sz w:val="24"/>
          <w:szCs w:val="24"/>
          <w:lang w:eastAsia="en-GB"/>
        </w:rPr>
        <w:t>“</w:t>
      </w:r>
      <w:r w:rsidR="00A96BE0" w:rsidRPr="00087E1C">
        <w:rPr>
          <w:rFonts w:ascii="Times New Roman" w:hAnsi="Times New Roman"/>
          <w:sz w:val="24"/>
          <w:szCs w:val="24"/>
          <w:lang w:eastAsia="en-GB"/>
        </w:rPr>
        <w:t xml:space="preserve"> pavadinimo. </w:t>
      </w:r>
      <w:r w:rsidR="00A96BE0">
        <w:rPr>
          <w:rFonts w:ascii="Times New Roman" w:hAnsi="Times New Roman"/>
          <w:sz w:val="24"/>
          <w:szCs w:val="24"/>
          <w:lang w:eastAsia="en-GB"/>
        </w:rPr>
        <w:t>N</w:t>
      </w:r>
      <w:r w:rsidR="00A96BE0" w:rsidRPr="00087E1C">
        <w:rPr>
          <w:rFonts w:ascii="Times New Roman" w:hAnsi="Times New Roman"/>
          <w:sz w:val="24"/>
          <w:szCs w:val="24"/>
          <w:lang w:eastAsia="en-GB"/>
        </w:rPr>
        <w:t xml:space="preserve">epriklausomai nuo recepto išrašymo, vartotojams labiau žinomas </w:t>
      </w:r>
      <w:r>
        <w:rPr>
          <w:rFonts w:ascii="Times New Roman" w:hAnsi="Times New Roman"/>
          <w:sz w:val="24"/>
          <w:szCs w:val="24"/>
          <w:lang w:eastAsia="en-GB"/>
        </w:rPr>
        <w:t>„</w:t>
      </w:r>
      <w:r w:rsidR="00A96BE0" w:rsidRPr="00087E1C">
        <w:rPr>
          <w:rFonts w:ascii="Times New Roman" w:hAnsi="Times New Roman"/>
          <w:sz w:val="24"/>
          <w:szCs w:val="24"/>
          <w:lang w:eastAsia="en-GB"/>
        </w:rPr>
        <w:t>L-</w:t>
      </w:r>
      <w:proofErr w:type="spellStart"/>
      <w:r w:rsidR="00A96BE0" w:rsidRPr="00087E1C">
        <w:rPr>
          <w:rFonts w:ascii="Times New Roman" w:hAnsi="Times New Roman"/>
          <w:sz w:val="24"/>
          <w:szCs w:val="24"/>
          <w:lang w:eastAsia="en-GB"/>
        </w:rPr>
        <w:t>Thyroxin</w:t>
      </w:r>
      <w:proofErr w:type="spellEnd"/>
      <w:r>
        <w:rPr>
          <w:rFonts w:ascii="Times New Roman" w:hAnsi="Times New Roman"/>
          <w:sz w:val="24"/>
          <w:szCs w:val="24"/>
          <w:lang w:eastAsia="en-GB"/>
        </w:rPr>
        <w:t>“</w:t>
      </w:r>
      <w:r w:rsidR="00A96BE0" w:rsidRPr="00087E1C">
        <w:rPr>
          <w:rFonts w:ascii="Times New Roman" w:hAnsi="Times New Roman"/>
          <w:sz w:val="24"/>
          <w:szCs w:val="24"/>
          <w:lang w:eastAsia="en-GB"/>
        </w:rPr>
        <w:t xml:space="preserve"> pavadinimas nei į vaisto sudėtį įeinančios veikliosios medžiagos bendrinis pavadinimas, todėl</w:t>
      </w:r>
      <w:r w:rsidR="00DC408F">
        <w:rPr>
          <w:rFonts w:ascii="Times New Roman" w:hAnsi="Times New Roman"/>
          <w:sz w:val="24"/>
          <w:szCs w:val="24"/>
          <w:lang w:eastAsia="en-GB"/>
        </w:rPr>
        <w:t>,</w:t>
      </w:r>
      <w:r w:rsidR="00A96BE0" w:rsidRPr="00087E1C">
        <w:rPr>
          <w:rFonts w:ascii="Times New Roman" w:hAnsi="Times New Roman"/>
          <w:sz w:val="24"/>
          <w:szCs w:val="24"/>
          <w:lang w:eastAsia="en-GB"/>
        </w:rPr>
        <w:t xml:space="preserve"> Lietuvos rinkoje egzistuojant dideliam reikšmingos vartotojų dalies pasipriešinimui perženklintiems vaistiniams preparatams, taip pat vaistiniams preparatams, </w:t>
      </w:r>
      <w:r w:rsidR="00A96BE0" w:rsidRPr="00087E1C">
        <w:rPr>
          <w:rFonts w:ascii="Times New Roman" w:hAnsi="Times New Roman"/>
          <w:sz w:val="24"/>
          <w:szCs w:val="24"/>
          <w:lang w:eastAsia="en-GB"/>
        </w:rPr>
        <w:lastRenderedPageBreak/>
        <w:t>parduodamiems kitokiais pavadinimais</w:t>
      </w:r>
      <w:r w:rsidR="00DC408F">
        <w:rPr>
          <w:rFonts w:ascii="Times New Roman" w:hAnsi="Times New Roman"/>
          <w:sz w:val="24"/>
          <w:szCs w:val="24"/>
          <w:lang w:eastAsia="en-GB"/>
        </w:rPr>
        <w:t>,</w:t>
      </w:r>
      <w:r w:rsidR="00A96BE0" w:rsidRPr="00087E1C">
        <w:rPr>
          <w:rFonts w:ascii="Times New Roman" w:hAnsi="Times New Roman"/>
          <w:sz w:val="24"/>
          <w:szCs w:val="24"/>
          <w:lang w:eastAsia="en-GB"/>
        </w:rPr>
        <w:t xml:space="preserve"> nei gamintojai juos parduoda Lietuvoje, tai </w:t>
      </w:r>
      <w:r w:rsidR="00A96BE0">
        <w:rPr>
          <w:rFonts w:ascii="Times New Roman" w:hAnsi="Times New Roman"/>
          <w:sz w:val="24"/>
          <w:szCs w:val="24"/>
          <w:lang w:eastAsia="en-GB"/>
        </w:rPr>
        <w:t xml:space="preserve">taptų </w:t>
      </w:r>
      <w:r w:rsidR="00A96BE0" w:rsidRPr="00087E1C">
        <w:rPr>
          <w:rFonts w:ascii="Times New Roman" w:hAnsi="Times New Roman"/>
          <w:sz w:val="24"/>
          <w:szCs w:val="24"/>
          <w:lang w:eastAsia="en-GB"/>
        </w:rPr>
        <w:t>kliūtimi vaistini</w:t>
      </w:r>
      <w:r w:rsidR="00DC408F">
        <w:rPr>
          <w:rFonts w:ascii="Times New Roman" w:hAnsi="Times New Roman"/>
          <w:sz w:val="24"/>
          <w:szCs w:val="24"/>
          <w:lang w:eastAsia="en-GB"/>
        </w:rPr>
        <w:t>am</w:t>
      </w:r>
      <w:r w:rsidR="00A96BE0" w:rsidRPr="00087E1C">
        <w:rPr>
          <w:rFonts w:ascii="Times New Roman" w:hAnsi="Times New Roman"/>
          <w:sz w:val="24"/>
          <w:szCs w:val="24"/>
          <w:lang w:eastAsia="en-GB"/>
        </w:rPr>
        <w:t xml:space="preserve"> preparat</w:t>
      </w:r>
      <w:r w:rsidR="00DC408F">
        <w:rPr>
          <w:rFonts w:ascii="Times New Roman" w:hAnsi="Times New Roman"/>
          <w:sz w:val="24"/>
          <w:szCs w:val="24"/>
          <w:lang w:eastAsia="en-GB"/>
        </w:rPr>
        <w:t>ui veiksmingai</w:t>
      </w:r>
      <w:r w:rsidR="00A96BE0" w:rsidRPr="00087E1C">
        <w:rPr>
          <w:rFonts w:ascii="Times New Roman" w:hAnsi="Times New Roman"/>
          <w:sz w:val="24"/>
          <w:szCs w:val="24"/>
          <w:lang w:eastAsia="en-GB"/>
        </w:rPr>
        <w:t xml:space="preserve"> patek</w:t>
      </w:r>
      <w:r w:rsidR="00DC408F">
        <w:rPr>
          <w:rFonts w:ascii="Times New Roman" w:hAnsi="Times New Roman"/>
          <w:sz w:val="24"/>
          <w:szCs w:val="24"/>
          <w:lang w:eastAsia="en-GB"/>
        </w:rPr>
        <w:t>t</w:t>
      </w:r>
      <w:r w:rsidR="00A96BE0" w:rsidRPr="00087E1C">
        <w:rPr>
          <w:rFonts w:ascii="Times New Roman" w:hAnsi="Times New Roman"/>
          <w:sz w:val="24"/>
          <w:szCs w:val="24"/>
          <w:lang w:eastAsia="en-GB"/>
        </w:rPr>
        <w:t>i į rinką.</w:t>
      </w:r>
    </w:p>
    <w:p w14:paraId="50669375" w14:textId="155FC872" w:rsidR="00A96BE0" w:rsidRDefault="00A96BE0" w:rsidP="00A96BE0">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lang w:eastAsia="en-GB"/>
        </w:rPr>
        <w:t>Apibendrindamas argumentus teismas pripažino, kad atsakovė UAB „</w:t>
      </w:r>
      <w:proofErr w:type="spellStart"/>
      <w:r>
        <w:rPr>
          <w:rFonts w:ascii="Times New Roman" w:hAnsi="Times New Roman"/>
          <w:sz w:val="24"/>
          <w:szCs w:val="24"/>
          <w:lang w:eastAsia="en-GB"/>
        </w:rPr>
        <w:t>Lex</w:t>
      </w:r>
      <w:proofErr w:type="spellEnd"/>
      <w:r>
        <w:rPr>
          <w:rFonts w:ascii="Times New Roman" w:hAnsi="Times New Roman"/>
          <w:sz w:val="24"/>
          <w:szCs w:val="24"/>
          <w:lang w:eastAsia="en-GB"/>
        </w:rPr>
        <w:t xml:space="preserve"> ano“ įvykdė jai</w:t>
      </w:r>
      <w:r w:rsidRPr="00F52DC9">
        <w:rPr>
          <w:rFonts w:ascii="Times New Roman" w:hAnsi="Times New Roman"/>
          <w:sz w:val="24"/>
          <w:szCs w:val="24"/>
          <w:lang w:eastAsia="en-GB"/>
        </w:rPr>
        <w:t xml:space="preserve"> tenkančią pareigą įrodyti, </w:t>
      </w:r>
      <w:r>
        <w:rPr>
          <w:rFonts w:ascii="Times New Roman" w:hAnsi="Times New Roman"/>
          <w:sz w:val="24"/>
          <w:szCs w:val="24"/>
          <w:lang w:eastAsia="en-GB"/>
        </w:rPr>
        <w:t>jog</w:t>
      </w:r>
      <w:r w:rsidRPr="00F52DC9">
        <w:rPr>
          <w:rFonts w:ascii="Times New Roman" w:hAnsi="Times New Roman"/>
          <w:sz w:val="24"/>
          <w:szCs w:val="24"/>
          <w:lang w:eastAsia="en-GB"/>
        </w:rPr>
        <w:t xml:space="preserve"> egzist</w:t>
      </w:r>
      <w:r>
        <w:rPr>
          <w:rFonts w:ascii="Times New Roman" w:hAnsi="Times New Roman"/>
          <w:sz w:val="24"/>
          <w:szCs w:val="24"/>
          <w:lang w:eastAsia="en-GB"/>
        </w:rPr>
        <w:t xml:space="preserve">avo </w:t>
      </w:r>
      <w:r w:rsidRPr="00F52DC9">
        <w:rPr>
          <w:rFonts w:ascii="Times New Roman" w:hAnsi="Times New Roman"/>
          <w:sz w:val="24"/>
          <w:szCs w:val="24"/>
          <w:lang w:eastAsia="en-GB"/>
        </w:rPr>
        <w:t>objektyvus būtinumas perpakuoti ir pervadinti lygiagrečiai importuojamus vaistinius preparatus,</w:t>
      </w:r>
      <w:r>
        <w:rPr>
          <w:rFonts w:ascii="Times New Roman" w:hAnsi="Times New Roman"/>
          <w:sz w:val="24"/>
          <w:szCs w:val="24"/>
          <w:lang w:eastAsia="en-GB"/>
        </w:rPr>
        <w:t xml:space="preserve"> nes priešingu atveju atsakovė nebūtų turėjusi</w:t>
      </w:r>
      <w:r w:rsidRPr="00F52DC9">
        <w:rPr>
          <w:rFonts w:ascii="Times New Roman" w:hAnsi="Times New Roman"/>
          <w:sz w:val="24"/>
          <w:szCs w:val="24"/>
          <w:lang w:eastAsia="en-GB"/>
        </w:rPr>
        <w:t xml:space="preserve"> realių galimybių patekti į Lietuvos rinką su vaistiniu preparatu, kurio pavadinimas „</w:t>
      </w:r>
      <w:proofErr w:type="spellStart"/>
      <w:r w:rsidRPr="00F52DC9">
        <w:rPr>
          <w:rFonts w:ascii="Times New Roman" w:hAnsi="Times New Roman"/>
          <w:sz w:val="24"/>
          <w:szCs w:val="24"/>
          <w:lang w:eastAsia="en-GB"/>
        </w:rPr>
        <w:t>Letrox</w:t>
      </w:r>
      <w:proofErr w:type="spellEnd"/>
      <w:r w:rsidRPr="00F52DC9">
        <w:rPr>
          <w:rFonts w:ascii="Times New Roman" w:hAnsi="Times New Roman"/>
          <w:sz w:val="24"/>
          <w:szCs w:val="24"/>
          <w:lang w:eastAsia="en-GB"/>
        </w:rPr>
        <w:t xml:space="preserve">“, tokiu būdu nebūtų galimybės vykdyti veiksmingą lygiagretaus vaistinio preparato importą. </w:t>
      </w:r>
      <w:r>
        <w:rPr>
          <w:rFonts w:ascii="Times New Roman" w:hAnsi="Times New Roman"/>
          <w:sz w:val="24"/>
          <w:szCs w:val="24"/>
          <w:lang w:eastAsia="en-GB"/>
        </w:rPr>
        <w:t>Atsakovė, pervadindama ir perpakuodama</w:t>
      </w:r>
      <w:r w:rsidRPr="00F52DC9">
        <w:rPr>
          <w:rFonts w:ascii="Times New Roman" w:hAnsi="Times New Roman"/>
          <w:sz w:val="24"/>
          <w:szCs w:val="24"/>
          <w:lang w:eastAsia="en-GB"/>
        </w:rPr>
        <w:t xml:space="preserve"> vaistinius preparatus, neatliko jokių neteisėtų veiks</w:t>
      </w:r>
      <w:r>
        <w:rPr>
          <w:rFonts w:ascii="Times New Roman" w:hAnsi="Times New Roman"/>
          <w:sz w:val="24"/>
          <w:szCs w:val="24"/>
          <w:lang w:eastAsia="en-GB"/>
        </w:rPr>
        <w:t>mų ir nepažeidė ieškovės teisių,</w:t>
      </w:r>
      <w:r w:rsidR="001A5159">
        <w:rPr>
          <w:rFonts w:ascii="Times New Roman" w:hAnsi="Times New Roman"/>
          <w:sz w:val="24"/>
          <w:szCs w:val="24"/>
          <w:lang w:eastAsia="en-GB"/>
        </w:rPr>
        <w:t xml:space="preserve"> o</w:t>
      </w:r>
      <w:r>
        <w:rPr>
          <w:rFonts w:ascii="Times New Roman" w:hAnsi="Times New Roman"/>
          <w:sz w:val="24"/>
          <w:szCs w:val="24"/>
          <w:lang w:eastAsia="en-GB"/>
        </w:rPr>
        <w:t xml:space="preserve"> ieškovė,</w:t>
      </w:r>
      <w:r w:rsidRPr="00F52DC9">
        <w:rPr>
          <w:rFonts w:ascii="Times New Roman" w:hAnsi="Times New Roman"/>
          <w:sz w:val="24"/>
          <w:szCs w:val="24"/>
          <w:lang w:eastAsia="en-GB"/>
        </w:rPr>
        <w:t xml:space="preserve"> kaip prekių že</w:t>
      </w:r>
      <w:r>
        <w:rPr>
          <w:rFonts w:ascii="Times New Roman" w:hAnsi="Times New Roman"/>
          <w:sz w:val="24"/>
          <w:szCs w:val="24"/>
          <w:lang w:eastAsia="en-GB"/>
        </w:rPr>
        <w:t>nklo savininkė, negali uždrausti atsakovei, kaip lygiagrečiai importuotoja</w:t>
      </w:r>
      <w:r w:rsidRPr="00F52DC9">
        <w:rPr>
          <w:rFonts w:ascii="Times New Roman" w:hAnsi="Times New Roman"/>
          <w:sz w:val="24"/>
          <w:szCs w:val="24"/>
          <w:lang w:eastAsia="en-GB"/>
        </w:rPr>
        <w:t>i</w:t>
      </w:r>
      <w:r>
        <w:rPr>
          <w:rFonts w:ascii="Times New Roman" w:hAnsi="Times New Roman"/>
          <w:sz w:val="24"/>
          <w:szCs w:val="24"/>
          <w:lang w:eastAsia="en-GB"/>
        </w:rPr>
        <w:t>,</w:t>
      </w:r>
      <w:r w:rsidRPr="00F52DC9">
        <w:rPr>
          <w:rFonts w:ascii="Times New Roman" w:hAnsi="Times New Roman"/>
          <w:sz w:val="24"/>
          <w:szCs w:val="24"/>
          <w:lang w:eastAsia="en-GB"/>
        </w:rPr>
        <w:t xml:space="preserve"> pervardinti ir perpakuoti vaistinių preparatų</w:t>
      </w:r>
      <w:r>
        <w:rPr>
          <w:rFonts w:ascii="Times New Roman" w:hAnsi="Times New Roman"/>
          <w:sz w:val="24"/>
          <w:szCs w:val="24"/>
          <w:lang w:eastAsia="en-GB"/>
        </w:rPr>
        <w:t>.</w:t>
      </w:r>
    </w:p>
    <w:p w14:paraId="2E61FE1B" w14:textId="2D44AE25" w:rsidR="009B71A8" w:rsidRDefault="00A96BE0">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sidRPr="009B71A8">
        <w:rPr>
          <w:rFonts w:asciiTheme="majorBidi" w:hAnsiTheme="majorBidi" w:cstheme="majorBidi"/>
          <w:sz w:val="24"/>
          <w:szCs w:val="24"/>
        </w:rPr>
        <w:t>Lietuvos apeliacinio</w:t>
      </w:r>
      <w:r w:rsidR="00D76F07" w:rsidRPr="009B71A8">
        <w:rPr>
          <w:rFonts w:asciiTheme="majorBidi" w:hAnsiTheme="majorBidi" w:cstheme="majorBidi"/>
          <w:sz w:val="24"/>
          <w:szCs w:val="24"/>
        </w:rPr>
        <w:t xml:space="preserve"> teism</w:t>
      </w:r>
      <w:r w:rsidRPr="009B71A8">
        <w:rPr>
          <w:rFonts w:asciiTheme="majorBidi" w:hAnsiTheme="majorBidi" w:cstheme="majorBidi"/>
          <w:sz w:val="24"/>
          <w:szCs w:val="24"/>
        </w:rPr>
        <w:t>o Civilinių bylų skyriaus</w:t>
      </w:r>
      <w:r w:rsidR="00BE427A" w:rsidRPr="009B71A8">
        <w:rPr>
          <w:rFonts w:asciiTheme="majorBidi" w:hAnsiTheme="majorBidi" w:cstheme="majorBidi"/>
          <w:sz w:val="24"/>
          <w:szCs w:val="24"/>
        </w:rPr>
        <w:t xml:space="preserve"> </w:t>
      </w:r>
      <w:r w:rsidR="001A5159">
        <w:rPr>
          <w:rFonts w:asciiTheme="majorBidi" w:hAnsiTheme="majorBidi" w:cstheme="majorBidi"/>
          <w:sz w:val="24"/>
          <w:szCs w:val="24"/>
        </w:rPr>
        <w:t xml:space="preserve">teisėjų kolegija </w:t>
      </w:r>
      <w:r w:rsidR="00D76F07" w:rsidRPr="009B71A8">
        <w:rPr>
          <w:rFonts w:asciiTheme="majorBidi" w:hAnsiTheme="majorBidi" w:cstheme="majorBidi"/>
          <w:sz w:val="24"/>
          <w:szCs w:val="24"/>
        </w:rPr>
        <w:t xml:space="preserve">2022 m. </w:t>
      </w:r>
      <w:r w:rsidRPr="009B71A8">
        <w:rPr>
          <w:rFonts w:asciiTheme="majorBidi" w:hAnsiTheme="majorBidi" w:cstheme="majorBidi"/>
          <w:sz w:val="24"/>
          <w:szCs w:val="24"/>
        </w:rPr>
        <w:t>gruodžio</w:t>
      </w:r>
      <w:r w:rsidR="00D76F07" w:rsidRPr="009B71A8">
        <w:rPr>
          <w:rFonts w:asciiTheme="majorBidi" w:hAnsiTheme="majorBidi" w:cstheme="majorBidi"/>
          <w:sz w:val="24"/>
          <w:szCs w:val="24"/>
        </w:rPr>
        <w:t xml:space="preserve"> 1</w:t>
      </w:r>
      <w:r w:rsidRPr="009B71A8">
        <w:rPr>
          <w:rFonts w:asciiTheme="majorBidi" w:hAnsiTheme="majorBidi" w:cstheme="majorBidi"/>
          <w:sz w:val="24"/>
          <w:szCs w:val="24"/>
        </w:rPr>
        <w:t>4</w:t>
      </w:r>
      <w:r w:rsidR="00D76F07" w:rsidRPr="009B71A8">
        <w:rPr>
          <w:rFonts w:asciiTheme="majorBidi" w:hAnsiTheme="majorBidi" w:cstheme="majorBidi"/>
          <w:sz w:val="24"/>
          <w:szCs w:val="24"/>
        </w:rPr>
        <w:t xml:space="preserve"> d. </w:t>
      </w:r>
      <w:r w:rsidRPr="009B71A8">
        <w:rPr>
          <w:rFonts w:asciiTheme="majorBidi" w:hAnsiTheme="majorBidi" w:cstheme="majorBidi"/>
          <w:sz w:val="24"/>
          <w:szCs w:val="24"/>
        </w:rPr>
        <w:t>sprendimu</w:t>
      </w:r>
      <w:r w:rsidR="00D76F07" w:rsidRPr="009B71A8">
        <w:rPr>
          <w:rFonts w:asciiTheme="majorBidi" w:hAnsiTheme="majorBidi" w:cstheme="majorBidi"/>
          <w:sz w:val="24"/>
          <w:szCs w:val="24"/>
        </w:rPr>
        <w:t xml:space="preserve"> </w:t>
      </w:r>
      <w:bookmarkStart w:id="5" w:name="_Hlk155772714"/>
      <w:r w:rsidR="001A5159">
        <w:rPr>
          <w:rFonts w:asciiTheme="majorBidi" w:hAnsiTheme="majorBidi" w:cstheme="majorBidi"/>
          <w:sz w:val="24"/>
          <w:szCs w:val="24"/>
        </w:rPr>
        <w:t xml:space="preserve">panaikino </w:t>
      </w:r>
      <w:r w:rsidRPr="009B71A8">
        <w:rPr>
          <w:rFonts w:asciiTheme="majorBidi" w:hAnsiTheme="majorBidi" w:cstheme="majorBidi"/>
          <w:sz w:val="24"/>
          <w:szCs w:val="24"/>
          <w:lang w:eastAsia="en-GB"/>
        </w:rPr>
        <w:t>pirmosios instancijos teismo sprendimo dalį, kuria ieškovės ieškinio reikalavimai dėl prekių ženklo savininko teises pažeidžiančių veiksmų nutraukimo ir prekių išėmimo iš apyvartos buvo atmest</w:t>
      </w:r>
      <w:r w:rsidR="009B71A8" w:rsidRPr="009B71A8">
        <w:rPr>
          <w:rFonts w:asciiTheme="majorBidi" w:hAnsiTheme="majorBidi" w:cstheme="majorBidi"/>
          <w:sz w:val="24"/>
          <w:szCs w:val="24"/>
          <w:lang w:eastAsia="en-GB"/>
        </w:rPr>
        <w:t>i</w:t>
      </w:r>
      <w:r w:rsidRPr="009B71A8">
        <w:rPr>
          <w:rFonts w:asciiTheme="majorBidi" w:hAnsiTheme="majorBidi" w:cstheme="majorBidi"/>
          <w:sz w:val="24"/>
          <w:szCs w:val="24"/>
          <w:lang w:eastAsia="en-GB"/>
        </w:rPr>
        <w:t xml:space="preserve">, ir </w:t>
      </w:r>
      <w:r w:rsidR="00E6290A">
        <w:rPr>
          <w:rFonts w:asciiTheme="majorBidi" w:hAnsiTheme="majorBidi" w:cstheme="majorBidi"/>
          <w:sz w:val="24"/>
          <w:szCs w:val="24"/>
          <w:lang w:eastAsia="en-GB"/>
        </w:rPr>
        <w:t xml:space="preserve">dėl </w:t>
      </w:r>
      <w:r w:rsidRPr="009B71A8">
        <w:rPr>
          <w:rFonts w:asciiTheme="majorBidi" w:hAnsiTheme="majorBidi" w:cstheme="majorBidi"/>
          <w:sz w:val="24"/>
          <w:szCs w:val="24"/>
          <w:lang w:eastAsia="en-GB"/>
        </w:rPr>
        <w:t>šio</w:t>
      </w:r>
      <w:r w:rsidR="00E6290A">
        <w:rPr>
          <w:rFonts w:asciiTheme="majorBidi" w:hAnsiTheme="majorBidi" w:cstheme="majorBidi"/>
          <w:sz w:val="24"/>
          <w:szCs w:val="24"/>
          <w:lang w:eastAsia="en-GB"/>
        </w:rPr>
        <w:t>s</w:t>
      </w:r>
      <w:r w:rsidRPr="009B71A8">
        <w:rPr>
          <w:rFonts w:asciiTheme="majorBidi" w:hAnsiTheme="majorBidi" w:cstheme="majorBidi"/>
          <w:sz w:val="24"/>
          <w:szCs w:val="24"/>
          <w:lang w:eastAsia="en-GB"/>
        </w:rPr>
        <w:t xml:space="preserve"> dal</w:t>
      </w:r>
      <w:r w:rsidR="00E6290A">
        <w:rPr>
          <w:rFonts w:asciiTheme="majorBidi" w:hAnsiTheme="majorBidi" w:cstheme="majorBidi"/>
          <w:sz w:val="24"/>
          <w:szCs w:val="24"/>
          <w:lang w:eastAsia="en-GB"/>
        </w:rPr>
        <w:t>ies</w:t>
      </w:r>
      <w:r w:rsidRPr="009B71A8">
        <w:rPr>
          <w:rFonts w:asciiTheme="majorBidi" w:hAnsiTheme="majorBidi" w:cstheme="majorBidi"/>
          <w:sz w:val="24"/>
          <w:szCs w:val="24"/>
          <w:lang w:eastAsia="en-GB"/>
        </w:rPr>
        <w:t xml:space="preserve"> pri</w:t>
      </w:r>
      <w:r w:rsidR="001A5159">
        <w:rPr>
          <w:rFonts w:asciiTheme="majorBidi" w:hAnsiTheme="majorBidi" w:cstheme="majorBidi"/>
          <w:sz w:val="24"/>
          <w:szCs w:val="24"/>
          <w:lang w:eastAsia="en-GB"/>
        </w:rPr>
        <w:t>ėmė</w:t>
      </w:r>
      <w:r w:rsidRPr="009B71A8">
        <w:rPr>
          <w:rFonts w:asciiTheme="majorBidi" w:hAnsiTheme="majorBidi" w:cstheme="majorBidi"/>
          <w:sz w:val="24"/>
          <w:szCs w:val="24"/>
          <w:lang w:eastAsia="en-GB"/>
        </w:rPr>
        <w:t xml:space="preserve"> naują sprendimą</w:t>
      </w:r>
      <w:r w:rsidR="009B71A8" w:rsidRPr="009B71A8">
        <w:rPr>
          <w:rFonts w:asciiTheme="majorBidi" w:hAnsiTheme="majorBidi" w:cstheme="majorBidi"/>
          <w:sz w:val="24"/>
          <w:szCs w:val="24"/>
          <w:lang w:eastAsia="en-GB"/>
        </w:rPr>
        <w:t xml:space="preserve"> </w:t>
      </w:r>
      <w:r w:rsidR="001A5159">
        <w:rPr>
          <w:rFonts w:asciiTheme="majorBidi" w:hAnsiTheme="majorBidi" w:cstheme="majorBidi"/>
          <w:sz w:val="24"/>
          <w:szCs w:val="24"/>
          <w:lang w:eastAsia="en-GB"/>
        </w:rPr>
        <w:t>–</w:t>
      </w:r>
      <w:r w:rsidR="009B71A8" w:rsidRPr="009B71A8">
        <w:rPr>
          <w:rFonts w:asciiTheme="majorBidi" w:hAnsiTheme="majorBidi" w:cstheme="majorBidi"/>
          <w:sz w:val="24"/>
          <w:szCs w:val="24"/>
          <w:lang w:eastAsia="en-GB"/>
        </w:rPr>
        <w:t xml:space="preserve"> </w:t>
      </w:r>
      <w:r w:rsidRPr="009B71A8">
        <w:rPr>
          <w:rFonts w:asciiTheme="majorBidi" w:hAnsiTheme="majorBidi" w:cstheme="majorBidi"/>
          <w:sz w:val="24"/>
          <w:szCs w:val="24"/>
          <w:lang w:eastAsia="en-GB"/>
        </w:rPr>
        <w:t>ieškinį patenkin</w:t>
      </w:r>
      <w:r w:rsidR="009B71A8" w:rsidRPr="009B71A8">
        <w:rPr>
          <w:rFonts w:asciiTheme="majorBidi" w:hAnsiTheme="majorBidi" w:cstheme="majorBidi"/>
          <w:sz w:val="24"/>
          <w:szCs w:val="24"/>
          <w:lang w:eastAsia="en-GB"/>
        </w:rPr>
        <w:t>o</w:t>
      </w:r>
      <w:r w:rsidRPr="009B71A8">
        <w:rPr>
          <w:rFonts w:asciiTheme="majorBidi" w:hAnsiTheme="majorBidi" w:cstheme="majorBidi"/>
          <w:sz w:val="24"/>
          <w:szCs w:val="24"/>
          <w:lang w:eastAsia="en-GB"/>
        </w:rPr>
        <w:t xml:space="preserve"> iš dalies</w:t>
      </w:r>
      <w:r w:rsidR="009B71A8" w:rsidRPr="009B71A8">
        <w:rPr>
          <w:rFonts w:asciiTheme="majorBidi" w:hAnsiTheme="majorBidi" w:cstheme="majorBidi"/>
          <w:sz w:val="24"/>
          <w:szCs w:val="24"/>
          <w:lang w:eastAsia="en-GB"/>
        </w:rPr>
        <w:t>, į</w:t>
      </w:r>
      <w:r w:rsidRPr="00A96BE0">
        <w:rPr>
          <w:rFonts w:asciiTheme="majorBidi" w:hAnsiTheme="majorBidi" w:cstheme="majorBidi"/>
          <w:sz w:val="24"/>
          <w:szCs w:val="24"/>
          <w:lang w:eastAsia="en-GB"/>
        </w:rPr>
        <w:t>pareigo</w:t>
      </w:r>
      <w:r w:rsidR="009B71A8" w:rsidRPr="009B71A8">
        <w:rPr>
          <w:rFonts w:asciiTheme="majorBidi" w:hAnsiTheme="majorBidi" w:cstheme="majorBidi"/>
          <w:sz w:val="24"/>
          <w:szCs w:val="24"/>
          <w:lang w:eastAsia="en-GB"/>
        </w:rPr>
        <w:t>jo</w:t>
      </w:r>
      <w:r w:rsidRPr="00A96BE0">
        <w:rPr>
          <w:rFonts w:asciiTheme="majorBidi" w:hAnsiTheme="majorBidi" w:cstheme="majorBidi"/>
          <w:sz w:val="24"/>
          <w:szCs w:val="24"/>
          <w:lang w:eastAsia="en-GB"/>
        </w:rPr>
        <w:t xml:space="preserve"> atsakovę nutraukti neteisėtus veiksmus, pažeidžiančius ieškovės išimtines teises į prekių ženklus, t. y. prekiauti Lietuvoje iš Vengrijos lygiagrečiai importuojamais vaistiniais preparatais </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L-</w:t>
      </w:r>
      <w:proofErr w:type="spellStart"/>
      <w:r w:rsidRPr="00A96BE0">
        <w:rPr>
          <w:rFonts w:asciiTheme="majorBidi" w:hAnsiTheme="majorBidi" w:cstheme="majorBidi"/>
          <w:sz w:val="24"/>
          <w:szCs w:val="24"/>
          <w:lang w:eastAsia="en-GB"/>
        </w:rPr>
        <w:t>Thyroxin</w:t>
      </w:r>
      <w:proofErr w:type="spellEnd"/>
      <w:r w:rsidRPr="00A96BE0">
        <w:rPr>
          <w:rFonts w:asciiTheme="majorBidi" w:hAnsiTheme="majorBidi" w:cstheme="majorBidi"/>
          <w:sz w:val="24"/>
          <w:szCs w:val="24"/>
          <w:lang w:eastAsia="en-GB"/>
        </w:rPr>
        <w:t xml:space="preserve"> </w:t>
      </w:r>
      <w:proofErr w:type="spellStart"/>
      <w:r w:rsidRPr="00A96BE0">
        <w:rPr>
          <w:rFonts w:asciiTheme="majorBidi" w:hAnsiTheme="majorBidi" w:cstheme="majorBidi"/>
          <w:sz w:val="24"/>
          <w:szCs w:val="24"/>
          <w:lang w:eastAsia="en-GB"/>
        </w:rPr>
        <w:t>Berlin-Chemie</w:t>
      </w:r>
      <w:proofErr w:type="spellEnd"/>
      <w:r w:rsidRPr="00A96BE0">
        <w:rPr>
          <w:rFonts w:asciiTheme="majorBidi" w:hAnsiTheme="majorBidi" w:cstheme="majorBidi"/>
          <w:sz w:val="24"/>
          <w:szCs w:val="24"/>
          <w:lang w:eastAsia="en-GB"/>
        </w:rPr>
        <w:t xml:space="preserve"> 50 µg N100</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 xml:space="preserve">, </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L-</w:t>
      </w:r>
      <w:proofErr w:type="spellStart"/>
      <w:r w:rsidRPr="00A96BE0">
        <w:rPr>
          <w:rFonts w:asciiTheme="majorBidi" w:hAnsiTheme="majorBidi" w:cstheme="majorBidi"/>
          <w:sz w:val="24"/>
          <w:szCs w:val="24"/>
          <w:lang w:eastAsia="en-GB"/>
        </w:rPr>
        <w:t>Thyroxin</w:t>
      </w:r>
      <w:proofErr w:type="spellEnd"/>
      <w:r w:rsidRPr="00A96BE0">
        <w:rPr>
          <w:rFonts w:asciiTheme="majorBidi" w:hAnsiTheme="majorBidi" w:cstheme="majorBidi"/>
          <w:sz w:val="24"/>
          <w:szCs w:val="24"/>
          <w:lang w:eastAsia="en-GB"/>
        </w:rPr>
        <w:t xml:space="preserve"> </w:t>
      </w:r>
      <w:proofErr w:type="spellStart"/>
      <w:r w:rsidRPr="00A96BE0">
        <w:rPr>
          <w:rFonts w:asciiTheme="majorBidi" w:hAnsiTheme="majorBidi" w:cstheme="majorBidi"/>
          <w:sz w:val="24"/>
          <w:szCs w:val="24"/>
          <w:lang w:eastAsia="en-GB"/>
        </w:rPr>
        <w:t>Berlin-Chemie</w:t>
      </w:r>
      <w:proofErr w:type="spellEnd"/>
      <w:r w:rsidRPr="00A96BE0">
        <w:rPr>
          <w:rFonts w:asciiTheme="majorBidi" w:hAnsiTheme="majorBidi" w:cstheme="majorBidi"/>
          <w:sz w:val="24"/>
          <w:szCs w:val="24"/>
          <w:lang w:eastAsia="en-GB"/>
        </w:rPr>
        <w:t xml:space="preserve"> 75</w:t>
      </w:r>
      <w:r w:rsidR="00797C9F">
        <w:rPr>
          <w:rFonts w:asciiTheme="majorBidi" w:hAnsiTheme="majorBidi" w:cstheme="majorBidi"/>
          <w:sz w:val="24"/>
          <w:szCs w:val="24"/>
          <w:lang w:eastAsia="en-GB"/>
        </w:rPr>
        <w:t> </w:t>
      </w:r>
      <w:r w:rsidRPr="00A96BE0">
        <w:rPr>
          <w:rFonts w:asciiTheme="majorBidi" w:hAnsiTheme="majorBidi" w:cstheme="majorBidi"/>
          <w:sz w:val="24"/>
          <w:szCs w:val="24"/>
          <w:lang w:eastAsia="en-GB"/>
        </w:rPr>
        <w:t>µg N100</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 xml:space="preserve">, </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L-</w:t>
      </w:r>
      <w:proofErr w:type="spellStart"/>
      <w:r w:rsidRPr="00A96BE0">
        <w:rPr>
          <w:rFonts w:asciiTheme="majorBidi" w:hAnsiTheme="majorBidi" w:cstheme="majorBidi"/>
          <w:sz w:val="24"/>
          <w:szCs w:val="24"/>
          <w:lang w:eastAsia="en-GB"/>
        </w:rPr>
        <w:t>Thyroxin</w:t>
      </w:r>
      <w:proofErr w:type="spellEnd"/>
      <w:r w:rsidRPr="00A96BE0">
        <w:rPr>
          <w:rFonts w:asciiTheme="majorBidi" w:hAnsiTheme="majorBidi" w:cstheme="majorBidi"/>
          <w:sz w:val="24"/>
          <w:szCs w:val="24"/>
          <w:lang w:eastAsia="en-GB"/>
        </w:rPr>
        <w:t xml:space="preserve"> </w:t>
      </w:r>
      <w:proofErr w:type="spellStart"/>
      <w:r w:rsidRPr="00A96BE0">
        <w:rPr>
          <w:rFonts w:asciiTheme="majorBidi" w:hAnsiTheme="majorBidi" w:cstheme="majorBidi"/>
          <w:sz w:val="24"/>
          <w:szCs w:val="24"/>
          <w:lang w:eastAsia="en-GB"/>
        </w:rPr>
        <w:t>Berlin-Chemie</w:t>
      </w:r>
      <w:proofErr w:type="spellEnd"/>
      <w:r w:rsidRPr="00A96BE0">
        <w:rPr>
          <w:rFonts w:asciiTheme="majorBidi" w:hAnsiTheme="majorBidi" w:cstheme="majorBidi"/>
          <w:sz w:val="24"/>
          <w:szCs w:val="24"/>
          <w:lang w:eastAsia="en-GB"/>
        </w:rPr>
        <w:t xml:space="preserve"> 100 µg N100</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 xml:space="preserve">, </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L-</w:t>
      </w:r>
      <w:proofErr w:type="spellStart"/>
      <w:r w:rsidRPr="00A96BE0">
        <w:rPr>
          <w:rFonts w:asciiTheme="majorBidi" w:hAnsiTheme="majorBidi" w:cstheme="majorBidi"/>
          <w:sz w:val="24"/>
          <w:szCs w:val="24"/>
          <w:lang w:eastAsia="en-GB"/>
        </w:rPr>
        <w:t>Thyroxin</w:t>
      </w:r>
      <w:proofErr w:type="spellEnd"/>
      <w:r w:rsidRPr="00A96BE0">
        <w:rPr>
          <w:rFonts w:asciiTheme="majorBidi" w:hAnsiTheme="majorBidi" w:cstheme="majorBidi"/>
          <w:sz w:val="24"/>
          <w:szCs w:val="24"/>
          <w:lang w:eastAsia="en-GB"/>
        </w:rPr>
        <w:t xml:space="preserve"> </w:t>
      </w:r>
      <w:proofErr w:type="spellStart"/>
      <w:r w:rsidRPr="00A96BE0">
        <w:rPr>
          <w:rFonts w:asciiTheme="majorBidi" w:hAnsiTheme="majorBidi" w:cstheme="majorBidi"/>
          <w:sz w:val="24"/>
          <w:szCs w:val="24"/>
          <w:lang w:eastAsia="en-GB"/>
        </w:rPr>
        <w:t>Berlin-Chemie</w:t>
      </w:r>
      <w:proofErr w:type="spellEnd"/>
      <w:r w:rsidRPr="00A96BE0">
        <w:rPr>
          <w:rFonts w:asciiTheme="majorBidi" w:hAnsiTheme="majorBidi" w:cstheme="majorBidi"/>
          <w:sz w:val="24"/>
          <w:szCs w:val="24"/>
          <w:lang w:eastAsia="en-GB"/>
        </w:rPr>
        <w:t xml:space="preserve"> 125 µg N100</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 xml:space="preserve"> (lygiagrečiai importuojamų vaistų registracijos Nr. LT/L/20/1227/001, Nr.</w:t>
      </w:r>
      <w:r w:rsidR="00E6290A">
        <w:rPr>
          <w:rFonts w:asciiTheme="majorBidi" w:hAnsiTheme="majorBidi" w:cstheme="majorBidi"/>
          <w:sz w:val="24"/>
          <w:szCs w:val="24"/>
          <w:lang w:eastAsia="en-GB"/>
        </w:rPr>
        <w:t> </w:t>
      </w:r>
      <w:r w:rsidRPr="00A96BE0">
        <w:rPr>
          <w:rFonts w:asciiTheme="majorBidi" w:hAnsiTheme="majorBidi" w:cstheme="majorBidi"/>
          <w:sz w:val="24"/>
          <w:szCs w:val="24"/>
          <w:lang w:eastAsia="en-GB"/>
        </w:rPr>
        <w:t>LT/l/21/1480/003, Nr.</w:t>
      </w:r>
      <w:r w:rsidR="001A5159">
        <w:rPr>
          <w:rFonts w:asciiTheme="majorBidi" w:hAnsiTheme="majorBidi" w:cstheme="majorBidi"/>
          <w:sz w:val="24"/>
          <w:szCs w:val="24"/>
          <w:lang w:eastAsia="en-GB"/>
        </w:rPr>
        <w:t> </w:t>
      </w:r>
      <w:r w:rsidRPr="00A96BE0">
        <w:rPr>
          <w:rFonts w:asciiTheme="majorBidi" w:hAnsiTheme="majorBidi" w:cstheme="majorBidi"/>
          <w:sz w:val="24"/>
          <w:szCs w:val="24"/>
          <w:lang w:eastAsia="en-GB"/>
        </w:rPr>
        <w:t>LT/L/20/1365/001 ir Nr. LT/L/20/1462/001), ir uždra</w:t>
      </w:r>
      <w:r w:rsidR="009B71A8" w:rsidRPr="009B71A8">
        <w:rPr>
          <w:rFonts w:asciiTheme="majorBidi" w:hAnsiTheme="majorBidi" w:cstheme="majorBidi"/>
          <w:sz w:val="24"/>
          <w:szCs w:val="24"/>
          <w:lang w:eastAsia="en-GB"/>
        </w:rPr>
        <w:t>udė</w:t>
      </w:r>
      <w:r w:rsidRPr="00A96BE0">
        <w:rPr>
          <w:rFonts w:asciiTheme="majorBidi" w:hAnsiTheme="majorBidi" w:cstheme="majorBidi"/>
          <w:sz w:val="24"/>
          <w:szCs w:val="24"/>
          <w:lang w:eastAsia="en-GB"/>
        </w:rPr>
        <w:t xml:space="preserve"> atlikti šiuos veiksmus ateityje</w:t>
      </w:r>
      <w:r w:rsidR="009B71A8" w:rsidRPr="009B71A8">
        <w:rPr>
          <w:rFonts w:asciiTheme="majorBidi" w:hAnsiTheme="majorBidi" w:cstheme="majorBidi"/>
          <w:sz w:val="24"/>
          <w:szCs w:val="24"/>
          <w:lang w:eastAsia="en-GB"/>
        </w:rPr>
        <w:t>, taip pat į</w:t>
      </w:r>
      <w:r w:rsidRPr="00A96BE0">
        <w:rPr>
          <w:rFonts w:asciiTheme="majorBidi" w:hAnsiTheme="majorBidi" w:cstheme="majorBidi"/>
          <w:sz w:val="24"/>
          <w:szCs w:val="24"/>
          <w:lang w:eastAsia="en-GB"/>
        </w:rPr>
        <w:t>pareigo</w:t>
      </w:r>
      <w:r w:rsidR="009B71A8" w:rsidRPr="009B71A8">
        <w:rPr>
          <w:rFonts w:asciiTheme="majorBidi" w:hAnsiTheme="majorBidi" w:cstheme="majorBidi"/>
          <w:sz w:val="24"/>
          <w:szCs w:val="24"/>
          <w:lang w:eastAsia="en-GB"/>
        </w:rPr>
        <w:t>jo</w:t>
      </w:r>
      <w:r w:rsidRPr="00A96BE0">
        <w:rPr>
          <w:rFonts w:asciiTheme="majorBidi" w:hAnsiTheme="majorBidi" w:cstheme="majorBidi"/>
          <w:sz w:val="24"/>
          <w:szCs w:val="24"/>
          <w:lang w:eastAsia="en-GB"/>
        </w:rPr>
        <w:t xml:space="preserve"> atsakovę išimti iš apyvartos ieškovės išimtines teises į prekių ženklus pažeidžiančias prekes, t. y. atsakovės iš Vengrijos į Lietuvą lygiagrečiai importuojamus vaistinius preparatus </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L-</w:t>
      </w:r>
      <w:proofErr w:type="spellStart"/>
      <w:r w:rsidRPr="00A96BE0">
        <w:rPr>
          <w:rFonts w:asciiTheme="majorBidi" w:hAnsiTheme="majorBidi" w:cstheme="majorBidi"/>
          <w:sz w:val="24"/>
          <w:szCs w:val="24"/>
          <w:lang w:eastAsia="en-GB"/>
        </w:rPr>
        <w:t>Thyroxin</w:t>
      </w:r>
      <w:proofErr w:type="spellEnd"/>
      <w:r w:rsidRPr="00A96BE0">
        <w:rPr>
          <w:rFonts w:asciiTheme="majorBidi" w:hAnsiTheme="majorBidi" w:cstheme="majorBidi"/>
          <w:sz w:val="24"/>
          <w:szCs w:val="24"/>
          <w:lang w:eastAsia="en-GB"/>
        </w:rPr>
        <w:t xml:space="preserve"> </w:t>
      </w:r>
      <w:proofErr w:type="spellStart"/>
      <w:r w:rsidRPr="00A96BE0">
        <w:rPr>
          <w:rFonts w:asciiTheme="majorBidi" w:hAnsiTheme="majorBidi" w:cstheme="majorBidi"/>
          <w:sz w:val="24"/>
          <w:szCs w:val="24"/>
          <w:lang w:eastAsia="en-GB"/>
        </w:rPr>
        <w:t>Berlin-Chemie</w:t>
      </w:r>
      <w:proofErr w:type="spellEnd"/>
      <w:r w:rsidRPr="00A96BE0">
        <w:rPr>
          <w:rFonts w:asciiTheme="majorBidi" w:hAnsiTheme="majorBidi" w:cstheme="majorBidi"/>
          <w:sz w:val="24"/>
          <w:szCs w:val="24"/>
          <w:lang w:eastAsia="en-GB"/>
        </w:rPr>
        <w:t xml:space="preserve"> 50 µg N100</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 xml:space="preserve">, </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L-</w:t>
      </w:r>
      <w:proofErr w:type="spellStart"/>
      <w:r w:rsidRPr="00A96BE0">
        <w:rPr>
          <w:rFonts w:asciiTheme="majorBidi" w:hAnsiTheme="majorBidi" w:cstheme="majorBidi"/>
          <w:sz w:val="24"/>
          <w:szCs w:val="24"/>
          <w:lang w:eastAsia="en-GB"/>
        </w:rPr>
        <w:t>Thyroxin</w:t>
      </w:r>
      <w:proofErr w:type="spellEnd"/>
      <w:r w:rsidRPr="00A96BE0">
        <w:rPr>
          <w:rFonts w:asciiTheme="majorBidi" w:hAnsiTheme="majorBidi" w:cstheme="majorBidi"/>
          <w:sz w:val="24"/>
          <w:szCs w:val="24"/>
          <w:lang w:eastAsia="en-GB"/>
        </w:rPr>
        <w:t xml:space="preserve"> </w:t>
      </w:r>
      <w:proofErr w:type="spellStart"/>
      <w:r w:rsidRPr="00A96BE0">
        <w:rPr>
          <w:rFonts w:asciiTheme="majorBidi" w:hAnsiTheme="majorBidi" w:cstheme="majorBidi"/>
          <w:sz w:val="24"/>
          <w:szCs w:val="24"/>
          <w:lang w:eastAsia="en-GB"/>
        </w:rPr>
        <w:t>Berlin-Chemie</w:t>
      </w:r>
      <w:proofErr w:type="spellEnd"/>
      <w:r w:rsidRPr="00A96BE0">
        <w:rPr>
          <w:rFonts w:asciiTheme="majorBidi" w:hAnsiTheme="majorBidi" w:cstheme="majorBidi"/>
          <w:sz w:val="24"/>
          <w:szCs w:val="24"/>
          <w:lang w:eastAsia="en-GB"/>
        </w:rPr>
        <w:t xml:space="preserve"> 75</w:t>
      </w:r>
      <w:r w:rsidR="00797C9F">
        <w:rPr>
          <w:rFonts w:asciiTheme="majorBidi" w:hAnsiTheme="majorBidi" w:cstheme="majorBidi"/>
          <w:sz w:val="24"/>
          <w:szCs w:val="24"/>
          <w:lang w:eastAsia="en-GB"/>
        </w:rPr>
        <w:t> </w:t>
      </w:r>
      <w:r w:rsidRPr="00A96BE0">
        <w:rPr>
          <w:rFonts w:asciiTheme="majorBidi" w:hAnsiTheme="majorBidi" w:cstheme="majorBidi"/>
          <w:sz w:val="24"/>
          <w:szCs w:val="24"/>
          <w:lang w:eastAsia="en-GB"/>
        </w:rPr>
        <w:t>µg N100</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 xml:space="preserve">, </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L-</w:t>
      </w:r>
      <w:proofErr w:type="spellStart"/>
      <w:r w:rsidRPr="00A96BE0">
        <w:rPr>
          <w:rFonts w:asciiTheme="majorBidi" w:hAnsiTheme="majorBidi" w:cstheme="majorBidi"/>
          <w:sz w:val="24"/>
          <w:szCs w:val="24"/>
          <w:lang w:eastAsia="en-GB"/>
        </w:rPr>
        <w:t>Thyroxin</w:t>
      </w:r>
      <w:proofErr w:type="spellEnd"/>
      <w:r w:rsidRPr="00A96BE0">
        <w:rPr>
          <w:rFonts w:asciiTheme="majorBidi" w:hAnsiTheme="majorBidi" w:cstheme="majorBidi"/>
          <w:sz w:val="24"/>
          <w:szCs w:val="24"/>
          <w:lang w:eastAsia="en-GB"/>
        </w:rPr>
        <w:t xml:space="preserve"> </w:t>
      </w:r>
      <w:proofErr w:type="spellStart"/>
      <w:r w:rsidRPr="00A96BE0">
        <w:rPr>
          <w:rFonts w:asciiTheme="majorBidi" w:hAnsiTheme="majorBidi" w:cstheme="majorBidi"/>
          <w:sz w:val="24"/>
          <w:szCs w:val="24"/>
          <w:lang w:eastAsia="en-GB"/>
        </w:rPr>
        <w:t>Berlin-Chemie</w:t>
      </w:r>
      <w:proofErr w:type="spellEnd"/>
      <w:r w:rsidRPr="00A96BE0">
        <w:rPr>
          <w:rFonts w:asciiTheme="majorBidi" w:hAnsiTheme="majorBidi" w:cstheme="majorBidi"/>
          <w:sz w:val="24"/>
          <w:szCs w:val="24"/>
          <w:lang w:eastAsia="en-GB"/>
        </w:rPr>
        <w:t xml:space="preserve"> 100 µg N100</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 xml:space="preserve">, </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L-</w:t>
      </w:r>
      <w:proofErr w:type="spellStart"/>
      <w:r w:rsidRPr="00A96BE0">
        <w:rPr>
          <w:rFonts w:asciiTheme="majorBidi" w:hAnsiTheme="majorBidi" w:cstheme="majorBidi"/>
          <w:sz w:val="24"/>
          <w:szCs w:val="24"/>
          <w:lang w:eastAsia="en-GB"/>
        </w:rPr>
        <w:t>Thyroxin</w:t>
      </w:r>
      <w:proofErr w:type="spellEnd"/>
      <w:r w:rsidRPr="00A96BE0">
        <w:rPr>
          <w:rFonts w:asciiTheme="majorBidi" w:hAnsiTheme="majorBidi" w:cstheme="majorBidi"/>
          <w:sz w:val="24"/>
          <w:szCs w:val="24"/>
          <w:lang w:eastAsia="en-GB"/>
        </w:rPr>
        <w:t xml:space="preserve"> </w:t>
      </w:r>
      <w:proofErr w:type="spellStart"/>
      <w:r w:rsidRPr="00A96BE0">
        <w:rPr>
          <w:rFonts w:asciiTheme="majorBidi" w:hAnsiTheme="majorBidi" w:cstheme="majorBidi"/>
          <w:sz w:val="24"/>
          <w:szCs w:val="24"/>
          <w:lang w:eastAsia="en-GB"/>
        </w:rPr>
        <w:t>Berlin-Chemie</w:t>
      </w:r>
      <w:proofErr w:type="spellEnd"/>
      <w:r w:rsidRPr="00A96BE0">
        <w:rPr>
          <w:rFonts w:asciiTheme="majorBidi" w:hAnsiTheme="majorBidi" w:cstheme="majorBidi"/>
          <w:sz w:val="24"/>
          <w:szCs w:val="24"/>
          <w:lang w:eastAsia="en-GB"/>
        </w:rPr>
        <w:t xml:space="preserve"> 125 µg N100</w:t>
      </w:r>
      <w:r w:rsidR="001A5159">
        <w:rPr>
          <w:rFonts w:asciiTheme="majorBidi" w:hAnsiTheme="majorBidi" w:cstheme="majorBidi"/>
          <w:sz w:val="24"/>
          <w:szCs w:val="24"/>
          <w:lang w:eastAsia="en-GB"/>
        </w:rPr>
        <w:t>“</w:t>
      </w:r>
      <w:r w:rsidRPr="00A96BE0">
        <w:rPr>
          <w:rFonts w:asciiTheme="majorBidi" w:hAnsiTheme="majorBidi" w:cstheme="majorBidi"/>
          <w:sz w:val="24"/>
          <w:szCs w:val="24"/>
          <w:lang w:eastAsia="en-GB"/>
        </w:rPr>
        <w:t xml:space="preserve"> (lygiagrečiai importuojamų vaistų registracijos Nr.</w:t>
      </w:r>
      <w:r w:rsidR="009B71A8">
        <w:rPr>
          <w:rFonts w:asciiTheme="majorBidi" w:hAnsiTheme="majorBidi" w:cstheme="majorBidi"/>
          <w:sz w:val="24"/>
          <w:szCs w:val="24"/>
          <w:lang w:eastAsia="en-GB"/>
        </w:rPr>
        <w:t> </w:t>
      </w:r>
      <w:r w:rsidRPr="00A96BE0">
        <w:rPr>
          <w:rFonts w:asciiTheme="majorBidi" w:hAnsiTheme="majorBidi" w:cstheme="majorBidi"/>
          <w:sz w:val="24"/>
          <w:szCs w:val="24"/>
          <w:lang w:eastAsia="en-GB"/>
        </w:rPr>
        <w:t>LT/L/20/1227/001, Nr.</w:t>
      </w:r>
      <w:r w:rsidR="00797C9F">
        <w:rPr>
          <w:rFonts w:asciiTheme="majorBidi" w:hAnsiTheme="majorBidi" w:cstheme="majorBidi"/>
          <w:sz w:val="24"/>
          <w:szCs w:val="24"/>
          <w:lang w:eastAsia="en-GB"/>
        </w:rPr>
        <w:t> </w:t>
      </w:r>
      <w:r w:rsidRPr="00A96BE0">
        <w:rPr>
          <w:rFonts w:asciiTheme="majorBidi" w:hAnsiTheme="majorBidi" w:cstheme="majorBidi"/>
          <w:sz w:val="24"/>
          <w:szCs w:val="24"/>
          <w:lang w:eastAsia="en-GB"/>
        </w:rPr>
        <w:t>LT/l/21/1480/003, Nr.</w:t>
      </w:r>
      <w:r w:rsidR="001A5159">
        <w:rPr>
          <w:rFonts w:asciiTheme="majorBidi" w:hAnsiTheme="majorBidi" w:cstheme="majorBidi"/>
          <w:sz w:val="24"/>
          <w:szCs w:val="24"/>
          <w:lang w:eastAsia="en-GB"/>
        </w:rPr>
        <w:t> </w:t>
      </w:r>
      <w:r w:rsidRPr="00A96BE0">
        <w:rPr>
          <w:rFonts w:asciiTheme="majorBidi" w:hAnsiTheme="majorBidi" w:cstheme="majorBidi"/>
          <w:sz w:val="24"/>
          <w:szCs w:val="24"/>
          <w:lang w:eastAsia="en-GB"/>
        </w:rPr>
        <w:t>LT/L/20/1365/001 ir Nr. LT/L/20/1462/001)</w:t>
      </w:r>
      <w:r w:rsidR="009B71A8" w:rsidRPr="009B71A8">
        <w:rPr>
          <w:rFonts w:asciiTheme="majorBidi" w:hAnsiTheme="majorBidi" w:cstheme="majorBidi"/>
          <w:sz w:val="24"/>
          <w:szCs w:val="24"/>
          <w:lang w:eastAsia="en-GB"/>
        </w:rPr>
        <w:t xml:space="preserve">. </w:t>
      </w:r>
      <w:r w:rsidRPr="009B71A8">
        <w:rPr>
          <w:rFonts w:asciiTheme="majorBidi" w:hAnsiTheme="majorBidi" w:cstheme="majorBidi"/>
          <w:sz w:val="24"/>
          <w:szCs w:val="24"/>
          <w:lang w:eastAsia="en-GB"/>
        </w:rPr>
        <w:t xml:space="preserve">Kitą </w:t>
      </w:r>
      <w:r w:rsidR="009B71A8" w:rsidRPr="009B71A8">
        <w:rPr>
          <w:rFonts w:asciiTheme="majorBidi" w:hAnsiTheme="majorBidi" w:cstheme="majorBidi"/>
          <w:sz w:val="24"/>
          <w:szCs w:val="24"/>
          <w:lang w:eastAsia="en-GB"/>
        </w:rPr>
        <w:t>pirmosios instancijos teismo</w:t>
      </w:r>
      <w:r w:rsidRPr="009B71A8">
        <w:rPr>
          <w:rFonts w:asciiTheme="majorBidi" w:hAnsiTheme="majorBidi" w:cstheme="majorBidi"/>
          <w:sz w:val="24"/>
          <w:szCs w:val="24"/>
          <w:lang w:eastAsia="en-GB"/>
        </w:rPr>
        <w:t xml:space="preserve"> sprendimo dalį </w:t>
      </w:r>
      <w:r w:rsidR="001A5159" w:rsidRPr="009B71A8">
        <w:rPr>
          <w:rFonts w:asciiTheme="majorBidi" w:hAnsiTheme="majorBidi" w:cstheme="majorBidi"/>
          <w:sz w:val="24"/>
          <w:szCs w:val="24"/>
          <w:lang w:eastAsia="en-GB"/>
        </w:rPr>
        <w:t xml:space="preserve">dėl žalos atlyginimo </w:t>
      </w:r>
      <w:r w:rsidRPr="009B71A8">
        <w:rPr>
          <w:rFonts w:asciiTheme="majorBidi" w:hAnsiTheme="majorBidi" w:cstheme="majorBidi"/>
          <w:sz w:val="24"/>
          <w:szCs w:val="24"/>
          <w:lang w:eastAsia="en-GB"/>
        </w:rPr>
        <w:t>panaikin</w:t>
      </w:r>
      <w:r w:rsidR="009B71A8" w:rsidRPr="009B71A8">
        <w:rPr>
          <w:rFonts w:asciiTheme="majorBidi" w:hAnsiTheme="majorBidi" w:cstheme="majorBidi"/>
          <w:sz w:val="24"/>
          <w:szCs w:val="24"/>
          <w:lang w:eastAsia="en-GB"/>
        </w:rPr>
        <w:t>o</w:t>
      </w:r>
      <w:r w:rsidRPr="009B71A8">
        <w:rPr>
          <w:rFonts w:asciiTheme="majorBidi" w:hAnsiTheme="majorBidi" w:cstheme="majorBidi"/>
          <w:sz w:val="24"/>
          <w:szCs w:val="24"/>
          <w:lang w:eastAsia="en-GB"/>
        </w:rPr>
        <w:t xml:space="preserve"> ir perd</w:t>
      </w:r>
      <w:r w:rsidR="009B71A8" w:rsidRPr="009B71A8">
        <w:rPr>
          <w:rFonts w:asciiTheme="majorBidi" w:hAnsiTheme="majorBidi" w:cstheme="majorBidi"/>
          <w:sz w:val="24"/>
          <w:szCs w:val="24"/>
          <w:lang w:eastAsia="en-GB"/>
        </w:rPr>
        <w:t>avė</w:t>
      </w:r>
      <w:r w:rsidRPr="009B71A8">
        <w:rPr>
          <w:rFonts w:asciiTheme="majorBidi" w:hAnsiTheme="majorBidi" w:cstheme="majorBidi"/>
          <w:sz w:val="24"/>
          <w:szCs w:val="24"/>
          <w:lang w:eastAsia="en-GB"/>
        </w:rPr>
        <w:t xml:space="preserve"> </w:t>
      </w:r>
      <w:r w:rsidR="001A5159">
        <w:rPr>
          <w:rFonts w:asciiTheme="majorBidi" w:hAnsiTheme="majorBidi" w:cstheme="majorBidi"/>
          <w:sz w:val="24"/>
          <w:szCs w:val="24"/>
          <w:lang w:eastAsia="en-GB"/>
        </w:rPr>
        <w:t>ši</w:t>
      </w:r>
      <w:r w:rsidR="0009494D">
        <w:rPr>
          <w:rFonts w:asciiTheme="majorBidi" w:hAnsiTheme="majorBidi" w:cstheme="majorBidi"/>
          <w:sz w:val="24"/>
          <w:szCs w:val="24"/>
          <w:lang w:eastAsia="en-GB"/>
        </w:rPr>
        <w:t>ą</w:t>
      </w:r>
      <w:r w:rsidR="001A5159">
        <w:rPr>
          <w:rFonts w:asciiTheme="majorBidi" w:hAnsiTheme="majorBidi" w:cstheme="majorBidi"/>
          <w:sz w:val="24"/>
          <w:szCs w:val="24"/>
          <w:lang w:eastAsia="en-GB"/>
        </w:rPr>
        <w:t xml:space="preserve"> </w:t>
      </w:r>
      <w:r w:rsidR="0009494D">
        <w:rPr>
          <w:rFonts w:asciiTheme="majorBidi" w:hAnsiTheme="majorBidi" w:cstheme="majorBidi"/>
          <w:sz w:val="24"/>
          <w:szCs w:val="24"/>
          <w:lang w:eastAsia="en-GB"/>
        </w:rPr>
        <w:t xml:space="preserve">bylos </w:t>
      </w:r>
      <w:r w:rsidR="001A5159">
        <w:rPr>
          <w:rFonts w:asciiTheme="majorBidi" w:hAnsiTheme="majorBidi" w:cstheme="majorBidi"/>
          <w:sz w:val="24"/>
          <w:szCs w:val="24"/>
          <w:lang w:eastAsia="en-GB"/>
        </w:rPr>
        <w:t>dal</w:t>
      </w:r>
      <w:r w:rsidR="0009494D">
        <w:rPr>
          <w:rFonts w:asciiTheme="majorBidi" w:hAnsiTheme="majorBidi" w:cstheme="majorBidi"/>
          <w:sz w:val="24"/>
          <w:szCs w:val="24"/>
          <w:lang w:eastAsia="en-GB"/>
        </w:rPr>
        <w:t>į</w:t>
      </w:r>
      <w:r w:rsidR="001A5159">
        <w:rPr>
          <w:rFonts w:asciiTheme="majorBidi" w:hAnsiTheme="majorBidi" w:cstheme="majorBidi"/>
          <w:sz w:val="24"/>
          <w:szCs w:val="24"/>
          <w:lang w:eastAsia="en-GB"/>
        </w:rPr>
        <w:t xml:space="preserve"> </w:t>
      </w:r>
      <w:r w:rsidRPr="009B71A8">
        <w:rPr>
          <w:rFonts w:asciiTheme="majorBidi" w:hAnsiTheme="majorBidi" w:cstheme="majorBidi"/>
          <w:sz w:val="24"/>
          <w:szCs w:val="24"/>
          <w:lang w:eastAsia="en-GB"/>
        </w:rPr>
        <w:t>nagrinėti iš naujo</w:t>
      </w:r>
      <w:r w:rsidR="009B71A8" w:rsidRPr="009B71A8">
        <w:rPr>
          <w:rFonts w:asciiTheme="majorBidi" w:hAnsiTheme="majorBidi" w:cstheme="majorBidi"/>
          <w:sz w:val="24"/>
          <w:szCs w:val="24"/>
          <w:lang w:eastAsia="en-GB"/>
        </w:rPr>
        <w:t xml:space="preserve"> pirmosios instancijos teismui</w:t>
      </w:r>
      <w:r w:rsidRPr="009B71A8">
        <w:rPr>
          <w:rFonts w:asciiTheme="majorBidi" w:hAnsiTheme="majorBidi" w:cstheme="majorBidi"/>
          <w:sz w:val="24"/>
          <w:szCs w:val="24"/>
          <w:lang w:eastAsia="en-GB"/>
        </w:rPr>
        <w:t>.</w:t>
      </w:r>
    </w:p>
    <w:bookmarkEnd w:id="5"/>
    <w:p w14:paraId="6D7B0A2B" w14:textId="235C68EC" w:rsidR="009B71A8" w:rsidRDefault="003A75EA">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lang w:eastAsia="en-GB"/>
        </w:rPr>
        <w:t>Teisėjų kolegija sutiko su ieškov</w:t>
      </w:r>
      <w:r w:rsidR="001A5159">
        <w:rPr>
          <w:rFonts w:asciiTheme="majorBidi" w:hAnsiTheme="majorBidi" w:cstheme="majorBidi"/>
          <w:sz w:val="24"/>
          <w:szCs w:val="24"/>
          <w:lang w:eastAsia="en-GB"/>
        </w:rPr>
        <w:t>e</w:t>
      </w:r>
      <w:r>
        <w:rPr>
          <w:rFonts w:asciiTheme="majorBidi" w:hAnsiTheme="majorBidi" w:cstheme="majorBidi"/>
          <w:sz w:val="24"/>
          <w:szCs w:val="24"/>
          <w:lang w:eastAsia="en-GB"/>
        </w:rPr>
        <w:t xml:space="preserve">, kad atsakovė neįvykdė jai tenkančios pareigos įrodyti, </w:t>
      </w:r>
      <w:r w:rsidR="0009494D">
        <w:rPr>
          <w:rFonts w:asciiTheme="majorBidi" w:hAnsiTheme="majorBidi" w:cstheme="majorBidi"/>
          <w:sz w:val="24"/>
          <w:szCs w:val="24"/>
          <w:lang w:eastAsia="en-GB"/>
        </w:rPr>
        <w:t>jog</w:t>
      </w:r>
      <w:r>
        <w:rPr>
          <w:rFonts w:asciiTheme="majorBidi" w:hAnsiTheme="majorBidi" w:cstheme="majorBidi"/>
          <w:sz w:val="24"/>
          <w:szCs w:val="24"/>
          <w:lang w:eastAsia="en-GB"/>
        </w:rPr>
        <w:t xml:space="preserve"> ginčo objektu tapusių vaistinių preparatų perpakavimas buvo būtinas</w:t>
      </w:r>
      <w:r w:rsidR="009B71A8">
        <w:rPr>
          <w:rFonts w:asciiTheme="majorBidi" w:hAnsiTheme="majorBidi" w:cstheme="majorBidi"/>
          <w:sz w:val="24"/>
          <w:szCs w:val="24"/>
          <w:lang w:eastAsia="en-GB"/>
        </w:rPr>
        <w:t>.</w:t>
      </w:r>
      <w:r>
        <w:rPr>
          <w:rFonts w:asciiTheme="majorBidi" w:hAnsiTheme="majorBidi" w:cstheme="majorBidi"/>
          <w:sz w:val="24"/>
          <w:szCs w:val="24"/>
          <w:lang w:eastAsia="en-GB"/>
        </w:rPr>
        <w:t xml:space="preserve"> Apeliacinės instancijos teismo teisėjų kolegija nurodė, kad pirmosios instancijos teismas, padaręs išvadą, </w:t>
      </w:r>
      <w:r w:rsidR="00797C9F">
        <w:rPr>
          <w:rFonts w:asciiTheme="majorBidi" w:hAnsiTheme="majorBidi" w:cstheme="majorBidi"/>
          <w:sz w:val="24"/>
          <w:szCs w:val="24"/>
          <w:lang w:eastAsia="en-GB"/>
        </w:rPr>
        <w:t>jog</w:t>
      </w:r>
      <w:r>
        <w:rPr>
          <w:rFonts w:asciiTheme="majorBidi" w:hAnsiTheme="majorBidi" w:cstheme="majorBidi"/>
          <w:sz w:val="24"/>
          <w:szCs w:val="24"/>
          <w:lang w:eastAsia="en-GB"/>
        </w:rPr>
        <w:t xml:space="preserve"> ieškov</w:t>
      </w:r>
      <w:r w:rsidR="001A5159">
        <w:rPr>
          <w:rFonts w:asciiTheme="majorBidi" w:hAnsiTheme="majorBidi" w:cstheme="majorBidi"/>
          <w:sz w:val="24"/>
          <w:szCs w:val="24"/>
          <w:lang w:eastAsia="en-GB"/>
        </w:rPr>
        <w:t>ės</w:t>
      </w:r>
      <w:r>
        <w:rPr>
          <w:rFonts w:asciiTheme="majorBidi" w:hAnsiTheme="majorBidi" w:cstheme="majorBidi"/>
          <w:sz w:val="24"/>
          <w:szCs w:val="24"/>
          <w:lang w:eastAsia="en-GB"/>
        </w:rPr>
        <w:t>, kaip prek</w:t>
      </w:r>
      <w:r w:rsidR="0009494D">
        <w:rPr>
          <w:rFonts w:asciiTheme="majorBidi" w:hAnsiTheme="majorBidi" w:cstheme="majorBidi"/>
          <w:sz w:val="24"/>
          <w:szCs w:val="24"/>
          <w:lang w:eastAsia="en-GB"/>
        </w:rPr>
        <w:t>ių</w:t>
      </w:r>
      <w:r>
        <w:rPr>
          <w:rFonts w:asciiTheme="majorBidi" w:hAnsiTheme="majorBidi" w:cstheme="majorBidi"/>
          <w:sz w:val="24"/>
          <w:szCs w:val="24"/>
          <w:lang w:eastAsia="en-GB"/>
        </w:rPr>
        <w:t xml:space="preserve"> ženklo savinink</w:t>
      </w:r>
      <w:r w:rsidR="0009494D">
        <w:rPr>
          <w:rFonts w:asciiTheme="majorBidi" w:hAnsiTheme="majorBidi" w:cstheme="majorBidi"/>
          <w:sz w:val="24"/>
          <w:szCs w:val="24"/>
          <w:lang w:eastAsia="en-GB"/>
        </w:rPr>
        <w:t>ės,</w:t>
      </w:r>
      <w:r>
        <w:rPr>
          <w:rFonts w:asciiTheme="majorBidi" w:hAnsiTheme="majorBidi" w:cstheme="majorBidi"/>
          <w:sz w:val="24"/>
          <w:szCs w:val="24"/>
          <w:lang w:eastAsia="en-GB"/>
        </w:rPr>
        <w:t xml:space="preserve"> teisės nebuvo pažeistos, suklydo.</w:t>
      </w:r>
    </w:p>
    <w:p w14:paraId="127A8940" w14:textId="00AF4D19" w:rsidR="003A75EA" w:rsidRDefault="003A75EA">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lang w:eastAsia="en-GB"/>
        </w:rPr>
        <w:t>Apeliacinės instancijos teismo teisėjų kolegija nustatė, kad a</w:t>
      </w:r>
      <w:r w:rsidRPr="003A75EA">
        <w:rPr>
          <w:rFonts w:asciiTheme="majorBidi" w:hAnsiTheme="majorBidi" w:cstheme="majorBidi"/>
          <w:sz w:val="24"/>
          <w:szCs w:val="24"/>
          <w:lang w:eastAsia="en-GB"/>
        </w:rPr>
        <w:t xml:space="preserve">tsakovė įrodė tokią prekių ženklo savininko draudimą prekiauti perpakuotomis farmacinėmis prekėmis </w:t>
      </w:r>
      <w:r w:rsidR="00797C9F">
        <w:rPr>
          <w:rFonts w:asciiTheme="majorBidi" w:hAnsiTheme="majorBidi" w:cstheme="majorBidi"/>
          <w:sz w:val="24"/>
          <w:szCs w:val="24"/>
          <w:lang w:eastAsia="en-GB"/>
        </w:rPr>
        <w:t>pašalin</w:t>
      </w:r>
      <w:r w:rsidRPr="003A75EA">
        <w:rPr>
          <w:rFonts w:asciiTheme="majorBidi" w:hAnsiTheme="majorBidi" w:cstheme="majorBidi"/>
          <w:sz w:val="24"/>
          <w:szCs w:val="24"/>
          <w:lang w:eastAsia="en-GB"/>
        </w:rPr>
        <w:t xml:space="preserve">ančią sąlygą kaip būtino pranešimo </w:t>
      </w:r>
      <w:r>
        <w:rPr>
          <w:rFonts w:asciiTheme="majorBidi" w:hAnsiTheme="majorBidi" w:cstheme="majorBidi"/>
          <w:sz w:val="24"/>
          <w:szCs w:val="24"/>
          <w:lang w:eastAsia="en-GB"/>
        </w:rPr>
        <w:t>ieškov</w:t>
      </w:r>
      <w:r w:rsidR="001A5159">
        <w:rPr>
          <w:rFonts w:asciiTheme="majorBidi" w:hAnsiTheme="majorBidi" w:cstheme="majorBidi"/>
          <w:sz w:val="24"/>
          <w:szCs w:val="24"/>
          <w:lang w:eastAsia="en-GB"/>
        </w:rPr>
        <w:t>e</w:t>
      </w:r>
      <w:r>
        <w:rPr>
          <w:rFonts w:asciiTheme="majorBidi" w:hAnsiTheme="majorBidi" w:cstheme="majorBidi"/>
          <w:sz w:val="24"/>
          <w:szCs w:val="24"/>
          <w:lang w:eastAsia="en-GB"/>
        </w:rPr>
        <w:t>i</w:t>
      </w:r>
      <w:r w:rsidRPr="003A75EA">
        <w:rPr>
          <w:rFonts w:asciiTheme="majorBidi" w:hAnsiTheme="majorBidi" w:cstheme="majorBidi"/>
          <w:sz w:val="24"/>
          <w:szCs w:val="24"/>
          <w:lang w:eastAsia="en-GB"/>
        </w:rPr>
        <w:t xml:space="preserve"> pateikim</w:t>
      </w:r>
      <w:r>
        <w:rPr>
          <w:rFonts w:asciiTheme="majorBidi" w:hAnsiTheme="majorBidi" w:cstheme="majorBidi"/>
          <w:sz w:val="24"/>
          <w:szCs w:val="24"/>
          <w:lang w:eastAsia="en-GB"/>
        </w:rPr>
        <w:t>ą</w:t>
      </w:r>
      <w:r w:rsidRPr="003A75EA">
        <w:rPr>
          <w:rFonts w:asciiTheme="majorBidi" w:hAnsiTheme="majorBidi" w:cstheme="majorBidi"/>
          <w:sz w:val="24"/>
          <w:szCs w:val="24"/>
          <w:lang w:eastAsia="en-GB"/>
        </w:rPr>
        <w:t xml:space="preserve">. Apie savo ketinimą importuoti ir perpakuoti vaistinius preparatus ji įspėjo </w:t>
      </w:r>
      <w:r>
        <w:rPr>
          <w:rFonts w:asciiTheme="majorBidi" w:hAnsiTheme="majorBidi" w:cstheme="majorBidi"/>
          <w:sz w:val="24"/>
          <w:szCs w:val="24"/>
          <w:lang w:eastAsia="en-GB"/>
        </w:rPr>
        <w:t>ieškov</w:t>
      </w:r>
      <w:r w:rsidR="001A5159">
        <w:rPr>
          <w:rFonts w:asciiTheme="majorBidi" w:hAnsiTheme="majorBidi" w:cstheme="majorBidi"/>
          <w:sz w:val="24"/>
          <w:szCs w:val="24"/>
          <w:lang w:eastAsia="en-GB"/>
        </w:rPr>
        <w:t>ę</w:t>
      </w:r>
      <w:r w:rsidRPr="003A75EA">
        <w:rPr>
          <w:rFonts w:asciiTheme="majorBidi" w:hAnsiTheme="majorBidi" w:cstheme="majorBidi"/>
          <w:sz w:val="24"/>
          <w:szCs w:val="24"/>
          <w:lang w:eastAsia="en-GB"/>
        </w:rPr>
        <w:t xml:space="preserve"> </w:t>
      </w:r>
      <w:r w:rsidR="0009494D">
        <w:rPr>
          <w:rFonts w:asciiTheme="majorBidi" w:hAnsiTheme="majorBidi" w:cstheme="majorBidi"/>
          <w:sz w:val="24"/>
          <w:szCs w:val="24"/>
          <w:lang w:eastAsia="en-GB"/>
        </w:rPr>
        <w:t>ir</w:t>
      </w:r>
      <w:r w:rsidRPr="003A75EA">
        <w:rPr>
          <w:rFonts w:asciiTheme="majorBidi" w:hAnsiTheme="majorBidi" w:cstheme="majorBidi"/>
          <w:sz w:val="24"/>
          <w:szCs w:val="24"/>
          <w:lang w:eastAsia="en-GB"/>
        </w:rPr>
        <w:t>, šia</w:t>
      </w:r>
      <w:r w:rsidR="0040478B">
        <w:rPr>
          <w:rFonts w:asciiTheme="majorBidi" w:hAnsiTheme="majorBidi" w:cstheme="majorBidi"/>
          <w:sz w:val="24"/>
          <w:szCs w:val="24"/>
          <w:lang w:eastAsia="en-GB"/>
        </w:rPr>
        <w:t>i</w:t>
      </w:r>
      <w:r w:rsidRPr="003A75EA">
        <w:rPr>
          <w:rFonts w:asciiTheme="majorBidi" w:hAnsiTheme="majorBidi" w:cstheme="majorBidi"/>
          <w:sz w:val="24"/>
          <w:szCs w:val="24"/>
          <w:lang w:eastAsia="en-GB"/>
        </w:rPr>
        <w:t xml:space="preserve"> prašant, pateikė perpakuotos prekės pavyzdį. </w:t>
      </w:r>
      <w:r>
        <w:rPr>
          <w:rFonts w:asciiTheme="majorBidi" w:hAnsiTheme="majorBidi" w:cstheme="majorBidi"/>
          <w:sz w:val="24"/>
          <w:szCs w:val="24"/>
          <w:lang w:eastAsia="en-GB"/>
        </w:rPr>
        <w:t>Kolegija nurodė, kad i</w:t>
      </w:r>
      <w:r w:rsidRPr="003A75EA">
        <w:rPr>
          <w:rFonts w:asciiTheme="majorBidi" w:hAnsiTheme="majorBidi" w:cstheme="majorBidi"/>
          <w:sz w:val="24"/>
          <w:szCs w:val="24"/>
          <w:lang w:eastAsia="en-GB"/>
        </w:rPr>
        <w:t xml:space="preserve">š bylos medžiagos matyti, </w:t>
      </w:r>
      <w:r>
        <w:rPr>
          <w:rFonts w:asciiTheme="majorBidi" w:hAnsiTheme="majorBidi" w:cstheme="majorBidi"/>
          <w:sz w:val="24"/>
          <w:szCs w:val="24"/>
          <w:lang w:eastAsia="en-GB"/>
        </w:rPr>
        <w:t>jog</w:t>
      </w:r>
      <w:r w:rsidRPr="003A75EA">
        <w:rPr>
          <w:rFonts w:asciiTheme="majorBidi" w:hAnsiTheme="majorBidi" w:cstheme="majorBidi"/>
          <w:sz w:val="24"/>
          <w:szCs w:val="24"/>
          <w:lang w:eastAsia="en-GB"/>
        </w:rPr>
        <w:t xml:space="preserve"> atsakovė 2020 m. liepos 17 d. pranešimu informavo </w:t>
      </w:r>
      <w:r>
        <w:rPr>
          <w:rFonts w:asciiTheme="majorBidi" w:hAnsiTheme="majorBidi" w:cstheme="majorBidi"/>
          <w:sz w:val="24"/>
          <w:szCs w:val="24"/>
          <w:lang w:eastAsia="en-GB"/>
        </w:rPr>
        <w:t>ieškov</w:t>
      </w:r>
      <w:r w:rsidR="0040478B">
        <w:rPr>
          <w:rFonts w:asciiTheme="majorBidi" w:hAnsiTheme="majorBidi" w:cstheme="majorBidi"/>
          <w:sz w:val="24"/>
          <w:szCs w:val="24"/>
          <w:lang w:eastAsia="en-GB"/>
        </w:rPr>
        <w:t>ę</w:t>
      </w:r>
      <w:r w:rsidRPr="003A75EA">
        <w:rPr>
          <w:rFonts w:asciiTheme="majorBidi" w:hAnsiTheme="majorBidi" w:cstheme="majorBidi"/>
          <w:sz w:val="24"/>
          <w:szCs w:val="24"/>
          <w:lang w:eastAsia="en-GB"/>
        </w:rPr>
        <w:t xml:space="preserve"> apie ketinimą lygiagrečiai importuoti </w:t>
      </w:r>
      <w:r w:rsidR="00797C9F" w:rsidRPr="003A75EA">
        <w:rPr>
          <w:rFonts w:asciiTheme="majorBidi" w:hAnsiTheme="majorBidi" w:cstheme="majorBidi"/>
          <w:sz w:val="24"/>
          <w:szCs w:val="24"/>
          <w:lang w:eastAsia="en-GB"/>
        </w:rPr>
        <w:t xml:space="preserve">iš Vengrijos į Lietuvą </w:t>
      </w:r>
      <w:r w:rsidR="0009494D" w:rsidRPr="003A75EA">
        <w:rPr>
          <w:rFonts w:asciiTheme="majorBidi" w:hAnsiTheme="majorBidi" w:cstheme="majorBidi"/>
          <w:sz w:val="24"/>
          <w:szCs w:val="24"/>
          <w:lang w:eastAsia="en-GB"/>
        </w:rPr>
        <w:t xml:space="preserve">50 </w:t>
      </w:r>
      <w:proofErr w:type="spellStart"/>
      <w:r w:rsidR="0009494D" w:rsidRPr="003A75EA">
        <w:rPr>
          <w:rFonts w:asciiTheme="majorBidi" w:hAnsiTheme="majorBidi" w:cstheme="majorBidi"/>
          <w:sz w:val="24"/>
          <w:szCs w:val="24"/>
          <w:lang w:eastAsia="en-GB"/>
        </w:rPr>
        <w:t>mikrogramų</w:t>
      </w:r>
      <w:proofErr w:type="spellEnd"/>
      <w:r w:rsidR="0009494D" w:rsidRPr="003A75EA">
        <w:rPr>
          <w:rFonts w:asciiTheme="majorBidi" w:hAnsiTheme="majorBidi" w:cstheme="majorBidi"/>
          <w:sz w:val="24"/>
          <w:szCs w:val="24"/>
          <w:lang w:eastAsia="en-GB"/>
        </w:rPr>
        <w:t xml:space="preserve"> tabletes </w:t>
      </w:r>
      <w:r w:rsidR="001A5159">
        <w:rPr>
          <w:rFonts w:asciiTheme="majorBidi" w:hAnsiTheme="majorBidi" w:cstheme="majorBidi"/>
          <w:sz w:val="24"/>
          <w:szCs w:val="24"/>
          <w:lang w:eastAsia="en-GB"/>
        </w:rPr>
        <w:t>„</w:t>
      </w:r>
      <w:proofErr w:type="spellStart"/>
      <w:r w:rsidRPr="003A75EA">
        <w:rPr>
          <w:rFonts w:asciiTheme="majorBidi" w:hAnsiTheme="majorBidi" w:cstheme="majorBidi"/>
          <w:sz w:val="24"/>
          <w:szCs w:val="24"/>
          <w:lang w:eastAsia="en-GB"/>
        </w:rPr>
        <w:t>Letrox</w:t>
      </w:r>
      <w:proofErr w:type="spellEnd"/>
      <w:r w:rsidR="001A5159">
        <w:rPr>
          <w:rFonts w:asciiTheme="majorBidi" w:hAnsiTheme="majorBidi" w:cstheme="majorBidi"/>
          <w:sz w:val="24"/>
          <w:szCs w:val="24"/>
          <w:lang w:eastAsia="en-GB"/>
        </w:rPr>
        <w:t>“</w:t>
      </w:r>
      <w:r w:rsidRPr="003A75EA">
        <w:rPr>
          <w:rFonts w:asciiTheme="majorBidi" w:hAnsiTheme="majorBidi" w:cstheme="majorBidi"/>
          <w:sz w:val="24"/>
          <w:szCs w:val="24"/>
          <w:lang w:eastAsia="en-GB"/>
        </w:rPr>
        <w:t xml:space="preserve"> 100</w:t>
      </w:r>
      <w:r w:rsidR="00797C9F">
        <w:rPr>
          <w:rFonts w:asciiTheme="majorBidi" w:hAnsiTheme="majorBidi" w:cstheme="majorBidi"/>
          <w:sz w:val="24"/>
          <w:szCs w:val="24"/>
          <w:lang w:eastAsia="en-GB"/>
        </w:rPr>
        <w:t> </w:t>
      </w:r>
      <w:r w:rsidRPr="003A75EA">
        <w:rPr>
          <w:rFonts w:asciiTheme="majorBidi" w:hAnsiTheme="majorBidi" w:cstheme="majorBidi"/>
          <w:sz w:val="24"/>
          <w:szCs w:val="24"/>
          <w:lang w:eastAsia="en-GB"/>
        </w:rPr>
        <w:t xml:space="preserve">tablečių pakuotėje kaip </w:t>
      </w:r>
      <w:r w:rsidR="001A5159">
        <w:rPr>
          <w:rFonts w:asciiTheme="majorBidi" w:hAnsiTheme="majorBidi" w:cstheme="majorBidi"/>
          <w:sz w:val="24"/>
          <w:szCs w:val="24"/>
          <w:lang w:eastAsia="en-GB"/>
        </w:rPr>
        <w:t>„</w:t>
      </w:r>
      <w:r w:rsidRPr="003A75EA">
        <w:rPr>
          <w:rFonts w:asciiTheme="majorBidi" w:hAnsiTheme="majorBidi" w:cstheme="majorBidi"/>
          <w:sz w:val="24"/>
          <w:szCs w:val="24"/>
          <w:lang w:eastAsia="en-GB"/>
        </w:rPr>
        <w:t>L-</w:t>
      </w:r>
      <w:proofErr w:type="spellStart"/>
      <w:r w:rsidRPr="003A75EA">
        <w:rPr>
          <w:rFonts w:asciiTheme="majorBidi" w:hAnsiTheme="majorBidi" w:cstheme="majorBidi"/>
          <w:sz w:val="24"/>
          <w:szCs w:val="24"/>
          <w:lang w:eastAsia="en-GB"/>
        </w:rPr>
        <w:t>Thyroxin</w:t>
      </w:r>
      <w:proofErr w:type="spellEnd"/>
      <w:r w:rsidRPr="003A75EA">
        <w:rPr>
          <w:rFonts w:asciiTheme="majorBidi" w:hAnsiTheme="majorBidi" w:cstheme="majorBidi"/>
          <w:sz w:val="24"/>
          <w:szCs w:val="24"/>
          <w:lang w:eastAsia="en-GB"/>
        </w:rPr>
        <w:t xml:space="preserve"> </w:t>
      </w:r>
      <w:proofErr w:type="spellStart"/>
      <w:r w:rsidRPr="003A75EA">
        <w:rPr>
          <w:rFonts w:asciiTheme="majorBidi" w:hAnsiTheme="majorBidi" w:cstheme="majorBidi"/>
          <w:sz w:val="24"/>
          <w:szCs w:val="24"/>
          <w:lang w:eastAsia="en-GB"/>
        </w:rPr>
        <w:t>Berlin-Chemie</w:t>
      </w:r>
      <w:proofErr w:type="spellEnd"/>
      <w:r w:rsidR="001A5159">
        <w:rPr>
          <w:rFonts w:asciiTheme="majorBidi" w:hAnsiTheme="majorBidi" w:cstheme="majorBidi"/>
          <w:sz w:val="24"/>
          <w:szCs w:val="24"/>
          <w:lang w:eastAsia="en-GB"/>
        </w:rPr>
        <w:t>“</w:t>
      </w:r>
      <w:r w:rsidRPr="003A75EA">
        <w:rPr>
          <w:rFonts w:asciiTheme="majorBidi" w:hAnsiTheme="majorBidi" w:cstheme="majorBidi"/>
          <w:sz w:val="24"/>
          <w:szCs w:val="24"/>
          <w:lang w:eastAsia="en-GB"/>
        </w:rPr>
        <w:t xml:space="preserve"> </w:t>
      </w:r>
      <w:r w:rsidR="0009494D">
        <w:rPr>
          <w:rFonts w:asciiTheme="majorBidi" w:hAnsiTheme="majorBidi" w:cstheme="majorBidi"/>
          <w:sz w:val="24"/>
          <w:szCs w:val="24"/>
          <w:lang w:eastAsia="en-GB"/>
        </w:rPr>
        <w:t>ir</w:t>
      </w:r>
      <w:r w:rsidRPr="003A75EA">
        <w:rPr>
          <w:rFonts w:asciiTheme="majorBidi" w:hAnsiTheme="majorBidi" w:cstheme="majorBidi"/>
          <w:sz w:val="24"/>
          <w:szCs w:val="24"/>
          <w:lang w:eastAsia="en-GB"/>
        </w:rPr>
        <w:t xml:space="preserve"> pridėjo naujos pakuotės pavyzdį, informacinį lapelį lietuvių kalba ir vaistinio preparato lizdinę plokštelę. Kitu</w:t>
      </w:r>
      <w:r w:rsidR="0009494D">
        <w:rPr>
          <w:rFonts w:asciiTheme="majorBidi" w:hAnsiTheme="majorBidi" w:cstheme="majorBidi"/>
          <w:sz w:val="24"/>
          <w:szCs w:val="24"/>
          <w:lang w:eastAsia="en-GB"/>
        </w:rPr>
        <w:t xml:space="preserve"> –</w:t>
      </w:r>
      <w:r w:rsidRPr="003A75EA">
        <w:rPr>
          <w:rFonts w:asciiTheme="majorBidi" w:hAnsiTheme="majorBidi" w:cstheme="majorBidi"/>
          <w:sz w:val="24"/>
          <w:szCs w:val="24"/>
          <w:lang w:eastAsia="en-GB"/>
        </w:rPr>
        <w:t xml:space="preserve"> 2020 m. spalio 7</w:t>
      </w:r>
      <w:r w:rsidR="0009494D">
        <w:rPr>
          <w:rFonts w:asciiTheme="majorBidi" w:hAnsiTheme="majorBidi" w:cstheme="majorBidi"/>
          <w:sz w:val="24"/>
          <w:szCs w:val="24"/>
          <w:lang w:eastAsia="en-GB"/>
        </w:rPr>
        <w:t> </w:t>
      </w:r>
      <w:r w:rsidRPr="003A75EA">
        <w:rPr>
          <w:rFonts w:asciiTheme="majorBidi" w:hAnsiTheme="majorBidi" w:cstheme="majorBidi"/>
          <w:sz w:val="24"/>
          <w:szCs w:val="24"/>
          <w:lang w:eastAsia="en-GB"/>
        </w:rPr>
        <w:t xml:space="preserve">d. pranešimu atsakovė informavo </w:t>
      </w:r>
      <w:r>
        <w:rPr>
          <w:rFonts w:asciiTheme="majorBidi" w:hAnsiTheme="majorBidi" w:cstheme="majorBidi"/>
          <w:sz w:val="24"/>
          <w:szCs w:val="24"/>
          <w:lang w:eastAsia="en-GB"/>
        </w:rPr>
        <w:t>ieškov</w:t>
      </w:r>
      <w:r w:rsidR="001A5159">
        <w:rPr>
          <w:rFonts w:asciiTheme="majorBidi" w:hAnsiTheme="majorBidi" w:cstheme="majorBidi"/>
          <w:sz w:val="24"/>
          <w:szCs w:val="24"/>
          <w:lang w:eastAsia="en-GB"/>
        </w:rPr>
        <w:t>ę</w:t>
      </w:r>
      <w:r w:rsidRPr="003A75EA">
        <w:rPr>
          <w:rFonts w:asciiTheme="majorBidi" w:hAnsiTheme="majorBidi" w:cstheme="majorBidi"/>
          <w:sz w:val="24"/>
          <w:szCs w:val="24"/>
          <w:lang w:eastAsia="en-GB"/>
        </w:rPr>
        <w:t xml:space="preserve"> apie 100 </w:t>
      </w:r>
      <w:proofErr w:type="spellStart"/>
      <w:r w:rsidRPr="003A75EA">
        <w:rPr>
          <w:rFonts w:asciiTheme="majorBidi" w:hAnsiTheme="majorBidi" w:cstheme="majorBidi"/>
          <w:sz w:val="24"/>
          <w:szCs w:val="24"/>
          <w:lang w:eastAsia="en-GB"/>
        </w:rPr>
        <w:t>mikrogramų</w:t>
      </w:r>
      <w:proofErr w:type="spellEnd"/>
      <w:r w:rsidRPr="003A75EA">
        <w:rPr>
          <w:rFonts w:asciiTheme="majorBidi" w:hAnsiTheme="majorBidi" w:cstheme="majorBidi"/>
          <w:sz w:val="24"/>
          <w:szCs w:val="24"/>
          <w:lang w:eastAsia="en-GB"/>
        </w:rPr>
        <w:t xml:space="preserve"> tablečių 100 tablečių pakuotėje lygiagretų importą, 2021 m. sausio 5 d. pranešimu – apie 125 </w:t>
      </w:r>
      <w:proofErr w:type="spellStart"/>
      <w:r w:rsidRPr="003A75EA">
        <w:rPr>
          <w:rFonts w:asciiTheme="majorBidi" w:hAnsiTheme="majorBidi" w:cstheme="majorBidi"/>
          <w:sz w:val="24"/>
          <w:szCs w:val="24"/>
          <w:lang w:eastAsia="en-GB"/>
        </w:rPr>
        <w:t>mikrogramų</w:t>
      </w:r>
      <w:proofErr w:type="spellEnd"/>
      <w:r w:rsidRPr="003A75EA">
        <w:rPr>
          <w:rFonts w:asciiTheme="majorBidi" w:hAnsiTheme="majorBidi" w:cstheme="majorBidi"/>
          <w:sz w:val="24"/>
          <w:szCs w:val="24"/>
          <w:lang w:eastAsia="en-GB"/>
        </w:rPr>
        <w:t xml:space="preserve"> tablečių 100 tablečių pakuotėje lygiagretų importą, 2021 m. vasario 11 d. pranešimu</w:t>
      </w:r>
      <w:r>
        <w:rPr>
          <w:rFonts w:asciiTheme="majorBidi" w:hAnsiTheme="majorBidi" w:cstheme="majorBidi"/>
          <w:sz w:val="24"/>
          <w:szCs w:val="24"/>
          <w:lang w:eastAsia="en-GB"/>
        </w:rPr>
        <w:t xml:space="preserve"> </w:t>
      </w:r>
      <w:r w:rsidRPr="003A75EA">
        <w:rPr>
          <w:rFonts w:asciiTheme="majorBidi" w:hAnsiTheme="majorBidi" w:cstheme="majorBidi"/>
          <w:sz w:val="24"/>
          <w:szCs w:val="24"/>
          <w:lang w:eastAsia="en-GB"/>
        </w:rPr>
        <w:t xml:space="preserve">– apie 75 </w:t>
      </w:r>
      <w:proofErr w:type="spellStart"/>
      <w:r w:rsidRPr="003A75EA">
        <w:rPr>
          <w:rFonts w:asciiTheme="majorBidi" w:hAnsiTheme="majorBidi" w:cstheme="majorBidi"/>
          <w:sz w:val="24"/>
          <w:szCs w:val="24"/>
          <w:lang w:eastAsia="en-GB"/>
        </w:rPr>
        <w:t>mikrogramų</w:t>
      </w:r>
      <w:proofErr w:type="spellEnd"/>
      <w:r w:rsidRPr="003A75EA">
        <w:rPr>
          <w:rFonts w:asciiTheme="majorBidi" w:hAnsiTheme="majorBidi" w:cstheme="majorBidi"/>
          <w:sz w:val="24"/>
          <w:szCs w:val="24"/>
          <w:lang w:eastAsia="en-GB"/>
        </w:rPr>
        <w:t xml:space="preserve"> tablečių 100 tablečių pakuotėje lygiagretų importą </w:t>
      </w:r>
      <w:r w:rsidR="0009494D">
        <w:rPr>
          <w:rFonts w:asciiTheme="majorBidi" w:hAnsiTheme="majorBidi" w:cstheme="majorBidi"/>
          <w:sz w:val="24"/>
          <w:szCs w:val="24"/>
          <w:lang w:eastAsia="en-GB"/>
        </w:rPr>
        <w:t>ir</w:t>
      </w:r>
      <w:r w:rsidRPr="003A75EA">
        <w:rPr>
          <w:rFonts w:asciiTheme="majorBidi" w:hAnsiTheme="majorBidi" w:cstheme="majorBidi"/>
          <w:sz w:val="24"/>
          <w:szCs w:val="24"/>
          <w:lang w:eastAsia="en-GB"/>
        </w:rPr>
        <w:t xml:space="preserve"> pridėjo pakuočių, informacinių lapelių, lizdinės plokštelės pavyzdžius. </w:t>
      </w:r>
      <w:r>
        <w:rPr>
          <w:rFonts w:asciiTheme="majorBidi" w:hAnsiTheme="majorBidi" w:cstheme="majorBidi"/>
          <w:sz w:val="24"/>
          <w:szCs w:val="24"/>
          <w:lang w:eastAsia="en-GB"/>
        </w:rPr>
        <w:t>Todėl apeliacinės instancijos teismo teisėjų kolegija konstatavo, kad</w:t>
      </w:r>
      <w:r w:rsidRPr="003A75EA">
        <w:rPr>
          <w:rFonts w:asciiTheme="majorBidi" w:hAnsiTheme="majorBidi" w:cstheme="majorBidi"/>
          <w:sz w:val="24"/>
          <w:szCs w:val="24"/>
          <w:lang w:eastAsia="en-GB"/>
        </w:rPr>
        <w:t xml:space="preserve"> atsakovė yra įgyvendinusi sąlygą, susijusią su prekių</w:t>
      </w:r>
      <w:r>
        <w:rPr>
          <w:rFonts w:asciiTheme="majorBidi" w:hAnsiTheme="majorBidi" w:cstheme="majorBidi"/>
          <w:sz w:val="24"/>
          <w:szCs w:val="24"/>
          <w:lang w:eastAsia="en-GB"/>
        </w:rPr>
        <w:t xml:space="preserve"> ženklo</w:t>
      </w:r>
      <w:r w:rsidRPr="003A75EA">
        <w:rPr>
          <w:rFonts w:asciiTheme="majorBidi" w:hAnsiTheme="majorBidi" w:cstheme="majorBidi"/>
          <w:sz w:val="24"/>
          <w:szCs w:val="24"/>
          <w:lang w:eastAsia="en-GB"/>
        </w:rPr>
        <w:t xml:space="preserve"> savinink</w:t>
      </w:r>
      <w:r>
        <w:rPr>
          <w:rFonts w:asciiTheme="majorBidi" w:hAnsiTheme="majorBidi" w:cstheme="majorBidi"/>
          <w:sz w:val="24"/>
          <w:szCs w:val="24"/>
          <w:lang w:eastAsia="en-GB"/>
        </w:rPr>
        <w:t>o</w:t>
      </w:r>
      <w:r w:rsidRPr="003A75EA">
        <w:rPr>
          <w:rFonts w:asciiTheme="majorBidi" w:hAnsiTheme="majorBidi" w:cstheme="majorBidi"/>
          <w:sz w:val="24"/>
          <w:szCs w:val="24"/>
          <w:lang w:eastAsia="en-GB"/>
        </w:rPr>
        <w:t xml:space="preserve"> įspėjimu ir prekės pakuotės pavyzdžio pateikimu</w:t>
      </w:r>
      <w:r>
        <w:rPr>
          <w:rFonts w:asciiTheme="majorBidi" w:hAnsiTheme="majorBidi" w:cstheme="majorBidi"/>
          <w:sz w:val="24"/>
          <w:szCs w:val="24"/>
          <w:lang w:eastAsia="en-GB"/>
        </w:rPr>
        <w:t>.</w:t>
      </w:r>
    </w:p>
    <w:p w14:paraId="13987D1A" w14:textId="247D5F0F" w:rsidR="003A75EA" w:rsidRPr="003A75EA" w:rsidRDefault="003A75EA">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lang w:eastAsia="en-GB"/>
        </w:rPr>
        <w:t xml:space="preserve">Teisėjų kolegija sutiko su pirmosios instancijos teismu, kad byloje įrodyta ir kita būtinoji sąlyga – ant naujos </w:t>
      </w:r>
      <w:r>
        <w:rPr>
          <w:rFonts w:ascii="Times New Roman" w:hAnsi="Times New Roman"/>
          <w:sz w:val="24"/>
          <w:szCs w:val="24"/>
          <w:lang w:eastAsia="en-GB"/>
        </w:rPr>
        <w:t>pakuotės aiškiai nurodyta, kas prekę perpakavo bei jos gamintoja.</w:t>
      </w:r>
    </w:p>
    <w:p w14:paraId="70CA0A9F" w14:textId="1D5EBEF7" w:rsidR="003A75EA" w:rsidRPr="008F5470" w:rsidRDefault="003A75EA">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Pr>
          <w:rFonts w:ascii="Times New Roman" w:hAnsi="Times New Roman"/>
          <w:sz w:val="24"/>
          <w:szCs w:val="24"/>
          <w:lang w:eastAsia="en-GB"/>
        </w:rPr>
        <w:lastRenderedPageBreak/>
        <w:t xml:space="preserve">Taip pat apeliacinės instancijos teismo teisėjų kolegija nurodė, kad </w:t>
      </w:r>
      <w:r w:rsidRPr="003A75EA">
        <w:rPr>
          <w:rFonts w:ascii="Times New Roman" w:hAnsi="Times New Roman"/>
          <w:sz w:val="24"/>
          <w:szCs w:val="24"/>
          <w:lang w:eastAsia="en-GB"/>
        </w:rPr>
        <w:t>iš byloje esančių duomenų, kurių teisingumo nė viena iš šalių neneig</w:t>
      </w:r>
      <w:r w:rsidR="00634A51">
        <w:rPr>
          <w:rFonts w:ascii="Times New Roman" w:hAnsi="Times New Roman"/>
          <w:sz w:val="24"/>
          <w:szCs w:val="24"/>
          <w:lang w:eastAsia="en-GB"/>
        </w:rPr>
        <w:t>ė</w:t>
      </w:r>
      <w:r w:rsidRPr="003A75EA">
        <w:rPr>
          <w:rFonts w:ascii="Times New Roman" w:hAnsi="Times New Roman"/>
          <w:sz w:val="24"/>
          <w:szCs w:val="24"/>
          <w:lang w:eastAsia="en-GB"/>
        </w:rPr>
        <w:t xml:space="preserve">, matyti, </w:t>
      </w:r>
      <w:r>
        <w:rPr>
          <w:rFonts w:ascii="Times New Roman" w:hAnsi="Times New Roman"/>
          <w:sz w:val="24"/>
          <w:szCs w:val="24"/>
          <w:lang w:eastAsia="en-GB"/>
        </w:rPr>
        <w:t>jog</w:t>
      </w:r>
      <w:r w:rsidRPr="003A75EA">
        <w:rPr>
          <w:rFonts w:ascii="Times New Roman" w:hAnsi="Times New Roman"/>
          <w:sz w:val="24"/>
          <w:szCs w:val="24"/>
          <w:lang w:eastAsia="en-GB"/>
        </w:rPr>
        <w:t xml:space="preserve"> atsakovė į naują pakuotę iš pradinės pakuotė</w:t>
      </w:r>
      <w:r w:rsidR="0009494D">
        <w:rPr>
          <w:rFonts w:ascii="Times New Roman" w:hAnsi="Times New Roman"/>
          <w:sz w:val="24"/>
          <w:szCs w:val="24"/>
          <w:lang w:eastAsia="en-GB"/>
        </w:rPr>
        <w:t>s</w:t>
      </w:r>
      <w:r w:rsidRPr="003A75EA">
        <w:rPr>
          <w:rFonts w:ascii="Times New Roman" w:hAnsi="Times New Roman"/>
          <w:sz w:val="24"/>
          <w:szCs w:val="24"/>
          <w:lang w:eastAsia="en-GB"/>
        </w:rPr>
        <w:t xml:space="preserve"> perdėjo lizdinę plokštelę, kuri nebuvo daloma ar atidaryta, tablečių kiekis nebuvo keičiamas. Todėl</w:t>
      </w:r>
      <w:r>
        <w:rPr>
          <w:rFonts w:ascii="Times New Roman" w:hAnsi="Times New Roman"/>
          <w:sz w:val="24"/>
          <w:szCs w:val="24"/>
          <w:lang w:eastAsia="en-GB"/>
        </w:rPr>
        <w:t>, kolegijos vertinimu,</w:t>
      </w:r>
      <w:r w:rsidRPr="003A75EA">
        <w:rPr>
          <w:rFonts w:ascii="Times New Roman" w:hAnsi="Times New Roman"/>
          <w:sz w:val="24"/>
          <w:szCs w:val="24"/>
          <w:lang w:eastAsia="en-GB"/>
        </w:rPr>
        <w:t xml:space="preserve"> nėra pagrindo spręsti, kad perpakuojant galėjo būti paveikta vaistinio preparato kokybė. Be to, </w:t>
      </w:r>
      <w:r w:rsidR="008F5470">
        <w:rPr>
          <w:rFonts w:ascii="Times New Roman" w:hAnsi="Times New Roman"/>
          <w:sz w:val="24"/>
          <w:szCs w:val="24"/>
          <w:lang w:eastAsia="en-GB"/>
        </w:rPr>
        <w:t xml:space="preserve">teisėjų kolegija </w:t>
      </w:r>
      <w:r w:rsidR="008F5470" w:rsidRPr="008E69F0">
        <w:rPr>
          <w:rFonts w:ascii="Times New Roman" w:hAnsi="Times New Roman"/>
          <w:sz w:val="24"/>
          <w:szCs w:val="24"/>
          <w:lang w:eastAsia="en-GB"/>
        </w:rPr>
        <w:t xml:space="preserve">pažymėjo, kad </w:t>
      </w:r>
      <w:r w:rsidRPr="008E69F0">
        <w:rPr>
          <w:rFonts w:ascii="Times New Roman" w:hAnsi="Times New Roman"/>
          <w:sz w:val="24"/>
          <w:szCs w:val="24"/>
          <w:lang w:eastAsia="en-GB"/>
        </w:rPr>
        <w:t>V</w:t>
      </w:r>
      <w:r w:rsidR="008E69F0" w:rsidRPr="008E69F0">
        <w:rPr>
          <w:rFonts w:ascii="Times New Roman" w:hAnsi="Times New Roman"/>
          <w:sz w:val="24"/>
          <w:szCs w:val="24"/>
          <w:lang w:eastAsia="en-GB"/>
        </w:rPr>
        <w:t>alstybinė</w:t>
      </w:r>
      <w:r w:rsidR="008E69F0">
        <w:rPr>
          <w:rFonts w:ascii="Times New Roman" w:hAnsi="Times New Roman"/>
          <w:sz w:val="24"/>
          <w:szCs w:val="24"/>
          <w:lang w:eastAsia="en-GB"/>
        </w:rPr>
        <w:t xml:space="preserve"> vaistų kontrolės tarnyba prie Sveikatos apsaugos ministerijos</w:t>
      </w:r>
      <w:r w:rsidRPr="003A75EA">
        <w:rPr>
          <w:rFonts w:ascii="Times New Roman" w:hAnsi="Times New Roman"/>
          <w:sz w:val="24"/>
          <w:szCs w:val="24"/>
          <w:lang w:eastAsia="en-GB"/>
        </w:rPr>
        <w:t xml:space="preserve"> 2020 m. kovo 12 d. išdavė atsakovei vaistinio preparato lygiagretaus importo leidimą, leidžiantį iš Vengrijos importuoti 50</w:t>
      </w:r>
      <w:r w:rsidR="008E69F0">
        <w:rPr>
          <w:rFonts w:ascii="Times New Roman" w:hAnsi="Times New Roman"/>
          <w:sz w:val="24"/>
          <w:szCs w:val="24"/>
          <w:lang w:eastAsia="en-GB"/>
        </w:rPr>
        <w:t> </w:t>
      </w:r>
      <w:proofErr w:type="spellStart"/>
      <w:r w:rsidRPr="003A75EA">
        <w:rPr>
          <w:rFonts w:ascii="Times New Roman" w:hAnsi="Times New Roman"/>
          <w:sz w:val="24"/>
          <w:szCs w:val="24"/>
          <w:lang w:eastAsia="en-GB"/>
        </w:rPr>
        <w:t>mikrogramų</w:t>
      </w:r>
      <w:proofErr w:type="spellEnd"/>
      <w:r w:rsidRPr="003A75EA">
        <w:rPr>
          <w:rFonts w:ascii="Times New Roman" w:hAnsi="Times New Roman"/>
          <w:sz w:val="24"/>
          <w:szCs w:val="24"/>
          <w:lang w:eastAsia="en-GB"/>
        </w:rPr>
        <w:t xml:space="preserve"> tablečių lizdines plokšteles, N 100, pavadinimu </w:t>
      </w:r>
      <w:r w:rsidR="008E69F0">
        <w:rPr>
          <w:rFonts w:ascii="Times New Roman" w:hAnsi="Times New Roman"/>
          <w:sz w:val="24"/>
          <w:szCs w:val="24"/>
          <w:lang w:eastAsia="en-GB"/>
        </w:rPr>
        <w:t>„</w:t>
      </w:r>
      <w:r w:rsidRPr="003A75EA">
        <w:rPr>
          <w:rFonts w:ascii="Times New Roman" w:hAnsi="Times New Roman"/>
          <w:sz w:val="24"/>
          <w:szCs w:val="24"/>
          <w:lang w:eastAsia="en-GB"/>
        </w:rPr>
        <w:t>L-</w:t>
      </w:r>
      <w:proofErr w:type="spellStart"/>
      <w:r w:rsidRPr="003A75EA">
        <w:rPr>
          <w:rFonts w:ascii="Times New Roman" w:hAnsi="Times New Roman"/>
          <w:sz w:val="24"/>
          <w:szCs w:val="24"/>
          <w:lang w:eastAsia="en-GB"/>
        </w:rPr>
        <w:t>Thyroxin</w:t>
      </w:r>
      <w:proofErr w:type="spellEnd"/>
      <w:r w:rsidRPr="003A75EA">
        <w:rPr>
          <w:rFonts w:ascii="Times New Roman" w:hAnsi="Times New Roman"/>
          <w:sz w:val="24"/>
          <w:szCs w:val="24"/>
          <w:lang w:eastAsia="en-GB"/>
        </w:rPr>
        <w:t xml:space="preserve"> </w:t>
      </w:r>
      <w:proofErr w:type="spellStart"/>
      <w:r w:rsidRPr="003A75EA">
        <w:rPr>
          <w:rFonts w:ascii="Times New Roman" w:hAnsi="Times New Roman"/>
          <w:sz w:val="24"/>
          <w:szCs w:val="24"/>
          <w:lang w:eastAsia="en-GB"/>
        </w:rPr>
        <w:t>Berlin-Chemie</w:t>
      </w:r>
      <w:proofErr w:type="spellEnd"/>
      <w:r w:rsidR="008E69F0">
        <w:rPr>
          <w:rFonts w:ascii="Times New Roman" w:hAnsi="Times New Roman"/>
          <w:sz w:val="24"/>
          <w:szCs w:val="24"/>
          <w:lang w:eastAsia="en-GB"/>
        </w:rPr>
        <w:t>“</w:t>
      </w:r>
      <w:r w:rsidR="008F5470">
        <w:rPr>
          <w:rFonts w:ascii="Times New Roman" w:hAnsi="Times New Roman"/>
          <w:sz w:val="24"/>
          <w:szCs w:val="24"/>
          <w:lang w:eastAsia="en-GB"/>
        </w:rPr>
        <w:t>,</w:t>
      </w:r>
      <w:r w:rsidRPr="003A75EA">
        <w:rPr>
          <w:rFonts w:ascii="Times New Roman" w:hAnsi="Times New Roman"/>
          <w:sz w:val="24"/>
          <w:szCs w:val="24"/>
          <w:lang w:eastAsia="en-GB"/>
        </w:rPr>
        <w:t xml:space="preserve"> 2020 m. rugpjūčio 13 d. jai buvo išduotas analogiškas leidimas dėl 100 </w:t>
      </w:r>
      <w:proofErr w:type="spellStart"/>
      <w:r w:rsidRPr="003A75EA">
        <w:rPr>
          <w:rFonts w:ascii="Times New Roman" w:hAnsi="Times New Roman"/>
          <w:sz w:val="24"/>
          <w:szCs w:val="24"/>
          <w:lang w:eastAsia="en-GB"/>
        </w:rPr>
        <w:t>mikrogramų</w:t>
      </w:r>
      <w:proofErr w:type="spellEnd"/>
      <w:r w:rsidRPr="003A75EA">
        <w:rPr>
          <w:rFonts w:ascii="Times New Roman" w:hAnsi="Times New Roman"/>
          <w:sz w:val="24"/>
          <w:szCs w:val="24"/>
          <w:lang w:eastAsia="en-GB"/>
        </w:rPr>
        <w:t xml:space="preserve"> tablečių lizdinės pakuotės importo. </w:t>
      </w:r>
      <w:r w:rsidR="008E69F0">
        <w:rPr>
          <w:rFonts w:ascii="Times New Roman" w:hAnsi="Times New Roman"/>
          <w:sz w:val="24"/>
          <w:szCs w:val="24"/>
          <w:lang w:eastAsia="en-GB"/>
        </w:rPr>
        <w:t>Teisėjų kolegija pažymėjo, kad š</w:t>
      </w:r>
      <w:r w:rsidRPr="003A75EA">
        <w:rPr>
          <w:rFonts w:ascii="Times New Roman" w:hAnsi="Times New Roman"/>
          <w:sz w:val="24"/>
          <w:szCs w:val="24"/>
          <w:lang w:eastAsia="en-GB"/>
        </w:rPr>
        <w:t xml:space="preserve">alys </w:t>
      </w:r>
      <w:r w:rsidR="008E69F0">
        <w:rPr>
          <w:rFonts w:ascii="Times New Roman" w:hAnsi="Times New Roman"/>
          <w:sz w:val="24"/>
          <w:szCs w:val="24"/>
          <w:lang w:eastAsia="en-GB"/>
        </w:rPr>
        <w:t xml:space="preserve">taip pat </w:t>
      </w:r>
      <w:r w:rsidRPr="003A75EA">
        <w:rPr>
          <w:rFonts w:ascii="Times New Roman" w:hAnsi="Times New Roman"/>
          <w:sz w:val="24"/>
          <w:szCs w:val="24"/>
          <w:lang w:eastAsia="en-GB"/>
        </w:rPr>
        <w:t xml:space="preserve">pripažįsta, </w:t>
      </w:r>
      <w:r w:rsidR="008E69F0">
        <w:rPr>
          <w:rFonts w:ascii="Times New Roman" w:hAnsi="Times New Roman"/>
          <w:sz w:val="24"/>
          <w:szCs w:val="24"/>
          <w:lang w:eastAsia="en-GB"/>
        </w:rPr>
        <w:t>jog</w:t>
      </w:r>
      <w:r w:rsidRPr="003A75EA">
        <w:rPr>
          <w:rFonts w:ascii="Times New Roman" w:hAnsi="Times New Roman"/>
          <w:sz w:val="24"/>
          <w:szCs w:val="24"/>
          <w:lang w:eastAsia="en-GB"/>
        </w:rPr>
        <w:t xml:space="preserve"> 75 </w:t>
      </w:r>
      <w:r w:rsidR="008E69F0">
        <w:rPr>
          <w:rFonts w:ascii="Times New Roman" w:hAnsi="Times New Roman"/>
          <w:sz w:val="24"/>
          <w:szCs w:val="24"/>
          <w:lang w:eastAsia="en-GB"/>
        </w:rPr>
        <w:t>ir</w:t>
      </w:r>
      <w:r w:rsidRPr="003A75EA">
        <w:rPr>
          <w:rFonts w:ascii="Times New Roman" w:hAnsi="Times New Roman"/>
          <w:sz w:val="24"/>
          <w:szCs w:val="24"/>
          <w:lang w:eastAsia="en-GB"/>
        </w:rPr>
        <w:t xml:space="preserve"> 125</w:t>
      </w:r>
      <w:r w:rsidR="008E69F0">
        <w:rPr>
          <w:rFonts w:ascii="Times New Roman" w:hAnsi="Times New Roman"/>
          <w:sz w:val="24"/>
          <w:szCs w:val="24"/>
          <w:lang w:eastAsia="en-GB"/>
        </w:rPr>
        <w:t> </w:t>
      </w:r>
      <w:proofErr w:type="spellStart"/>
      <w:r w:rsidRPr="003A75EA">
        <w:rPr>
          <w:rFonts w:ascii="Times New Roman" w:hAnsi="Times New Roman"/>
          <w:sz w:val="24"/>
          <w:szCs w:val="24"/>
          <w:lang w:eastAsia="en-GB"/>
        </w:rPr>
        <w:t>mikrogramų</w:t>
      </w:r>
      <w:proofErr w:type="spellEnd"/>
      <w:r w:rsidRPr="003A75EA">
        <w:rPr>
          <w:rFonts w:ascii="Times New Roman" w:hAnsi="Times New Roman"/>
          <w:sz w:val="24"/>
          <w:szCs w:val="24"/>
          <w:lang w:eastAsia="en-GB"/>
        </w:rPr>
        <w:t xml:space="preserve"> tablečių lizdinių plokštelių importo leidimai buvo gauti.</w:t>
      </w:r>
      <w:r w:rsidR="008F5470">
        <w:rPr>
          <w:rFonts w:ascii="Times New Roman" w:hAnsi="Times New Roman"/>
          <w:sz w:val="24"/>
          <w:szCs w:val="24"/>
          <w:lang w:eastAsia="en-GB"/>
        </w:rPr>
        <w:t xml:space="preserve"> Todėl, </w:t>
      </w:r>
      <w:r w:rsidR="008F5470">
        <w:rPr>
          <w:rFonts w:ascii="Times New Roman" w:hAnsi="Times New Roman"/>
          <w:color w:val="000000"/>
          <w:sz w:val="24"/>
          <w:szCs w:val="24"/>
        </w:rPr>
        <w:t>t</w:t>
      </w:r>
      <w:r w:rsidR="008F5470" w:rsidRPr="004845EB">
        <w:rPr>
          <w:rFonts w:ascii="Times New Roman" w:hAnsi="Times New Roman"/>
          <w:sz w:val="24"/>
          <w:szCs w:val="24"/>
          <w:lang w:eastAsia="en-GB"/>
        </w:rPr>
        <w:t>eisėjų kolegij</w:t>
      </w:r>
      <w:r w:rsidR="008F5470">
        <w:rPr>
          <w:rFonts w:ascii="Times New Roman" w:hAnsi="Times New Roman"/>
          <w:sz w:val="24"/>
          <w:szCs w:val="24"/>
          <w:lang w:eastAsia="en-GB"/>
        </w:rPr>
        <w:t xml:space="preserve">os vertinimu, </w:t>
      </w:r>
      <w:r w:rsidR="008F5470" w:rsidRPr="004845EB">
        <w:rPr>
          <w:rFonts w:ascii="Times New Roman" w:hAnsi="Times New Roman"/>
          <w:sz w:val="24"/>
          <w:szCs w:val="24"/>
          <w:lang w:eastAsia="en-GB"/>
        </w:rPr>
        <w:t>nėra pagrindo spręsti, kad perpakuojant buvo pavei</w:t>
      </w:r>
      <w:r w:rsidR="008F5470">
        <w:rPr>
          <w:rFonts w:ascii="Times New Roman" w:hAnsi="Times New Roman"/>
          <w:sz w:val="24"/>
          <w:szCs w:val="24"/>
          <w:lang w:eastAsia="en-GB"/>
        </w:rPr>
        <w:t>kta vaistinių preparatų būklė bei kokybė.</w:t>
      </w:r>
    </w:p>
    <w:p w14:paraId="6A83D246" w14:textId="74F7D7E6" w:rsidR="008F5470" w:rsidRPr="008F5470" w:rsidRDefault="008F5470">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Pr>
          <w:rFonts w:ascii="Times New Roman" w:hAnsi="Times New Roman"/>
          <w:sz w:val="24"/>
          <w:szCs w:val="24"/>
          <w:lang w:eastAsia="en-GB"/>
        </w:rPr>
        <w:t xml:space="preserve">Teisėjų kolegija taip pat sutiko su pirmosios instancijos teismu, kad </w:t>
      </w:r>
      <w:r w:rsidRPr="008F5470">
        <w:rPr>
          <w:rFonts w:ascii="Times New Roman" w:hAnsi="Times New Roman"/>
          <w:sz w:val="24"/>
          <w:szCs w:val="24"/>
          <w:lang w:eastAsia="en-GB"/>
        </w:rPr>
        <w:t xml:space="preserve">atsakovės pateiktos naujos </w:t>
      </w:r>
      <w:r w:rsidRPr="00317384">
        <w:rPr>
          <w:rFonts w:ascii="Times New Roman" w:hAnsi="Times New Roman"/>
          <w:sz w:val="24"/>
          <w:szCs w:val="24"/>
          <w:lang w:eastAsia="en-GB"/>
        </w:rPr>
        <w:t xml:space="preserve">pakuotės išoriškai yra tvarkingos. Kolegija nurodė, kad iš bylos medžiagos matyti, jog </w:t>
      </w:r>
      <w:r w:rsidR="00317384">
        <w:rPr>
          <w:rFonts w:ascii="Times New Roman" w:hAnsi="Times New Roman"/>
          <w:sz w:val="24"/>
          <w:szCs w:val="24"/>
          <w:lang w:eastAsia="en-GB"/>
        </w:rPr>
        <w:t>ieškovės</w:t>
      </w:r>
      <w:r w:rsidRPr="00317384">
        <w:rPr>
          <w:rFonts w:ascii="Times New Roman" w:hAnsi="Times New Roman"/>
          <w:sz w:val="24"/>
          <w:szCs w:val="24"/>
          <w:lang w:eastAsia="en-GB"/>
        </w:rPr>
        <w:t xml:space="preserve"> Lietuvoje ir Vengrijoje platinamų vaistinių preparatų su ta pačia veikliąja medžiaga pakuotės yra</w:t>
      </w:r>
      <w:r w:rsidRPr="008F5470">
        <w:rPr>
          <w:rFonts w:ascii="Times New Roman" w:hAnsi="Times New Roman"/>
          <w:sz w:val="24"/>
          <w:szCs w:val="24"/>
          <w:lang w:eastAsia="en-GB"/>
        </w:rPr>
        <w:t xml:space="preserve"> iš esmės identiškos – jų abiejų dešiniajame kampe yra tas pats vaizdinis elementas – ketvirtadalis apskritimo, susidedantis iš mėlynos ir raudonos spalvos, teksto išdėstymas ant pakuočių taip pat identiškas, tik Vengrijos rinkoje naudojamose pakuotėse nurodytas pavadinimas </w:t>
      </w:r>
      <w:r w:rsidR="008E69F0">
        <w:rPr>
          <w:rFonts w:ascii="Times New Roman" w:hAnsi="Times New Roman"/>
          <w:sz w:val="24"/>
          <w:szCs w:val="24"/>
          <w:lang w:eastAsia="en-GB"/>
        </w:rPr>
        <w:t>„</w:t>
      </w:r>
      <w:proofErr w:type="spellStart"/>
      <w:r w:rsidRPr="008F5470">
        <w:rPr>
          <w:rFonts w:ascii="Times New Roman" w:hAnsi="Times New Roman"/>
          <w:sz w:val="24"/>
          <w:szCs w:val="24"/>
          <w:lang w:eastAsia="en-GB"/>
        </w:rPr>
        <w:t>Letrox</w:t>
      </w:r>
      <w:proofErr w:type="spellEnd"/>
      <w:r w:rsidR="008E69F0">
        <w:rPr>
          <w:rFonts w:ascii="Times New Roman" w:hAnsi="Times New Roman"/>
          <w:sz w:val="24"/>
          <w:szCs w:val="24"/>
          <w:lang w:eastAsia="en-GB"/>
        </w:rPr>
        <w:t>“</w:t>
      </w:r>
      <w:r w:rsidRPr="008F5470">
        <w:rPr>
          <w:rFonts w:ascii="Times New Roman" w:hAnsi="Times New Roman"/>
          <w:sz w:val="24"/>
          <w:szCs w:val="24"/>
          <w:lang w:eastAsia="en-GB"/>
        </w:rPr>
        <w:t xml:space="preserve">, o Lietuvos rinkoje – </w:t>
      </w:r>
      <w:r w:rsidR="008E69F0">
        <w:rPr>
          <w:rFonts w:ascii="Times New Roman" w:hAnsi="Times New Roman"/>
          <w:sz w:val="24"/>
          <w:szCs w:val="24"/>
          <w:lang w:eastAsia="en-GB"/>
        </w:rPr>
        <w:t>„</w:t>
      </w:r>
      <w:r w:rsidRPr="008F5470">
        <w:rPr>
          <w:rFonts w:ascii="Times New Roman" w:hAnsi="Times New Roman"/>
          <w:sz w:val="24"/>
          <w:szCs w:val="24"/>
          <w:lang w:eastAsia="en-GB"/>
        </w:rPr>
        <w:t>L-</w:t>
      </w:r>
      <w:proofErr w:type="spellStart"/>
      <w:r w:rsidRPr="008F5470">
        <w:rPr>
          <w:rFonts w:ascii="Times New Roman" w:hAnsi="Times New Roman"/>
          <w:sz w:val="24"/>
          <w:szCs w:val="24"/>
          <w:lang w:eastAsia="en-GB"/>
        </w:rPr>
        <w:t>Thyroxin</w:t>
      </w:r>
      <w:proofErr w:type="spellEnd"/>
      <w:r w:rsidRPr="008F5470">
        <w:rPr>
          <w:rFonts w:ascii="Times New Roman" w:hAnsi="Times New Roman"/>
          <w:sz w:val="24"/>
          <w:szCs w:val="24"/>
          <w:lang w:eastAsia="en-GB"/>
        </w:rPr>
        <w:t xml:space="preserve"> </w:t>
      </w:r>
      <w:proofErr w:type="spellStart"/>
      <w:r w:rsidRPr="008F5470">
        <w:rPr>
          <w:rFonts w:ascii="Times New Roman" w:hAnsi="Times New Roman"/>
          <w:sz w:val="24"/>
          <w:szCs w:val="24"/>
          <w:lang w:eastAsia="en-GB"/>
        </w:rPr>
        <w:t>Berlin-Chemie</w:t>
      </w:r>
      <w:proofErr w:type="spellEnd"/>
      <w:r w:rsidR="008E69F0">
        <w:rPr>
          <w:rFonts w:ascii="Times New Roman" w:hAnsi="Times New Roman"/>
          <w:sz w:val="24"/>
          <w:szCs w:val="24"/>
          <w:lang w:eastAsia="en-GB"/>
        </w:rPr>
        <w:t>“</w:t>
      </w:r>
      <w:r w:rsidRPr="008F5470">
        <w:rPr>
          <w:rFonts w:ascii="Times New Roman" w:hAnsi="Times New Roman"/>
          <w:sz w:val="24"/>
          <w:szCs w:val="24"/>
          <w:lang w:eastAsia="en-GB"/>
        </w:rPr>
        <w:t xml:space="preserve">. Atsakovė, perpakuodama šiuos vaistinius preparatus, iš esmės panaudojo identišką </w:t>
      </w:r>
      <w:r>
        <w:rPr>
          <w:rFonts w:ascii="Times New Roman" w:hAnsi="Times New Roman"/>
          <w:sz w:val="24"/>
          <w:szCs w:val="24"/>
          <w:lang w:eastAsia="en-GB"/>
        </w:rPr>
        <w:t>ieškov</w:t>
      </w:r>
      <w:r w:rsidR="004A4232">
        <w:rPr>
          <w:rFonts w:ascii="Times New Roman" w:hAnsi="Times New Roman"/>
          <w:sz w:val="24"/>
          <w:szCs w:val="24"/>
          <w:lang w:eastAsia="en-GB"/>
        </w:rPr>
        <w:t>ės</w:t>
      </w:r>
      <w:r w:rsidRPr="008F5470">
        <w:rPr>
          <w:rFonts w:ascii="Times New Roman" w:hAnsi="Times New Roman"/>
          <w:sz w:val="24"/>
          <w:szCs w:val="24"/>
          <w:lang w:eastAsia="en-GB"/>
        </w:rPr>
        <w:t xml:space="preserve"> Lietuvoje naudojamam įpakavimą, prie aprašymo tik papildomai nurodžiusi, kas jį perpakavo </w:t>
      </w:r>
      <w:r w:rsidR="004A4232">
        <w:rPr>
          <w:rFonts w:ascii="Times New Roman" w:hAnsi="Times New Roman"/>
          <w:sz w:val="24"/>
          <w:szCs w:val="24"/>
          <w:lang w:eastAsia="en-GB"/>
        </w:rPr>
        <w:t>ir</w:t>
      </w:r>
      <w:r w:rsidRPr="008F5470">
        <w:rPr>
          <w:rFonts w:ascii="Times New Roman" w:hAnsi="Times New Roman"/>
          <w:sz w:val="24"/>
          <w:szCs w:val="24"/>
          <w:lang w:eastAsia="en-GB"/>
        </w:rPr>
        <w:t xml:space="preserve"> importavo. Be to, lyginant su Vengrijos rinkoje naudojama pakuote, ant naujos pakuotės nurodytas ir vaisto pavadinimas Brailio raštu. </w:t>
      </w:r>
      <w:r>
        <w:rPr>
          <w:rFonts w:ascii="Times New Roman" w:hAnsi="Times New Roman"/>
          <w:sz w:val="24"/>
          <w:szCs w:val="24"/>
          <w:lang w:eastAsia="en-GB"/>
        </w:rPr>
        <w:t xml:space="preserve">Todėl teisėjų kolegija nusprendė, kad byloje </w:t>
      </w:r>
      <w:r w:rsidRPr="008F5470">
        <w:rPr>
          <w:rFonts w:ascii="Times New Roman" w:hAnsi="Times New Roman"/>
          <w:sz w:val="24"/>
          <w:szCs w:val="24"/>
          <w:lang w:eastAsia="en-GB"/>
        </w:rPr>
        <w:t xml:space="preserve">nėra pagrindo išvadai, </w:t>
      </w:r>
      <w:r>
        <w:rPr>
          <w:rFonts w:ascii="Times New Roman" w:hAnsi="Times New Roman"/>
          <w:sz w:val="24"/>
          <w:szCs w:val="24"/>
          <w:lang w:eastAsia="en-GB"/>
        </w:rPr>
        <w:t>jog</w:t>
      </w:r>
      <w:r w:rsidRPr="008F5470">
        <w:rPr>
          <w:rFonts w:ascii="Times New Roman" w:hAnsi="Times New Roman"/>
          <w:sz w:val="24"/>
          <w:szCs w:val="24"/>
          <w:lang w:eastAsia="en-GB"/>
        </w:rPr>
        <w:t xml:space="preserve"> perpakavimas galėjo turėti neigiamos įtakos </w:t>
      </w:r>
      <w:r>
        <w:rPr>
          <w:rFonts w:ascii="Times New Roman" w:hAnsi="Times New Roman"/>
          <w:sz w:val="24"/>
          <w:szCs w:val="24"/>
          <w:lang w:eastAsia="en-GB"/>
        </w:rPr>
        <w:t>ieško</w:t>
      </w:r>
      <w:r w:rsidR="008E69F0">
        <w:rPr>
          <w:rFonts w:ascii="Times New Roman" w:hAnsi="Times New Roman"/>
          <w:sz w:val="24"/>
          <w:szCs w:val="24"/>
          <w:lang w:eastAsia="en-GB"/>
        </w:rPr>
        <w:t>vės</w:t>
      </w:r>
      <w:r w:rsidRPr="008F5470">
        <w:rPr>
          <w:rFonts w:ascii="Times New Roman" w:hAnsi="Times New Roman"/>
          <w:sz w:val="24"/>
          <w:szCs w:val="24"/>
          <w:lang w:eastAsia="en-GB"/>
        </w:rPr>
        <w:t xml:space="preserve"> reputacijai.</w:t>
      </w:r>
    </w:p>
    <w:p w14:paraId="3A4B47DA" w14:textId="5AC56717" w:rsidR="008F5470" w:rsidRPr="00192A41" w:rsidRDefault="008F5470" w:rsidP="0040478B">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sidRPr="00192A41">
        <w:rPr>
          <w:rFonts w:asciiTheme="majorBidi" w:hAnsiTheme="majorBidi" w:cstheme="majorBidi"/>
          <w:sz w:val="24"/>
          <w:szCs w:val="24"/>
          <w:lang w:eastAsia="en-GB"/>
        </w:rPr>
        <w:t>Pasisakydama dėl kitos sąlygos, kuriai esant perpakavimas pripažįstamas pateisinama priemone, t. y. dirbtinai skaidomos valstybių narių rinkos, kai neperpakavus patekimas į rinką nepagrįstai pasunkėtų ar būtų iš esmės neįmanomas</w:t>
      </w:r>
      <w:r w:rsidR="0040478B" w:rsidRPr="00192A41">
        <w:rPr>
          <w:rFonts w:asciiTheme="majorBidi" w:hAnsiTheme="majorBidi" w:cstheme="majorBidi"/>
          <w:sz w:val="24"/>
          <w:szCs w:val="24"/>
          <w:lang w:eastAsia="en-GB"/>
        </w:rPr>
        <w:t>, a</w:t>
      </w:r>
      <w:r w:rsidRPr="00192A41">
        <w:rPr>
          <w:rFonts w:asciiTheme="majorBidi" w:hAnsiTheme="majorBidi" w:cstheme="majorBidi"/>
          <w:sz w:val="24"/>
          <w:szCs w:val="24"/>
          <w:lang w:eastAsia="en-GB"/>
        </w:rPr>
        <w:t>peliacinės instancijos teismo teisėjų kolegija, remdamasi sprendime nurodyta E</w:t>
      </w:r>
      <w:r w:rsidR="004A4232">
        <w:rPr>
          <w:rFonts w:asciiTheme="majorBidi" w:hAnsiTheme="majorBidi" w:cstheme="majorBidi"/>
          <w:sz w:val="24"/>
          <w:szCs w:val="24"/>
          <w:lang w:eastAsia="en-GB"/>
        </w:rPr>
        <w:t xml:space="preserve">uropos Sąjungos </w:t>
      </w:r>
      <w:r w:rsidRPr="00192A41">
        <w:rPr>
          <w:rFonts w:asciiTheme="majorBidi" w:hAnsiTheme="majorBidi" w:cstheme="majorBidi"/>
          <w:sz w:val="24"/>
          <w:szCs w:val="24"/>
          <w:lang w:eastAsia="en-GB"/>
        </w:rPr>
        <w:t>T</w:t>
      </w:r>
      <w:r w:rsidR="004A4232">
        <w:rPr>
          <w:rFonts w:asciiTheme="majorBidi" w:hAnsiTheme="majorBidi" w:cstheme="majorBidi"/>
          <w:sz w:val="24"/>
          <w:szCs w:val="24"/>
          <w:lang w:eastAsia="en-GB"/>
        </w:rPr>
        <w:t xml:space="preserve">eisingumo </w:t>
      </w:r>
      <w:r w:rsidRPr="00192A41">
        <w:rPr>
          <w:rFonts w:asciiTheme="majorBidi" w:hAnsiTheme="majorBidi" w:cstheme="majorBidi"/>
          <w:sz w:val="24"/>
          <w:szCs w:val="24"/>
          <w:lang w:eastAsia="en-GB"/>
        </w:rPr>
        <w:t>T</w:t>
      </w:r>
      <w:r w:rsidR="004A4232">
        <w:rPr>
          <w:rFonts w:asciiTheme="majorBidi" w:hAnsiTheme="majorBidi" w:cstheme="majorBidi"/>
          <w:sz w:val="24"/>
          <w:szCs w:val="24"/>
          <w:lang w:eastAsia="en-GB"/>
        </w:rPr>
        <w:t>eismo (toliau – ir ESTT)</w:t>
      </w:r>
      <w:r w:rsidRPr="00192A41">
        <w:rPr>
          <w:rFonts w:asciiTheme="majorBidi" w:hAnsiTheme="majorBidi" w:cstheme="majorBidi"/>
          <w:sz w:val="24"/>
          <w:szCs w:val="24"/>
          <w:lang w:eastAsia="en-GB"/>
        </w:rPr>
        <w:t xml:space="preserve"> praktika ir teisiniu reglamentavimu, padarė išvadą, kad </w:t>
      </w:r>
      <w:bookmarkStart w:id="6" w:name="_Hlk155045387"/>
      <w:r w:rsidRPr="00192A41">
        <w:rPr>
          <w:rFonts w:asciiTheme="majorBidi" w:hAnsiTheme="majorBidi" w:cstheme="majorBidi"/>
          <w:sz w:val="24"/>
          <w:szCs w:val="24"/>
          <w:lang w:eastAsia="en-GB"/>
        </w:rPr>
        <w:t xml:space="preserve">atsakovės veiksmai, jai perpakuojant ir parduodant lygiagrečiai importuotus vaistinius preparatus, galėtų būti pripažinti teisėtais ir pagrįstais tik tada, jeigu atsakovė įrodytų, kad Lietuvoje negalima (draudžiama) jais prekiauti toje pačioje pakuotėje, kokioje jais prekiaujama Vengrijoje (eksporto valstybėje), arba </w:t>
      </w:r>
      <w:r w:rsidR="004A4232">
        <w:rPr>
          <w:rFonts w:asciiTheme="majorBidi" w:hAnsiTheme="majorBidi" w:cstheme="majorBidi"/>
          <w:sz w:val="24"/>
          <w:szCs w:val="24"/>
          <w:lang w:eastAsia="en-GB"/>
        </w:rPr>
        <w:t>kad</w:t>
      </w:r>
      <w:r w:rsidRPr="00192A41">
        <w:rPr>
          <w:rFonts w:asciiTheme="majorBidi" w:hAnsiTheme="majorBidi" w:cstheme="majorBidi"/>
          <w:sz w:val="24"/>
          <w:szCs w:val="24"/>
          <w:lang w:eastAsia="en-GB"/>
        </w:rPr>
        <w:t xml:space="preserve"> prekės neperpakavus ir nepervadinus jos prekyba būtų galima tik ribotoje Lietuvos rinkos dalyje. Teisėjų kolegija nusprendė, kad atsakovė neįrodė, jog prekyba originalia, Vengrijoje naudojama pakuote, jos neperpakavus ir nepakeitus pavadinimo, Lietuvoje būtų negalima (neįmanoma). </w:t>
      </w:r>
      <w:bookmarkEnd w:id="6"/>
      <w:r w:rsidRPr="00192A41">
        <w:rPr>
          <w:rFonts w:asciiTheme="majorBidi" w:hAnsiTheme="majorBidi" w:cstheme="majorBidi"/>
          <w:sz w:val="24"/>
          <w:szCs w:val="24"/>
          <w:lang w:eastAsia="en-GB"/>
        </w:rPr>
        <w:t xml:space="preserve">Kolegijos vertinimu, pagal Lietuvoje galiojančią tvarką į </w:t>
      </w:r>
      <w:r w:rsidR="004A4232">
        <w:rPr>
          <w:rFonts w:asciiTheme="majorBidi" w:hAnsiTheme="majorBidi" w:cstheme="majorBidi"/>
          <w:sz w:val="24"/>
          <w:szCs w:val="24"/>
          <w:lang w:eastAsia="en-GB"/>
        </w:rPr>
        <w:t>K</w:t>
      </w:r>
      <w:r w:rsidRPr="00192A41">
        <w:rPr>
          <w:rFonts w:asciiTheme="majorBidi" w:hAnsiTheme="majorBidi" w:cstheme="majorBidi"/>
          <w:sz w:val="24"/>
          <w:szCs w:val="24"/>
          <w:lang w:eastAsia="en-GB"/>
        </w:rPr>
        <w:t>ompensuojamų</w:t>
      </w:r>
      <w:r w:rsidR="004A4232">
        <w:rPr>
          <w:rFonts w:asciiTheme="majorBidi" w:hAnsiTheme="majorBidi" w:cstheme="majorBidi"/>
          <w:sz w:val="24"/>
          <w:szCs w:val="24"/>
          <w:lang w:eastAsia="en-GB"/>
        </w:rPr>
        <w:t>jų</w:t>
      </w:r>
      <w:r w:rsidRPr="00192A41">
        <w:rPr>
          <w:rFonts w:asciiTheme="majorBidi" w:hAnsiTheme="majorBidi" w:cstheme="majorBidi"/>
          <w:sz w:val="24"/>
          <w:szCs w:val="24"/>
          <w:lang w:eastAsia="en-GB"/>
        </w:rPr>
        <w:t xml:space="preserve"> vaistų sąrašą yra įtraukiami ne konkretaus gamintojo vaistų pavadinimai, o bendrinis jų pavadinimas, kuris nagrinėjamu atveju yra </w:t>
      </w:r>
      <w:proofErr w:type="spellStart"/>
      <w:r w:rsidRPr="00192A41">
        <w:rPr>
          <w:rFonts w:asciiTheme="majorBidi" w:hAnsiTheme="majorBidi" w:cstheme="majorBidi"/>
          <w:sz w:val="24"/>
          <w:szCs w:val="24"/>
          <w:lang w:eastAsia="en-GB"/>
        </w:rPr>
        <w:t>levotiroksinas</w:t>
      </w:r>
      <w:proofErr w:type="spellEnd"/>
      <w:r w:rsidR="0094538E" w:rsidRPr="00192A41">
        <w:rPr>
          <w:rFonts w:asciiTheme="majorBidi" w:hAnsiTheme="majorBidi" w:cstheme="majorBidi"/>
          <w:sz w:val="24"/>
          <w:szCs w:val="24"/>
          <w:lang w:eastAsia="en-GB"/>
        </w:rPr>
        <w:t>, o g</w:t>
      </w:r>
      <w:r w:rsidRPr="00192A41">
        <w:rPr>
          <w:rFonts w:asciiTheme="majorBidi" w:hAnsiTheme="majorBidi" w:cstheme="majorBidi"/>
          <w:sz w:val="24"/>
          <w:szCs w:val="24"/>
          <w:lang w:eastAsia="en-GB"/>
        </w:rPr>
        <w:t>ydytojai, išrašydami pacientui konkrečius vaistus, taip pat nurodo ne konkretų vaisto gamintoją, o jo veikliąją medžiagą.</w:t>
      </w:r>
      <w:r w:rsidR="0094538E" w:rsidRPr="00192A41">
        <w:rPr>
          <w:rFonts w:asciiTheme="majorBidi" w:hAnsiTheme="majorBidi" w:cstheme="majorBidi"/>
          <w:sz w:val="24"/>
          <w:szCs w:val="24"/>
          <w:lang w:eastAsia="en-GB"/>
        </w:rPr>
        <w:t xml:space="preserve"> Kolegija pažymėjo, kad </w:t>
      </w:r>
      <w:r w:rsidR="0094538E" w:rsidRPr="00192A41">
        <w:rPr>
          <w:rFonts w:asciiTheme="majorBidi" w:hAnsiTheme="majorBidi" w:cstheme="majorBidi"/>
          <w:color w:val="000000"/>
          <w:sz w:val="24"/>
          <w:szCs w:val="24"/>
        </w:rPr>
        <w:t xml:space="preserve">nagrinėjamu atveju atsakovė pakuotėje esančių vaistų kiekių, jų </w:t>
      </w:r>
      <w:proofErr w:type="spellStart"/>
      <w:r w:rsidR="0094538E" w:rsidRPr="00192A41">
        <w:rPr>
          <w:rFonts w:asciiTheme="majorBidi" w:hAnsiTheme="majorBidi" w:cstheme="majorBidi"/>
          <w:color w:val="000000"/>
          <w:sz w:val="24"/>
          <w:szCs w:val="24"/>
        </w:rPr>
        <w:t>dozuočių</w:t>
      </w:r>
      <w:proofErr w:type="spellEnd"/>
      <w:r w:rsidR="0094538E" w:rsidRPr="00192A41">
        <w:rPr>
          <w:rFonts w:asciiTheme="majorBidi" w:hAnsiTheme="majorBidi" w:cstheme="majorBidi"/>
          <w:color w:val="000000"/>
          <w:sz w:val="24"/>
          <w:szCs w:val="24"/>
        </w:rPr>
        <w:t xml:space="preserve"> nekeitė, todėl ir teisinių kliūčių gydytojams ar vaistininkams rekomenduoti šį neperpakuotą, identišką ieškov</w:t>
      </w:r>
      <w:r w:rsidR="004A4232">
        <w:rPr>
          <w:rFonts w:asciiTheme="majorBidi" w:hAnsiTheme="majorBidi" w:cstheme="majorBidi"/>
          <w:color w:val="000000"/>
          <w:sz w:val="24"/>
          <w:szCs w:val="24"/>
        </w:rPr>
        <w:t>ės</w:t>
      </w:r>
      <w:r w:rsidR="0094538E" w:rsidRPr="00192A41">
        <w:rPr>
          <w:rFonts w:asciiTheme="majorBidi" w:hAnsiTheme="majorBidi" w:cstheme="majorBidi"/>
          <w:color w:val="000000"/>
          <w:sz w:val="24"/>
          <w:szCs w:val="24"/>
        </w:rPr>
        <w:t xml:space="preserve"> platinamam, tik kitu originaliu pavadinimu </w:t>
      </w:r>
      <w:r w:rsidR="008E69F0" w:rsidRPr="00192A41">
        <w:rPr>
          <w:rFonts w:asciiTheme="majorBidi" w:hAnsiTheme="majorBidi" w:cstheme="majorBidi"/>
          <w:color w:val="000000"/>
          <w:sz w:val="24"/>
          <w:szCs w:val="24"/>
        </w:rPr>
        <w:t>„</w:t>
      </w:r>
      <w:proofErr w:type="spellStart"/>
      <w:r w:rsidR="0094538E" w:rsidRPr="00192A41">
        <w:rPr>
          <w:rFonts w:asciiTheme="majorBidi" w:hAnsiTheme="majorBidi" w:cstheme="majorBidi"/>
          <w:color w:val="000000"/>
          <w:sz w:val="24"/>
          <w:szCs w:val="24"/>
        </w:rPr>
        <w:t>Letrox</w:t>
      </w:r>
      <w:proofErr w:type="spellEnd"/>
      <w:r w:rsidR="008E69F0" w:rsidRPr="00192A41">
        <w:rPr>
          <w:rFonts w:asciiTheme="majorBidi" w:hAnsiTheme="majorBidi" w:cstheme="majorBidi"/>
          <w:color w:val="000000"/>
          <w:sz w:val="24"/>
          <w:szCs w:val="24"/>
        </w:rPr>
        <w:t>“</w:t>
      </w:r>
      <w:r w:rsidR="0094538E" w:rsidRPr="00192A41">
        <w:rPr>
          <w:rFonts w:asciiTheme="majorBidi" w:hAnsiTheme="majorBidi" w:cstheme="majorBidi"/>
          <w:color w:val="000000"/>
          <w:sz w:val="24"/>
          <w:szCs w:val="24"/>
        </w:rPr>
        <w:t>, vaistinį preparatą</w:t>
      </w:r>
      <w:r w:rsidR="008E69F0" w:rsidRPr="00192A41">
        <w:rPr>
          <w:rFonts w:asciiTheme="majorBidi" w:hAnsiTheme="majorBidi" w:cstheme="majorBidi"/>
          <w:color w:val="000000"/>
          <w:sz w:val="24"/>
          <w:szCs w:val="24"/>
        </w:rPr>
        <w:t xml:space="preserve"> </w:t>
      </w:r>
      <w:r w:rsidR="0094538E" w:rsidRPr="00192A41">
        <w:rPr>
          <w:rFonts w:asciiTheme="majorBidi" w:hAnsiTheme="majorBidi" w:cstheme="majorBidi"/>
          <w:color w:val="000000"/>
          <w:sz w:val="24"/>
          <w:szCs w:val="24"/>
        </w:rPr>
        <w:t>nebuvo.</w:t>
      </w:r>
    </w:p>
    <w:p w14:paraId="5DD2EE9D" w14:textId="5437C074" w:rsidR="00D76F07" w:rsidRPr="00192A41" w:rsidRDefault="0094538E">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sidRPr="00192A41">
        <w:rPr>
          <w:rFonts w:asciiTheme="majorBidi" w:hAnsiTheme="majorBidi" w:cstheme="majorBidi"/>
          <w:sz w:val="24"/>
          <w:szCs w:val="24"/>
          <w:lang w:eastAsia="en-GB"/>
        </w:rPr>
        <w:t>Teisėjų kolegija sutiko su ieškov</w:t>
      </w:r>
      <w:r w:rsidR="008E69F0" w:rsidRPr="00192A41">
        <w:rPr>
          <w:rFonts w:asciiTheme="majorBidi" w:hAnsiTheme="majorBidi" w:cstheme="majorBidi"/>
          <w:sz w:val="24"/>
          <w:szCs w:val="24"/>
          <w:lang w:eastAsia="en-GB"/>
        </w:rPr>
        <w:t>ės</w:t>
      </w:r>
      <w:r w:rsidRPr="00192A41">
        <w:rPr>
          <w:rFonts w:asciiTheme="majorBidi" w:hAnsiTheme="majorBidi" w:cstheme="majorBidi"/>
          <w:sz w:val="24"/>
          <w:szCs w:val="24"/>
          <w:lang w:eastAsia="en-GB"/>
        </w:rPr>
        <w:t xml:space="preserve"> argumentu, kad atsakovės į bylą pateikti rašytiniai įrodymai (</w:t>
      </w:r>
      <w:r w:rsidRPr="00192A41">
        <w:rPr>
          <w:rFonts w:ascii="Times New Roman" w:hAnsi="Times New Roman"/>
          <w:sz w:val="24"/>
          <w:szCs w:val="24"/>
          <w:lang w:eastAsia="en-GB"/>
        </w:rPr>
        <w:t xml:space="preserve">baigiamasis </w:t>
      </w:r>
      <w:r w:rsidR="004A4232">
        <w:rPr>
          <w:rFonts w:ascii="Times New Roman" w:hAnsi="Times New Roman"/>
          <w:sz w:val="24"/>
          <w:szCs w:val="24"/>
          <w:lang w:eastAsia="en-GB"/>
        </w:rPr>
        <w:t xml:space="preserve">magistro </w:t>
      </w:r>
      <w:r w:rsidRPr="00192A41">
        <w:rPr>
          <w:rFonts w:ascii="Times New Roman" w:hAnsi="Times New Roman"/>
          <w:sz w:val="24"/>
          <w:szCs w:val="24"/>
          <w:lang w:eastAsia="en-GB"/>
        </w:rPr>
        <w:t xml:space="preserve">darbas ,,Lietuvos pacientų nuomonė apie </w:t>
      </w:r>
      <w:proofErr w:type="spellStart"/>
      <w:r w:rsidRPr="00192A41">
        <w:rPr>
          <w:rFonts w:ascii="Times New Roman" w:hAnsi="Times New Roman"/>
          <w:sz w:val="24"/>
          <w:szCs w:val="24"/>
          <w:lang w:eastAsia="en-GB"/>
        </w:rPr>
        <w:t>tiroksino</w:t>
      </w:r>
      <w:proofErr w:type="spellEnd"/>
      <w:r w:rsidRPr="00192A41">
        <w:rPr>
          <w:rFonts w:ascii="Times New Roman" w:hAnsi="Times New Roman"/>
          <w:sz w:val="24"/>
          <w:szCs w:val="24"/>
          <w:lang w:eastAsia="en-GB"/>
        </w:rPr>
        <w:t xml:space="preserve">, vartojamo pakaitinei hormonų terapijai, efektyvumą, saugumą ir gydymo nurodymų laikymąsi analizė“, Valstybinio audito ataskaita ,,Ar užtikrinamas kompensuojamųjų </w:t>
      </w:r>
      <w:proofErr w:type="spellStart"/>
      <w:r w:rsidRPr="00192A41">
        <w:rPr>
          <w:rFonts w:ascii="Times New Roman" w:hAnsi="Times New Roman"/>
          <w:sz w:val="24"/>
          <w:szCs w:val="24"/>
          <w:lang w:eastAsia="en-GB"/>
        </w:rPr>
        <w:t>generinių</w:t>
      </w:r>
      <w:proofErr w:type="spellEnd"/>
      <w:r w:rsidRPr="00192A41">
        <w:rPr>
          <w:rFonts w:ascii="Times New Roman" w:hAnsi="Times New Roman"/>
          <w:sz w:val="24"/>
          <w:szCs w:val="24"/>
          <w:lang w:eastAsia="en-GB"/>
        </w:rPr>
        <w:t xml:space="preserve"> vaistų prieinamumas“, VLK pateikti atsakymai) nesudaro pagrindo </w:t>
      </w:r>
      <w:r w:rsidR="008E69F0" w:rsidRPr="00192A41">
        <w:rPr>
          <w:rFonts w:ascii="Times New Roman" w:hAnsi="Times New Roman"/>
          <w:sz w:val="24"/>
          <w:szCs w:val="24"/>
          <w:lang w:eastAsia="en-GB"/>
        </w:rPr>
        <w:t xml:space="preserve">padaryti </w:t>
      </w:r>
      <w:r w:rsidRPr="00192A41">
        <w:rPr>
          <w:rFonts w:ascii="Times New Roman" w:hAnsi="Times New Roman"/>
          <w:sz w:val="24"/>
          <w:szCs w:val="24"/>
          <w:lang w:eastAsia="en-GB"/>
        </w:rPr>
        <w:t>vienareikšm</w:t>
      </w:r>
      <w:r w:rsidR="008E69F0" w:rsidRPr="00192A41">
        <w:rPr>
          <w:rFonts w:ascii="Times New Roman" w:hAnsi="Times New Roman"/>
          <w:sz w:val="24"/>
          <w:szCs w:val="24"/>
          <w:lang w:eastAsia="en-GB"/>
        </w:rPr>
        <w:t>ę</w:t>
      </w:r>
      <w:r w:rsidRPr="00192A41">
        <w:rPr>
          <w:rFonts w:ascii="Times New Roman" w:hAnsi="Times New Roman"/>
          <w:sz w:val="24"/>
          <w:szCs w:val="24"/>
          <w:lang w:eastAsia="en-GB"/>
        </w:rPr>
        <w:t xml:space="preserve"> išvad</w:t>
      </w:r>
      <w:r w:rsidR="008E69F0" w:rsidRPr="00192A41">
        <w:rPr>
          <w:rFonts w:ascii="Times New Roman" w:hAnsi="Times New Roman"/>
          <w:sz w:val="24"/>
          <w:szCs w:val="24"/>
          <w:lang w:eastAsia="en-GB"/>
        </w:rPr>
        <w:t>ą</w:t>
      </w:r>
      <w:r w:rsidRPr="00192A41">
        <w:rPr>
          <w:rFonts w:ascii="Times New Roman" w:hAnsi="Times New Roman"/>
          <w:sz w:val="24"/>
          <w:szCs w:val="24"/>
          <w:lang w:eastAsia="en-GB"/>
        </w:rPr>
        <w:t xml:space="preserve">, </w:t>
      </w:r>
      <w:r w:rsidR="008E69F0" w:rsidRPr="00192A41">
        <w:rPr>
          <w:rFonts w:ascii="Times New Roman" w:hAnsi="Times New Roman"/>
          <w:sz w:val="24"/>
          <w:szCs w:val="24"/>
          <w:lang w:eastAsia="en-GB"/>
        </w:rPr>
        <w:t>jog</w:t>
      </w:r>
      <w:r w:rsidRPr="00192A41">
        <w:rPr>
          <w:rFonts w:ascii="Times New Roman" w:hAnsi="Times New Roman"/>
          <w:sz w:val="24"/>
          <w:szCs w:val="24"/>
          <w:lang w:eastAsia="en-GB"/>
        </w:rPr>
        <w:t xml:space="preserve"> atsakovė į rinką galėtų patekti tik perpakavusi ir pervadinusi vaistinius preparatus, nes pacientai nėra linkę rinktis lygiagrečiai importuojamo vaisto</w:t>
      </w:r>
      <w:r w:rsidR="009B71A8" w:rsidRPr="00192A41">
        <w:rPr>
          <w:rFonts w:asciiTheme="majorBidi" w:hAnsiTheme="majorBidi" w:cstheme="majorBidi"/>
          <w:sz w:val="24"/>
          <w:szCs w:val="24"/>
          <w:lang w:eastAsia="en-GB"/>
        </w:rPr>
        <w:t>.</w:t>
      </w:r>
    </w:p>
    <w:p w14:paraId="06E43F3E" w14:textId="60E08619" w:rsidR="0094538E" w:rsidRPr="00192A41" w:rsidRDefault="0094538E">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sidRPr="00192A41">
        <w:rPr>
          <w:rFonts w:asciiTheme="majorBidi" w:hAnsiTheme="majorBidi" w:cstheme="majorBidi"/>
          <w:sz w:val="24"/>
          <w:szCs w:val="24"/>
          <w:lang w:eastAsia="en-GB"/>
        </w:rPr>
        <w:lastRenderedPageBreak/>
        <w:t xml:space="preserve">Apeliacinės instancijos teismo teisėjų kolegijos vertinimu, </w:t>
      </w:r>
      <w:r w:rsidRPr="00192A41">
        <w:rPr>
          <w:rFonts w:ascii="Times New Roman" w:hAnsi="Times New Roman"/>
          <w:color w:val="000000"/>
          <w:sz w:val="24"/>
          <w:szCs w:val="24"/>
        </w:rPr>
        <w:t>rinkoje esant ne vienam, o keliems tiekėjams, vartotojai turėtų didesnę pasirinkimo galimybę. Tačiau atsakovės pasirinkta verslo taktika, k</w:t>
      </w:r>
      <w:r w:rsidR="004A4232">
        <w:rPr>
          <w:rFonts w:ascii="Times New Roman" w:hAnsi="Times New Roman"/>
          <w:color w:val="000000"/>
          <w:sz w:val="24"/>
          <w:szCs w:val="24"/>
        </w:rPr>
        <w:t>ai</w:t>
      </w:r>
      <w:r w:rsidRPr="00192A41">
        <w:rPr>
          <w:rFonts w:ascii="Times New Roman" w:hAnsi="Times New Roman"/>
          <w:color w:val="000000"/>
          <w:sz w:val="24"/>
          <w:szCs w:val="24"/>
        </w:rPr>
        <w:t xml:space="preserve"> ji kelis kartus pigiau įsigytą vaistinį preparatą Lietuvos rinkoje pardavinėja už tą pačią kaip ir </w:t>
      </w:r>
      <w:r w:rsidR="0040478B" w:rsidRPr="00192A41">
        <w:rPr>
          <w:rFonts w:ascii="Times New Roman" w:hAnsi="Times New Roman"/>
          <w:color w:val="000000"/>
          <w:sz w:val="24"/>
          <w:szCs w:val="24"/>
        </w:rPr>
        <w:t>ieškovė</w:t>
      </w:r>
      <w:r w:rsidRPr="00192A41">
        <w:rPr>
          <w:rFonts w:ascii="Times New Roman" w:hAnsi="Times New Roman"/>
          <w:color w:val="000000"/>
          <w:sz w:val="24"/>
          <w:szCs w:val="24"/>
        </w:rPr>
        <w:t xml:space="preserve"> kainą, nėra naudinga galutiniams vartotojams. </w:t>
      </w:r>
      <w:r w:rsidR="008E69F0" w:rsidRPr="00192A41">
        <w:rPr>
          <w:rFonts w:ascii="Times New Roman" w:hAnsi="Times New Roman"/>
          <w:color w:val="000000"/>
          <w:sz w:val="24"/>
          <w:szCs w:val="24"/>
        </w:rPr>
        <w:t>P</w:t>
      </w:r>
      <w:r w:rsidRPr="00192A41">
        <w:rPr>
          <w:rFonts w:ascii="Times New Roman" w:hAnsi="Times New Roman"/>
          <w:color w:val="000000"/>
          <w:sz w:val="24"/>
          <w:szCs w:val="24"/>
        </w:rPr>
        <w:t>ačios atsakovės veiksmai, k</w:t>
      </w:r>
      <w:r w:rsidR="004A4232">
        <w:rPr>
          <w:rFonts w:ascii="Times New Roman" w:hAnsi="Times New Roman"/>
          <w:color w:val="000000"/>
          <w:sz w:val="24"/>
          <w:szCs w:val="24"/>
        </w:rPr>
        <w:t>ai</w:t>
      </w:r>
      <w:r w:rsidRPr="00192A41">
        <w:rPr>
          <w:rFonts w:ascii="Times New Roman" w:hAnsi="Times New Roman"/>
          <w:color w:val="000000"/>
          <w:sz w:val="24"/>
          <w:szCs w:val="24"/>
        </w:rPr>
        <w:t xml:space="preserve"> ji už tą pačią kaip </w:t>
      </w:r>
      <w:r w:rsidR="0040478B" w:rsidRPr="00192A41">
        <w:rPr>
          <w:rFonts w:ascii="Times New Roman" w:hAnsi="Times New Roman"/>
          <w:color w:val="000000"/>
          <w:sz w:val="24"/>
          <w:szCs w:val="24"/>
        </w:rPr>
        <w:t>ieškovė</w:t>
      </w:r>
      <w:r w:rsidRPr="00192A41">
        <w:rPr>
          <w:rFonts w:ascii="Times New Roman" w:hAnsi="Times New Roman"/>
          <w:color w:val="000000"/>
          <w:sz w:val="24"/>
          <w:szCs w:val="24"/>
        </w:rPr>
        <w:t xml:space="preserve"> kainą nusprendė platinti vaistinius preparatus</w:t>
      </w:r>
      <w:r w:rsidR="008E69F0" w:rsidRPr="00192A41">
        <w:rPr>
          <w:rFonts w:ascii="Times New Roman" w:hAnsi="Times New Roman"/>
          <w:color w:val="000000"/>
          <w:sz w:val="24"/>
          <w:szCs w:val="24"/>
        </w:rPr>
        <w:t>, teisėjų kolegijos vertinimu,</w:t>
      </w:r>
      <w:r w:rsidRPr="00192A41">
        <w:rPr>
          <w:rFonts w:ascii="Times New Roman" w:hAnsi="Times New Roman"/>
          <w:color w:val="000000"/>
          <w:sz w:val="24"/>
          <w:szCs w:val="24"/>
        </w:rPr>
        <w:t xml:space="preserve"> gali būti priežasti</w:t>
      </w:r>
      <w:r w:rsidR="004A4232">
        <w:rPr>
          <w:rFonts w:ascii="Times New Roman" w:hAnsi="Times New Roman"/>
          <w:color w:val="000000"/>
          <w:sz w:val="24"/>
          <w:szCs w:val="24"/>
        </w:rPr>
        <w:t>s</w:t>
      </w:r>
      <w:r w:rsidRPr="00192A41">
        <w:rPr>
          <w:rFonts w:ascii="Times New Roman" w:hAnsi="Times New Roman"/>
          <w:color w:val="000000"/>
          <w:sz w:val="24"/>
          <w:szCs w:val="24"/>
        </w:rPr>
        <w:t>, dėl kurios jos patekimas į rinką būtų ne toks veiksmingas, kokio ji norėtų ir siektų.</w:t>
      </w:r>
    </w:p>
    <w:p w14:paraId="06829B3D" w14:textId="362D2ACE" w:rsidR="00F756B5" w:rsidRPr="00192A41" w:rsidRDefault="0094538E" w:rsidP="0094538E">
      <w:pPr>
        <w:pStyle w:val="ListParagraph"/>
        <w:numPr>
          <w:ilvl w:val="0"/>
          <w:numId w:val="1"/>
        </w:numPr>
        <w:tabs>
          <w:tab w:val="left" w:pos="709"/>
        </w:tabs>
        <w:spacing w:after="120" w:line="240" w:lineRule="auto"/>
        <w:contextualSpacing w:val="0"/>
        <w:jc w:val="both"/>
        <w:rPr>
          <w:rFonts w:asciiTheme="majorBidi" w:hAnsiTheme="majorBidi" w:cstheme="majorBidi"/>
          <w:sz w:val="24"/>
          <w:szCs w:val="24"/>
        </w:rPr>
      </w:pPr>
      <w:r w:rsidRPr="00192A41">
        <w:rPr>
          <w:rFonts w:ascii="Times New Roman" w:hAnsi="Times New Roman"/>
          <w:color w:val="000000"/>
          <w:sz w:val="24"/>
          <w:szCs w:val="24"/>
        </w:rPr>
        <w:t>Kolegija tokius atsakovės veiksmus pripažino nesąžiningais ir pažeidžiančiais ieškov</w:t>
      </w:r>
      <w:r w:rsidR="0040478B" w:rsidRPr="00192A41">
        <w:rPr>
          <w:rFonts w:ascii="Times New Roman" w:hAnsi="Times New Roman"/>
          <w:color w:val="000000"/>
          <w:sz w:val="24"/>
          <w:szCs w:val="24"/>
        </w:rPr>
        <w:t>ės</w:t>
      </w:r>
      <w:r w:rsidRPr="00192A41">
        <w:rPr>
          <w:rFonts w:ascii="Times New Roman" w:hAnsi="Times New Roman"/>
          <w:color w:val="000000"/>
          <w:sz w:val="24"/>
          <w:szCs w:val="24"/>
        </w:rPr>
        <w:t>, kaip prekės ženklo savinink</w:t>
      </w:r>
      <w:r w:rsidR="0040478B" w:rsidRPr="00192A41">
        <w:rPr>
          <w:rFonts w:ascii="Times New Roman" w:hAnsi="Times New Roman"/>
          <w:color w:val="000000"/>
          <w:sz w:val="24"/>
          <w:szCs w:val="24"/>
        </w:rPr>
        <w:t>ės</w:t>
      </w:r>
      <w:r w:rsidRPr="00192A41">
        <w:rPr>
          <w:rFonts w:ascii="Times New Roman" w:hAnsi="Times New Roman"/>
          <w:color w:val="000000"/>
          <w:sz w:val="24"/>
          <w:szCs w:val="24"/>
        </w:rPr>
        <w:t>, teises, nes atsakovė, perpakuodama ir pervadindama vaistinius preparatus, siekė ekonominio pranašumo. Todėl teisėjų kolegija padarė išvadą, kad atsakovė neįrodė sąlygų lygiagrečiai importuojam</w:t>
      </w:r>
      <w:r w:rsidR="004A4232">
        <w:rPr>
          <w:rFonts w:ascii="Times New Roman" w:hAnsi="Times New Roman"/>
          <w:color w:val="000000"/>
          <w:sz w:val="24"/>
          <w:szCs w:val="24"/>
        </w:rPr>
        <w:t>us</w:t>
      </w:r>
      <w:r w:rsidRPr="00192A41">
        <w:rPr>
          <w:rFonts w:ascii="Times New Roman" w:hAnsi="Times New Roman"/>
          <w:color w:val="000000"/>
          <w:sz w:val="24"/>
          <w:szCs w:val="24"/>
        </w:rPr>
        <w:t xml:space="preserve"> vaistini</w:t>
      </w:r>
      <w:r w:rsidR="004A4232">
        <w:rPr>
          <w:rFonts w:ascii="Times New Roman" w:hAnsi="Times New Roman"/>
          <w:color w:val="000000"/>
          <w:sz w:val="24"/>
          <w:szCs w:val="24"/>
        </w:rPr>
        <w:t>us</w:t>
      </w:r>
      <w:r w:rsidRPr="00192A41">
        <w:rPr>
          <w:rFonts w:ascii="Times New Roman" w:hAnsi="Times New Roman"/>
          <w:color w:val="000000"/>
          <w:sz w:val="24"/>
          <w:szCs w:val="24"/>
        </w:rPr>
        <w:t xml:space="preserve"> preparatų perpak</w:t>
      </w:r>
      <w:r w:rsidR="004A4232">
        <w:rPr>
          <w:rFonts w:ascii="Times New Roman" w:hAnsi="Times New Roman"/>
          <w:color w:val="000000"/>
          <w:sz w:val="24"/>
          <w:szCs w:val="24"/>
        </w:rPr>
        <w:t>uoti</w:t>
      </w:r>
      <w:r w:rsidRPr="00192A41">
        <w:rPr>
          <w:rFonts w:ascii="Times New Roman" w:hAnsi="Times New Roman"/>
          <w:color w:val="000000"/>
          <w:sz w:val="24"/>
          <w:szCs w:val="24"/>
        </w:rPr>
        <w:t xml:space="preserve"> ir pervadin</w:t>
      </w:r>
      <w:r w:rsidR="004A4232">
        <w:rPr>
          <w:rFonts w:ascii="Times New Roman" w:hAnsi="Times New Roman"/>
          <w:color w:val="000000"/>
          <w:sz w:val="24"/>
          <w:szCs w:val="24"/>
        </w:rPr>
        <w:t>t</w:t>
      </w:r>
      <w:r w:rsidRPr="00192A41">
        <w:rPr>
          <w:rFonts w:ascii="Times New Roman" w:hAnsi="Times New Roman"/>
          <w:color w:val="000000"/>
          <w:sz w:val="24"/>
          <w:szCs w:val="24"/>
        </w:rPr>
        <w:t>i būtinybės, atitinkamai to padaryti be prekių ženklų savininkės pritarimo negalėjo.</w:t>
      </w:r>
      <w:bookmarkStart w:id="7" w:name="_Hlk95200559"/>
    </w:p>
    <w:bookmarkEnd w:id="7"/>
    <w:p w14:paraId="4BA3775E" w14:textId="083E743D" w:rsidR="00123EE2" w:rsidRPr="00484D1A" w:rsidRDefault="00A80C8A" w:rsidP="00687DF9">
      <w:pPr>
        <w:pStyle w:val="ListParagraph"/>
        <w:shd w:val="clear" w:color="auto" w:fill="FFFFFF"/>
        <w:spacing w:before="480" w:after="480" w:line="240" w:lineRule="auto"/>
        <w:ind w:left="0"/>
        <w:contextualSpacing w:val="0"/>
        <w:jc w:val="center"/>
        <w:rPr>
          <w:rFonts w:ascii="Times New Roman" w:hAnsi="Times New Roman"/>
          <w:sz w:val="24"/>
          <w:szCs w:val="24"/>
        </w:rPr>
      </w:pPr>
      <w:r w:rsidRPr="00484D1A">
        <w:rPr>
          <w:rFonts w:ascii="Times New Roman" w:hAnsi="Times New Roman"/>
          <w:sz w:val="24"/>
          <w:szCs w:val="24"/>
        </w:rPr>
        <w:t>III. Kasacini</w:t>
      </w:r>
      <w:r w:rsidR="00AE21C0" w:rsidRPr="00484D1A">
        <w:rPr>
          <w:rFonts w:ascii="Times New Roman" w:hAnsi="Times New Roman"/>
          <w:sz w:val="24"/>
          <w:szCs w:val="24"/>
        </w:rPr>
        <w:t>o</w:t>
      </w:r>
      <w:r w:rsidRPr="00484D1A">
        <w:rPr>
          <w:rFonts w:ascii="Times New Roman" w:hAnsi="Times New Roman"/>
          <w:sz w:val="24"/>
          <w:szCs w:val="24"/>
        </w:rPr>
        <w:t xml:space="preserve"> skund</w:t>
      </w:r>
      <w:r w:rsidR="00AE21C0" w:rsidRPr="00484D1A">
        <w:rPr>
          <w:rFonts w:ascii="Times New Roman" w:hAnsi="Times New Roman"/>
          <w:sz w:val="24"/>
          <w:szCs w:val="24"/>
        </w:rPr>
        <w:t>o</w:t>
      </w:r>
      <w:r w:rsidR="00C37CEF">
        <w:rPr>
          <w:rFonts w:ascii="Times New Roman" w:hAnsi="Times New Roman"/>
          <w:sz w:val="24"/>
          <w:szCs w:val="24"/>
        </w:rPr>
        <w:t xml:space="preserve"> ir atsiliepimo į jį</w:t>
      </w:r>
      <w:r w:rsidRPr="00484D1A">
        <w:rPr>
          <w:rFonts w:ascii="Times New Roman" w:hAnsi="Times New Roman"/>
          <w:sz w:val="24"/>
          <w:szCs w:val="24"/>
        </w:rPr>
        <w:t xml:space="preserve"> teisiniai argumentai</w:t>
      </w:r>
    </w:p>
    <w:p w14:paraId="4C46AD95" w14:textId="7462848C" w:rsidR="00B60CC9" w:rsidRPr="00484D1A" w:rsidRDefault="00C37CEF" w:rsidP="00C3022E">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Pr>
          <w:rFonts w:ascii="Times New Roman" w:hAnsi="Times New Roman"/>
          <w:sz w:val="24"/>
          <w:szCs w:val="24"/>
        </w:rPr>
        <w:t>Atsakovė UAB „</w:t>
      </w:r>
      <w:proofErr w:type="spellStart"/>
      <w:r>
        <w:rPr>
          <w:rFonts w:ascii="Times New Roman" w:hAnsi="Times New Roman"/>
          <w:sz w:val="24"/>
          <w:szCs w:val="24"/>
        </w:rPr>
        <w:t>Lex</w:t>
      </w:r>
      <w:proofErr w:type="spellEnd"/>
      <w:r>
        <w:rPr>
          <w:rFonts w:ascii="Times New Roman" w:hAnsi="Times New Roman"/>
          <w:sz w:val="24"/>
          <w:szCs w:val="24"/>
        </w:rPr>
        <w:t xml:space="preserve"> ano“</w:t>
      </w:r>
      <w:r w:rsidR="00C3022E" w:rsidRPr="00484D1A">
        <w:rPr>
          <w:rFonts w:ascii="Times New Roman" w:hAnsi="Times New Roman"/>
          <w:sz w:val="24"/>
          <w:szCs w:val="24"/>
        </w:rPr>
        <w:t xml:space="preserve"> </w:t>
      </w:r>
      <w:r w:rsidR="00770580" w:rsidRPr="00484D1A">
        <w:rPr>
          <w:rFonts w:ascii="Times New Roman" w:hAnsi="Times New Roman"/>
          <w:sz w:val="24"/>
          <w:szCs w:val="24"/>
        </w:rPr>
        <w:t>kasacini</w:t>
      </w:r>
      <w:r w:rsidR="003F0BA7" w:rsidRPr="00484D1A">
        <w:rPr>
          <w:rFonts w:ascii="Times New Roman" w:hAnsi="Times New Roman"/>
          <w:sz w:val="24"/>
          <w:szCs w:val="24"/>
        </w:rPr>
        <w:t>u</w:t>
      </w:r>
      <w:r w:rsidR="00770580" w:rsidRPr="00484D1A">
        <w:rPr>
          <w:rFonts w:ascii="Times New Roman" w:hAnsi="Times New Roman"/>
          <w:sz w:val="24"/>
          <w:szCs w:val="24"/>
        </w:rPr>
        <w:t xml:space="preserve"> skund</w:t>
      </w:r>
      <w:r w:rsidR="00F526B2" w:rsidRPr="00484D1A">
        <w:rPr>
          <w:rFonts w:ascii="Times New Roman" w:hAnsi="Times New Roman"/>
          <w:sz w:val="24"/>
          <w:szCs w:val="24"/>
        </w:rPr>
        <w:t>u</w:t>
      </w:r>
      <w:r w:rsidR="00A26D5A" w:rsidRPr="00484D1A">
        <w:rPr>
          <w:rFonts w:ascii="Times New Roman" w:hAnsi="Times New Roman"/>
          <w:sz w:val="24"/>
          <w:szCs w:val="24"/>
        </w:rPr>
        <w:t xml:space="preserve"> </w:t>
      </w:r>
      <w:r w:rsidR="00581278" w:rsidRPr="00484D1A">
        <w:rPr>
          <w:rFonts w:ascii="Times New Roman" w:hAnsi="Times New Roman"/>
          <w:sz w:val="24"/>
          <w:szCs w:val="24"/>
        </w:rPr>
        <w:t xml:space="preserve">prašo panaikinti </w:t>
      </w:r>
      <w:r>
        <w:rPr>
          <w:rFonts w:ascii="Times New Roman" w:hAnsi="Times New Roman"/>
          <w:sz w:val="24"/>
          <w:szCs w:val="24"/>
        </w:rPr>
        <w:t>Lietuvos apeliacinio</w:t>
      </w:r>
      <w:r w:rsidR="00A6186E" w:rsidRPr="00484D1A">
        <w:rPr>
          <w:rFonts w:ascii="Times New Roman" w:hAnsi="Times New Roman"/>
          <w:sz w:val="24"/>
          <w:szCs w:val="24"/>
        </w:rPr>
        <w:t xml:space="preserve"> teismo</w:t>
      </w:r>
      <w:r>
        <w:rPr>
          <w:rFonts w:ascii="Times New Roman" w:hAnsi="Times New Roman"/>
          <w:sz w:val="24"/>
          <w:szCs w:val="24"/>
        </w:rPr>
        <w:t xml:space="preserve"> Civilinių bylų skyriaus teisėjų kolegijos</w:t>
      </w:r>
      <w:r w:rsidR="00A6186E" w:rsidRPr="00484D1A">
        <w:rPr>
          <w:rFonts w:ascii="Times New Roman" w:hAnsi="Times New Roman"/>
          <w:sz w:val="24"/>
          <w:szCs w:val="24"/>
        </w:rPr>
        <w:t xml:space="preserve"> 202</w:t>
      </w:r>
      <w:r w:rsidR="00554543" w:rsidRPr="00484D1A">
        <w:rPr>
          <w:rFonts w:ascii="Times New Roman" w:hAnsi="Times New Roman"/>
          <w:sz w:val="24"/>
          <w:szCs w:val="24"/>
        </w:rPr>
        <w:t>2</w:t>
      </w:r>
      <w:r w:rsidR="00484D1A">
        <w:rPr>
          <w:rFonts w:ascii="Times New Roman" w:hAnsi="Times New Roman"/>
          <w:sz w:val="24"/>
          <w:szCs w:val="24"/>
        </w:rPr>
        <w:t xml:space="preserve"> </w:t>
      </w:r>
      <w:r w:rsidR="00F33A67" w:rsidRPr="00484D1A">
        <w:rPr>
          <w:rFonts w:ascii="Times New Roman" w:hAnsi="Times New Roman"/>
          <w:sz w:val="24"/>
          <w:szCs w:val="24"/>
        </w:rPr>
        <w:t>m.</w:t>
      </w:r>
      <w:r w:rsidR="00484D1A">
        <w:rPr>
          <w:rFonts w:ascii="Times New Roman" w:hAnsi="Times New Roman"/>
          <w:sz w:val="24"/>
          <w:szCs w:val="24"/>
        </w:rPr>
        <w:t xml:space="preserve"> </w:t>
      </w:r>
      <w:r>
        <w:rPr>
          <w:rFonts w:ascii="Times New Roman" w:hAnsi="Times New Roman"/>
          <w:sz w:val="24"/>
          <w:szCs w:val="24"/>
        </w:rPr>
        <w:t>gruodžio</w:t>
      </w:r>
      <w:r w:rsidR="00A6186E" w:rsidRPr="00484D1A">
        <w:rPr>
          <w:rFonts w:ascii="Times New Roman" w:hAnsi="Times New Roman"/>
          <w:sz w:val="24"/>
          <w:szCs w:val="24"/>
        </w:rPr>
        <w:t xml:space="preserve"> </w:t>
      </w:r>
      <w:r w:rsidR="003C688F" w:rsidRPr="003C688F">
        <w:rPr>
          <w:rFonts w:ascii="Times New Roman" w:hAnsi="Times New Roman"/>
          <w:sz w:val="24"/>
          <w:szCs w:val="24"/>
        </w:rPr>
        <w:t>1</w:t>
      </w:r>
      <w:r w:rsidRPr="00C37CEF">
        <w:rPr>
          <w:rFonts w:ascii="Times New Roman" w:hAnsi="Times New Roman"/>
          <w:sz w:val="24"/>
          <w:szCs w:val="24"/>
        </w:rPr>
        <w:t>4</w:t>
      </w:r>
      <w:r w:rsidR="00A6186E" w:rsidRPr="00484D1A">
        <w:rPr>
          <w:rFonts w:ascii="Times New Roman" w:hAnsi="Times New Roman"/>
          <w:sz w:val="24"/>
          <w:szCs w:val="24"/>
        </w:rPr>
        <w:t xml:space="preserve"> d. </w:t>
      </w:r>
      <w:r>
        <w:rPr>
          <w:rFonts w:ascii="Times New Roman" w:hAnsi="Times New Roman"/>
          <w:sz w:val="24"/>
          <w:szCs w:val="24"/>
        </w:rPr>
        <w:t>sprendimą</w:t>
      </w:r>
      <w:r w:rsidR="009C1BFD" w:rsidRPr="00484D1A">
        <w:rPr>
          <w:rFonts w:ascii="Times New Roman" w:hAnsi="Times New Roman"/>
          <w:sz w:val="24"/>
          <w:szCs w:val="24"/>
        </w:rPr>
        <w:t xml:space="preserve"> ir</w:t>
      </w:r>
      <w:r>
        <w:rPr>
          <w:rFonts w:ascii="Times New Roman" w:hAnsi="Times New Roman"/>
          <w:sz w:val="24"/>
          <w:szCs w:val="24"/>
        </w:rPr>
        <w:t xml:space="preserve"> palikti galioti Vilniaus apygardos teismo </w:t>
      </w:r>
      <w:r w:rsidR="003C688F" w:rsidRPr="003C688F">
        <w:rPr>
          <w:rFonts w:ascii="Times New Roman" w:hAnsi="Times New Roman"/>
          <w:sz w:val="24"/>
          <w:szCs w:val="24"/>
        </w:rPr>
        <w:t>20</w:t>
      </w:r>
      <w:r w:rsidR="003C688F">
        <w:rPr>
          <w:rFonts w:ascii="Times New Roman" w:hAnsi="Times New Roman"/>
          <w:sz w:val="24"/>
          <w:szCs w:val="24"/>
        </w:rPr>
        <w:t xml:space="preserve">22 m. </w:t>
      </w:r>
      <w:r>
        <w:rPr>
          <w:rFonts w:ascii="Times New Roman" w:hAnsi="Times New Roman"/>
          <w:sz w:val="24"/>
          <w:szCs w:val="24"/>
        </w:rPr>
        <w:t xml:space="preserve">gegužės </w:t>
      </w:r>
      <w:r w:rsidRPr="00C37CEF">
        <w:rPr>
          <w:rFonts w:ascii="Times New Roman" w:hAnsi="Times New Roman"/>
          <w:sz w:val="24"/>
          <w:szCs w:val="24"/>
        </w:rPr>
        <w:t>23</w:t>
      </w:r>
      <w:r w:rsidR="003C688F">
        <w:rPr>
          <w:rFonts w:ascii="Times New Roman" w:hAnsi="Times New Roman"/>
          <w:sz w:val="24"/>
          <w:szCs w:val="24"/>
        </w:rPr>
        <w:t xml:space="preserve"> d.</w:t>
      </w:r>
      <w:r w:rsidR="008E69F0">
        <w:rPr>
          <w:rFonts w:ascii="Times New Roman" w:hAnsi="Times New Roman"/>
          <w:sz w:val="24"/>
          <w:szCs w:val="24"/>
        </w:rPr>
        <w:t xml:space="preserve"> sprendimą</w:t>
      </w:r>
      <w:r>
        <w:rPr>
          <w:rFonts w:ascii="Times New Roman" w:hAnsi="Times New Roman"/>
          <w:sz w:val="24"/>
          <w:szCs w:val="24"/>
        </w:rPr>
        <w:t>, priteisti iš ieškov</w:t>
      </w:r>
      <w:r w:rsidR="008E69F0">
        <w:rPr>
          <w:rFonts w:ascii="Times New Roman" w:hAnsi="Times New Roman"/>
          <w:sz w:val="24"/>
          <w:szCs w:val="24"/>
        </w:rPr>
        <w:t>ės</w:t>
      </w:r>
      <w:r>
        <w:rPr>
          <w:rFonts w:ascii="Times New Roman" w:hAnsi="Times New Roman"/>
          <w:sz w:val="24"/>
          <w:szCs w:val="24"/>
        </w:rPr>
        <w:t xml:space="preserve"> bylinėjimosi išlaidų, patirtų kasaciniame teisme, atlyginimą</w:t>
      </w:r>
      <w:r w:rsidR="003C688F">
        <w:rPr>
          <w:rFonts w:ascii="Times New Roman" w:hAnsi="Times New Roman"/>
          <w:sz w:val="24"/>
          <w:szCs w:val="24"/>
        </w:rPr>
        <w:t xml:space="preserve">. </w:t>
      </w:r>
      <w:r w:rsidR="00A80C8A" w:rsidRPr="00484D1A">
        <w:rPr>
          <w:rFonts w:ascii="Times New Roman" w:hAnsi="Times New Roman"/>
          <w:sz w:val="24"/>
          <w:szCs w:val="24"/>
        </w:rPr>
        <w:t>Kasacinis skundas grindžiamas šiais argumentais:</w:t>
      </w:r>
    </w:p>
    <w:p w14:paraId="4531B9DF" w14:textId="6B3499C6" w:rsidR="00F50B23" w:rsidRDefault="00EB2CCE"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bookmarkStart w:id="8" w:name="_Hlk95207946"/>
      <w:r>
        <w:rPr>
          <w:rFonts w:ascii="Times New Roman" w:hAnsi="Times New Roman"/>
          <w:sz w:val="24"/>
          <w:szCs w:val="24"/>
        </w:rPr>
        <w:t xml:space="preserve">Apeliacinės instancijos teismas atsakovei </w:t>
      </w:r>
      <w:r>
        <w:rPr>
          <w:rFonts w:ascii="Times New Roman" w:hAnsi="Times New Roman"/>
          <w:i/>
          <w:iCs/>
          <w:sz w:val="24"/>
          <w:szCs w:val="24"/>
        </w:rPr>
        <w:t xml:space="preserve">de facto </w:t>
      </w:r>
      <w:r>
        <w:rPr>
          <w:rFonts w:ascii="Times New Roman" w:hAnsi="Times New Roman"/>
          <w:sz w:val="24"/>
          <w:szCs w:val="24"/>
        </w:rPr>
        <w:t xml:space="preserve">uždraudė vykdyti vaistinių preparatų lygiagretaus importo veiklą ir į Lietuvos rinką uždraudė tiekti </w:t>
      </w:r>
      <w:proofErr w:type="spellStart"/>
      <w:r w:rsidR="00754963" w:rsidRPr="00754963">
        <w:rPr>
          <w:rFonts w:ascii="Times New Roman" w:hAnsi="Times New Roman"/>
          <w:sz w:val="24"/>
          <w:szCs w:val="24"/>
        </w:rPr>
        <w:t>levotiroksino</w:t>
      </w:r>
      <w:proofErr w:type="spellEnd"/>
      <w:r w:rsidR="00754963" w:rsidRPr="00754963">
        <w:rPr>
          <w:rFonts w:ascii="Times New Roman" w:hAnsi="Times New Roman"/>
          <w:sz w:val="24"/>
          <w:szCs w:val="24"/>
        </w:rPr>
        <w:t xml:space="preserve"> natrio druską</w:t>
      </w:r>
      <w:r>
        <w:rPr>
          <w:rFonts w:ascii="Times New Roman" w:hAnsi="Times New Roman"/>
          <w:sz w:val="24"/>
          <w:szCs w:val="24"/>
        </w:rPr>
        <w:t>, taip leisdamas susidaryti situacijai, kai ieškov</w:t>
      </w:r>
      <w:r w:rsidR="008E69F0">
        <w:rPr>
          <w:rFonts w:ascii="Times New Roman" w:hAnsi="Times New Roman"/>
          <w:sz w:val="24"/>
          <w:szCs w:val="24"/>
        </w:rPr>
        <w:t>ė</w:t>
      </w:r>
      <w:r>
        <w:rPr>
          <w:rFonts w:ascii="Times New Roman" w:hAnsi="Times New Roman"/>
          <w:sz w:val="24"/>
          <w:szCs w:val="24"/>
        </w:rPr>
        <w:t xml:space="preserve"> liko vienintel</w:t>
      </w:r>
      <w:r w:rsidR="008E69F0">
        <w:rPr>
          <w:rFonts w:ascii="Times New Roman" w:hAnsi="Times New Roman"/>
          <w:sz w:val="24"/>
          <w:szCs w:val="24"/>
        </w:rPr>
        <w:t>ė</w:t>
      </w:r>
      <w:r>
        <w:rPr>
          <w:rFonts w:ascii="Times New Roman" w:hAnsi="Times New Roman"/>
          <w:sz w:val="24"/>
          <w:szCs w:val="24"/>
        </w:rPr>
        <w:t xml:space="preserve"> šio vaistinio preparato tiekėja Lietuvoje, todėl ji neturės jokių konkurencinių paskatų mažinti jo</w:t>
      </w:r>
      <w:r w:rsidR="008E69F0">
        <w:rPr>
          <w:rFonts w:ascii="Times New Roman" w:hAnsi="Times New Roman"/>
          <w:sz w:val="24"/>
          <w:szCs w:val="24"/>
        </w:rPr>
        <w:t>s</w:t>
      </w:r>
      <w:r>
        <w:rPr>
          <w:rFonts w:ascii="Times New Roman" w:hAnsi="Times New Roman"/>
          <w:sz w:val="24"/>
          <w:szCs w:val="24"/>
        </w:rPr>
        <w:t xml:space="preserve"> pa</w:t>
      </w:r>
      <w:r w:rsidR="008E69F0">
        <w:rPr>
          <w:rFonts w:ascii="Times New Roman" w:hAnsi="Times New Roman"/>
          <w:sz w:val="24"/>
          <w:szCs w:val="24"/>
        </w:rPr>
        <w:t>čios</w:t>
      </w:r>
      <w:r>
        <w:rPr>
          <w:rFonts w:ascii="Times New Roman" w:hAnsi="Times New Roman"/>
          <w:sz w:val="24"/>
          <w:szCs w:val="24"/>
        </w:rPr>
        <w:t xml:space="preserve"> gaminamų ir tik jo</w:t>
      </w:r>
      <w:r w:rsidR="008E69F0">
        <w:rPr>
          <w:rFonts w:ascii="Times New Roman" w:hAnsi="Times New Roman"/>
          <w:sz w:val="24"/>
          <w:szCs w:val="24"/>
        </w:rPr>
        <w:t>s</w:t>
      </w:r>
      <w:r>
        <w:rPr>
          <w:rFonts w:ascii="Times New Roman" w:hAnsi="Times New Roman"/>
          <w:sz w:val="24"/>
          <w:szCs w:val="24"/>
        </w:rPr>
        <w:t xml:space="preserve"> į Lietuvą tiekiamų vaistų kainos</w:t>
      </w:r>
      <w:r w:rsidR="00944469">
        <w:rPr>
          <w:rFonts w:ascii="Times New Roman" w:hAnsi="Times New Roman"/>
          <w:sz w:val="24"/>
          <w:szCs w:val="24"/>
        </w:rPr>
        <w:t>.</w:t>
      </w:r>
      <w:r>
        <w:rPr>
          <w:rFonts w:ascii="Times New Roman" w:hAnsi="Times New Roman"/>
          <w:sz w:val="24"/>
          <w:szCs w:val="24"/>
        </w:rPr>
        <w:t xml:space="preserve"> Nors ši byla inicijuota dėl tariamo prekių ženklų savininko teisių pažeidimo, tačiau ieškov</w:t>
      </w:r>
      <w:r w:rsidR="008E69F0">
        <w:rPr>
          <w:rFonts w:ascii="Times New Roman" w:hAnsi="Times New Roman"/>
          <w:sz w:val="24"/>
          <w:szCs w:val="24"/>
        </w:rPr>
        <w:t>ės</w:t>
      </w:r>
      <w:r>
        <w:rPr>
          <w:rFonts w:ascii="Times New Roman" w:hAnsi="Times New Roman"/>
          <w:sz w:val="24"/>
          <w:szCs w:val="24"/>
        </w:rPr>
        <w:t xml:space="preserve"> tikslas šiuo atveju yra užkardyti bet kokį galimą lygiagretų importą. Skirtingais pavadinimais skirtingose valstybėse pardavinėjant tą patį vaistinį preparatą siekiama, kad lygiagretūs importuotojai negalėtų patekti į kitą rinką nepervadin</w:t>
      </w:r>
      <w:r w:rsidR="00BC25A9">
        <w:rPr>
          <w:rFonts w:ascii="Times New Roman" w:hAnsi="Times New Roman"/>
          <w:sz w:val="24"/>
          <w:szCs w:val="24"/>
        </w:rPr>
        <w:t>ę</w:t>
      </w:r>
      <w:r>
        <w:rPr>
          <w:rFonts w:ascii="Times New Roman" w:hAnsi="Times New Roman"/>
          <w:sz w:val="24"/>
          <w:szCs w:val="24"/>
        </w:rPr>
        <w:t xml:space="preserve"> ir neperpakav</w:t>
      </w:r>
      <w:r w:rsidR="00BC25A9">
        <w:rPr>
          <w:rFonts w:ascii="Times New Roman" w:hAnsi="Times New Roman"/>
          <w:sz w:val="24"/>
          <w:szCs w:val="24"/>
        </w:rPr>
        <w:t>ę</w:t>
      </w:r>
      <w:r>
        <w:rPr>
          <w:rFonts w:ascii="Times New Roman" w:hAnsi="Times New Roman"/>
          <w:sz w:val="24"/>
          <w:szCs w:val="24"/>
        </w:rPr>
        <w:t xml:space="preserve"> vaistinio preparato.</w:t>
      </w:r>
    </w:p>
    <w:p w14:paraId="38A1D318" w14:textId="5B527255" w:rsidR="006369E3" w:rsidRDefault="00F50B23"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Pr>
          <w:rFonts w:ascii="Times New Roman" w:hAnsi="Times New Roman"/>
          <w:sz w:val="24"/>
          <w:szCs w:val="24"/>
        </w:rPr>
        <w:t>Apeliacinės instancijos</w:t>
      </w:r>
      <w:r w:rsidRPr="00F50B23">
        <w:rPr>
          <w:rFonts w:ascii="Times New Roman" w:hAnsi="Times New Roman"/>
          <w:sz w:val="24"/>
          <w:szCs w:val="24"/>
        </w:rPr>
        <w:t xml:space="preserve"> teismas</w:t>
      </w:r>
      <w:r>
        <w:rPr>
          <w:rFonts w:ascii="Times New Roman" w:hAnsi="Times New Roman"/>
          <w:sz w:val="24"/>
          <w:szCs w:val="24"/>
        </w:rPr>
        <w:t xml:space="preserve"> pažeidė </w:t>
      </w:r>
      <w:r w:rsidR="004A4232">
        <w:rPr>
          <w:rFonts w:ascii="Times New Roman" w:hAnsi="Times New Roman"/>
          <w:sz w:val="24"/>
          <w:szCs w:val="24"/>
        </w:rPr>
        <w:t xml:space="preserve">Lietuvos Respublikos civilinio proceso kodekso (toliau – ir </w:t>
      </w:r>
      <w:r>
        <w:rPr>
          <w:rFonts w:ascii="Times New Roman" w:hAnsi="Times New Roman"/>
          <w:sz w:val="24"/>
          <w:szCs w:val="24"/>
        </w:rPr>
        <w:t>CPK</w:t>
      </w:r>
      <w:r w:rsidR="004A4232">
        <w:rPr>
          <w:rFonts w:ascii="Times New Roman" w:hAnsi="Times New Roman"/>
          <w:sz w:val="24"/>
          <w:szCs w:val="24"/>
        </w:rPr>
        <w:t>)</w:t>
      </w:r>
      <w:r>
        <w:rPr>
          <w:rFonts w:ascii="Times New Roman" w:hAnsi="Times New Roman"/>
          <w:sz w:val="24"/>
          <w:szCs w:val="24"/>
        </w:rPr>
        <w:t xml:space="preserve"> </w:t>
      </w:r>
      <w:r w:rsidRPr="00F50B23">
        <w:rPr>
          <w:rFonts w:ascii="Times New Roman" w:hAnsi="Times New Roman"/>
          <w:sz w:val="24"/>
          <w:szCs w:val="24"/>
        </w:rPr>
        <w:t xml:space="preserve">3 </w:t>
      </w:r>
      <w:r>
        <w:rPr>
          <w:rFonts w:ascii="Times New Roman" w:hAnsi="Times New Roman"/>
          <w:sz w:val="24"/>
          <w:szCs w:val="24"/>
        </w:rPr>
        <w:t>straipsnio 5 dalį, nukrypdamas nuo ESTT praktikoje suformu</w:t>
      </w:r>
      <w:r w:rsidR="00BC25A9">
        <w:rPr>
          <w:rFonts w:ascii="Times New Roman" w:hAnsi="Times New Roman"/>
          <w:sz w:val="24"/>
          <w:szCs w:val="24"/>
        </w:rPr>
        <w:t>lu</w:t>
      </w:r>
      <w:r>
        <w:rPr>
          <w:rFonts w:ascii="Times New Roman" w:hAnsi="Times New Roman"/>
          <w:sz w:val="24"/>
          <w:szCs w:val="24"/>
        </w:rPr>
        <w:t>otų sąlygų</w:t>
      </w:r>
      <w:r w:rsidRPr="00F50B23">
        <w:rPr>
          <w:rFonts w:ascii="Times New Roman" w:hAnsi="Times New Roman"/>
          <w:sz w:val="24"/>
          <w:szCs w:val="24"/>
        </w:rPr>
        <w:t>,</w:t>
      </w:r>
      <w:r>
        <w:rPr>
          <w:rFonts w:ascii="Times New Roman" w:hAnsi="Times New Roman"/>
          <w:sz w:val="24"/>
          <w:szCs w:val="24"/>
        </w:rPr>
        <w:t xml:space="preserve"> nes</w:t>
      </w:r>
      <w:r w:rsidRPr="00F50B23">
        <w:rPr>
          <w:rFonts w:ascii="Times New Roman" w:hAnsi="Times New Roman"/>
          <w:sz w:val="24"/>
          <w:szCs w:val="24"/>
        </w:rPr>
        <w:t xml:space="preserve"> </w:t>
      </w:r>
      <w:r w:rsidR="00E41C31" w:rsidRPr="00E41C31">
        <w:rPr>
          <w:rFonts w:ascii="Times New Roman" w:hAnsi="Times New Roman"/>
          <w:sz w:val="24"/>
          <w:szCs w:val="24"/>
        </w:rPr>
        <w:t>nesivadovavo ESTT praktikoje nu</w:t>
      </w:r>
      <w:r w:rsidR="00BC25A9">
        <w:rPr>
          <w:rFonts w:ascii="Times New Roman" w:hAnsi="Times New Roman"/>
          <w:sz w:val="24"/>
          <w:szCs w:val="24"/>
        </w:rPr>
        <w:t>st</w:t>
      </w:r>
      <w:r w:rsidR="00E41C31" w:rsidRPr="00E41C31">
        <w:rPr>
          <w:rFonts w:ascii="Times New Roman" w:hAnsi="Times New Roman"/>
          <w:sz w:val="24"/>
          <w:szCs w:val="24"/>
        </w:rPr>
        <w:t xml:space="preserve">atytomis kumuliatyviomis sąlygomis, kurių visumai esant lygiagretus importuotojas gali pervadinti </w:t>
      </w:r>
      <w:r w:rsidR="00BC25A9">
        <w:rPr>
          <w:rFonts w:ascii="Times New Roman" w:hAnsi="Times New Roman"/>
          <w:sz w:val="24"/>
          <w:szCs w:val="24"/>
        </w:rPr>
        <w:t>ir</w:t>
      </w:r>
      <w:r w:rsidR="00E41C31" w:rsidRPr="00E41C31">
        <w:rPr>
          <w:rFonts w:ascii="Times New Roman" w:hAnsi="Times New Roman"/>
          <w:sz w:val="24"/>
          <w:szCs w:val="24"/>
        </w:rPr>
        <w:t xml:space="preserve"> perpakuoti vaistinius preparatus</w:t>
      </w:r>
      <w:r w:rsidR="00E41C31">
        <w:rPr>
          <w:rFonts w:ascii="Times New Roman" w:hAnsi="Times New Roman"/>
          <w:sz w:val="24"/>
          <w:szCs w:val="24"/>
        </w:rPr>
        <w:t xml:space="preserve">. Apeliacinės instancijos teismas, </w:t>
      </w:r>
      <w:r w:rsidRPr="00F50B23">
        <w:rPr>
          <w:rFonts w:ascii="Times New Roman" w:hAnsi="Times New Roman"/>
          <w:sz w:val="24"/>
          <w:szCs w:val="24"/>
        </w:rPr>
        <w:t xml:space="preserve">aiškindamas </w:t>
      </w:r>
      <w:r>
        <w:rPr>
          <w:rFonts w:ascii="Times New Roman" w:hAnsi="Times New Roman"/>
          <w:sz w:val="24"/>
          <w:szCs w:val="24"/>
        </w:rPr>
        <w:t>šias</w:t>
      </w:r>
      <w:r w:rsidRPr="00F50B23">
        <w:rPr>
          <w:rFonts w:ascii="Times New Roman" w:hAnsi="Times New Roman"/>
          <w:sz w:val="24"/>
          <w:szCs w:val="24"/>
        </w:rPr>
        <w:t xml:space="preserve"> sąlygas, suteikiančias pagrindą lygiagretiems importuotojams pervadinti </w:t>
      </w:r>
      <w:r w:rsidR="00BC25A9">
        <w:rPr>
          <w:rFonts w:ascii="Times New Roman" w:hAnsi="Times New Roman"/>
          <w:sz w:val="24"/>
          <w:szCs w:val="24"/>
        </w:rPr>
        <w:t>ir</w:t>
      </w:r>
      <w:r w:rsidRPr="00F50B23">
        <w:rPr>
          <w:rFonts w:ascii="Times New Roman" w:hAnsi="Times New Roman"/>
          <w:sz w:val="24"/>
          <w:szCs w:val="24"/>
        </w:rPr>
        <w:t xml:space="preserve"> perpakuoti </w:t>
      </w:r>
      <w:r w:rsidRPr="00192A41">
        <w:rPr>
          <w:rFonts w:ascii="Times New Roman" w:hAnsi="Times New Roman"/>
          <w:sz w:val="24"/>
          <w:szCs w:val="24"/>
        </w:rPr>
        <w:t xml:space="preserve">vaistinius preparatus, sukūrė naują </w:t>
      </w:r>
      <w:proofErr w:type="spellStart"/>
      <w:r w:rsidRPr="00192A41">
        <w:rPr>
          <w:rFonts w:ascii="Times New Roman" w:hAnsi="Times New Roman"/>
          <w:sz w:val="24"/>
          <w:szCs w:val="24"/>
        </w:rPr>
        <w:t>siurpriz</w:t>
      </w:r>
      <w:r w:rsidR="00BC25A9">
        <w:rPr>
          <w:rFonts w:ascii="Times New Roman" w:hAnsi="Times New Roman"/>
          <w:sz w:val="24"/>
          <w:szCs w:val="24"/>
        </w:rPr>
        <w:t>in</w:t>
      </w:r>
      <w:r w:rsidRPr="00192A41">
        <w:rPr>
          <w:rFonts w:ascii="Times New Roman" w:hAnsi="Times New Roman"/>
          <w:sz w:val="24"/>
          <w:szCs w:val="24"/>
        </w:rPr>
        <w:t>ę</w:t>
      </w:r>
      <w:proofErr w:type="spellEnd"/>
      <w:r w:rsidRPr="00192A41">
        <w:rPr>
          <w:rFonts w:ascii="Times New Roman" w:hAnsi="Times New Roman"/>
          <w:sz w:val="24"/>
          <w:szCs w:val="24"/>
        </w:rPr>
        <w:t xml:space="preserve"> sąlygą, kuri nu</w:t>
      </w:r>
      <w:r w:rsidR="008E69F0" w:rsidRPr="00192A41">
        <w:rPr>
          <w:rFonts w:ascii="Times New Roman" w:hAnsi="Times New Roman"/>
          <w:sz w:val="24"/>
          <w:szCs w:val="24"/>
        </w:rPr>
        <w:t>st</w:t>
      </w:r>
      <w:r w:rsidRPr="00192A41">
        <w:rPr>
          <w:rFonts w:ascii="Times New Roman" w:hAnsi="Times New Roman"/>
          <w:sz w:val="24"/>
          <w:szCs w:val="24"/>
        </w:rPr>
        <w:t xml:space="preserve">ato, jog vertinant pervadinimo </w:t>
      </w:r>
      <w:r w:rsidR="00DF5E69" w:rsidRPr="00192A41">
        <w:rPr>
          <w:rFonts w:ascii="Times New Roman" w:hAnsi="Times New Roman"/>
          <w:sz w:val="24"/>
          <w:szCs w:val="24"/>
        </w:rPr>
        <w:t>(</w:t>
      </w:r>
      <w:r w:rsidRPr="00192A41">
        <w:rPr>
          <w:rFonts w:ascii="Times New Roman" w:hAnsi="Times New Roman"/>
          <w:sz w:val="24"/>
          <w:szCs w:val="24"/>
        </w:rPr>
        <w:t>perpakavimo</w:t>
      </w:r>
      <w:r w:rsidR="00DF5E69" w:rsidRPr="00192A41">
        <w:rPr>
          <w:rFonts w:ascii="Times New Roman" w:hAnsi="Times New Roman"/>
          <w:sz w:val="24"/>
          <w:szCs w:val="24"/>
        </w:rPr>
        <w:t>)</w:t>
      </w:r>
      <w:r w:rsidRPr="00192A41">
        <w:rPr>
          <w:rFonts w:ascii="Times New Roman" w:hAnsi="Times New Roman"/>
          <w:sz w:val="24"/>
          <w:szCs w:val="24"/>
        </w:rPr>
        <w:t xml:space="preserve"> teisėtumą didelę reikšmę turi lygiagretaus importuotojo nustatyta kaina, t. y. tuo atveju, jei ši nėra mažesnė nei vaistų gamintojo, toks lygiagretus importuotojas yra laikomas nesąžiningu. Nors</w:t>
      </w:r>
      <w:r w:rsidRPr="00F50B23">
        <w:rPr>
          <w:rFonts w:ascii="Times New Roman" w:hAnsi="Times New Roman"/>
          <w:sz w:val="24"/>
          <w:szCs w:val="24"/>
        </w:rPr>
        <w:t xml:space="preserve"> tokia aplinkybė nei ESTT, nei kitų valstybių praktikoje neturi </w:t>
      </w:r>
      <w:r w:rsidR="004A4232">
        <w:rPr>
          <w:rFonts w:ascii="Times New Roman" w:hAnsi="Times New Roman"/>
          <w:sz w:val="24"/>
          <w:szCs w:val="24"/>
        </w:rPr>
        <w:t>ir</w:t>
      </w:r>
      <w:r w:rsidRPr="00F50B23">
        <w:rPr>
          <w:rFonts w:ascii="Times New Roman" w:hAnsi="Times New Roman"/>
          <w:sz w:val="24"/>
          <w:szCs w:val="24"/>
        </w:rPr>
        <w:t xml:space="preserve"> niekuomet neturėjo teisinės reikšmės,</w:t>
      </w:r>
      <w:r>
        <w:rPr>
          <w:rFonts w:ascii="Times New Roman" w:hAnsi="Times New Roman"/>
          <w:sz w:val="24"/>
          <w:szCs w:val="24"/>
        </w:rPr>
        <w:t xml:space="preserve"> apeliacinės instancijos teismo nepagrįstu vertinimu, tai pagrindžia lygiagretaus importuotojo nesąžiningumą. Tokia nesąžiningumo prezumpcija net neegzistuoja, todėl lygiagretus importuotojas net ir neturėjo jos paneigti.</w:t>
      </w:r>
      <w:r w:rsidR="00E772CB">
        <w:rPr>
          <w:rFonts w:ascii="Times New Roman" w:hAnsi="Times New Roman"/>
          <w:sz w:val="24"/>
          <w:szCs w:val="24"/>
        </w:rPr>
        <w:t xml:space="preserve"> Be to, tai prieštarauja bendrajam sąžiningumo prezumpcijos principui ir Lietuvos Aukščiausiojo Teismo praktikai, kad asmeniui nereikia įrodinėti savo sąžiningumo, jeigu įstatymas </w:t>
      </w:r>
      <w:proofErr w:type="spellStart"/>
      <w:r w:rsidR="00E772CB">
        <w:rPr>
          <w:rFonts w:ascii="Times New Roman" w:hAnsi="Times New Roman"/>
          <w:sz w:val="24"/>
          <w:szCs w:val="24"/>
        </w:rPr>
        <w:t>nepreziumuoja</w:t>
      </w:r>
      <w:proofErr w:type="spellEnd"/>
      <w:r w:rsidR="00BC25A9">
        <w:rPr>
          <w:rFonts w:ascii="Times New Roman" w:hAnsi="Times New Roman"/>
          <w:sz w:val="24"/>
          <w:szCs w:val="24"/>
        </w:rPr>
        <w:t>, kad šis</w:t>
      </w:r>
      <w:r w:rsidR="00E772CB">
        <w:rPr>
          <w:rFonts w:ascii="Times New Roman" w:hAnsi="Times New Roman"/>
          <w:sz w:val="24"/>
          <w:szCs w:val="24"/>
        </w:rPr>
        <w:t xml:space="preserve"> asm</w:t>
      </w:r>
      <w:r w:rsidR="00BC25A9">
        <w:rPr>
          <w:rFonts w:ascii="Times New Roman" w:hAnsi="Times New Roman"/>
          <w:sz w:val="24"/>
          <w:szCs w:val="24"/>
        </w:rPr>
        <w:t>uo</w:t>
      </w:r>
      <w:r w:rsidR="00E772CB">
        <w:rPr>
          <w:rFonts w:ascii="Times New Roman" w:hAnsi="Times New Roman"/>
          <w:sz w:val="24"/>
          <w:szCs w:val="24"/>
        </w:rPr>
        <w:t xml:space="preserve"> nesąžining</w:t>
      </w:r>
      <w:r w:rsidR="00BC25A9">
        <w:rPr>
          <w:rFonts w:ascii="Times New Roman" w:hAnsi="Times New Roman"/>
          <w:sz w:val="24"/>
          <w:szCs w:val="24"/>
        </w:rPr>
        <w:t>as</w:t>
      </w:r>
      <w:r w:rsidR="00E772CB">
        <w:rPr>
          <w:rFonts w:ascii="Times New Roman" w:hAnsi="Times New Roman"/>
          <w:sz w:val="24"/>
          <w:szCs w:val="24"/>
        </w:rPr>
        <w:t>.</w:t>
      </w:r>
    </w:p>
    <w:p w14:paraId="349AB1C2" w14:textId="222FF3FF" w:rsidR="00E772CB" w:rsidRDefault="00E772CB"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Pr>
          <w:rFonts w:ascii="Times New Roman" w:hAnsi="Times New Roman"/>
          <w:sz w:val="24"/>
          <w:szCs w:val="24"/>
        </w:rPr>
        <w:t xml:space="preserve">Apeliacinės instancijos </w:t>
      </w:r>
      <w:r w:rsidR="00731D5C">
        <w:rPr>
          <w:rFonts w:ascii="Times New Roman" w:hAnsi="Times New Roman"/>
          <w:sz w:val="24"/>
          <w:szCs w:val="24"/>
        </w:rPr>
        <w:t xml:space="preserve">teismas iš </w:t>
      </w:r>
      <w:r w:rsidR="00731D5C" w:rsidRPr="00192A41">
        <w:rPr>
          <w:rFonts w:ascii="Times New Roman" w:hAnsi="Times New Roman"/>
          <w:sz w:val="24"/>
          <w:szCs w:val="24"/>
        </w:rPr>
        <w:t>esmės apribojo galimybę lygiagretiems importuotojams konkuruoti kainos požiūriu, nustatant, kad į rinką lygiagretus importuotojas gali tiekti vaistinius preparatus tik tuo atveju, jei šie bus pigesni nei paties gamintojo tiekiami tie patys vaistiniai preparatai. Tokios pozicijos nepagrįstumą pagrindžia</w:t>
      </w:r>
      <w:r w:rsidR="007E5A3F" w:rsidRPr="00192A41">
        <w:rPr>
          <w:rFonts w:ascii="Times New Roman" w:hAnsi="Times New Roman"/>
          <w:sz w:val="24"/>
          <w:szCs w:val="24"/>
        </w:rPr>
        <w:t xml:space="preserve"> faktas, jog iki 2015 m. </w:t>
      </w:r>
      <w:r w:rsidR="007E5A3F" w:rsidRPr="00192A41">
        <w:rPr>
          <w:rFonts w:ascii="Times New Roman" w:hAnsi="Times New Roman"/>
          <w:sz w:val="24"/>
          <w:szCs w:val="24"/>
        </w:rPr>
        <w:lastRenderedPageBreak/>
        <w:t xml:space="preserve">lapkričio 17 d. galiojęs teisinis reguliavimas nustatė, </w:t>
      </w:r>
      <w:r w:rsidR="00E57E9C">
        <w:rPr>
          <w:rFonts w:ascii="Times New Roman" w:hAnsi="Times New Roman"/>
          <w:sz w:val="24"/>
          <w:szCs w:val="24"/>
        </w:rPr>
        <w:t>kad</w:t>
      </w:r>
      <w:r w:rsidR="007E5A3F" w:rsidRPr="00192A41">
        <w:rPr>
          <w:rFonts w:ascii="Times New Roman" w:hAnsi="Times New Roman"/>
          <w:sz w:val="24"/>
          <w:szCs w:val="24"/>
        </w:rPr>
        <w:t xml:space="preserve"> lygiagrečiai importuojamas vaistas privalo būti pigesnis už referencinį vaistą ne mažiau kaip 4–10 procentų. Toks reguliavimas buvo pakeistas remiantis Konkurencijos tarybos 2013 m. rugsėjo 25 d. pranešimu Nr. 6S-31 ,,Apie atliktą lygiagretaus importo rinkos tyrimą“</w:t>
      </w:r>
      <w:r w:rsidR="00C2591A" w:rsidRPr="00192A41">
        <w:rPr>
          <w:rFonts w:ascii="Times New Roman" w:hAnsi="Times New Roman"/>
          <w:sz w:val="24"/>
          <w:szCs w:val="24"/>
        </w:rPr>
        <w:t>,</w:t>
      </w:r>
      <w:r w:rsidR="007E5A3F" w:rsidRPr="00192A41">
        <w:rPr>
          <w:rFonts w:ascii="Times New Roman" w:hAnsi="Times New Roman"/>
          <w:sz w:val="24"/>
          <w:szCs w:val="24"/>
        </w:rPr>
        <w:t xml:space="preserve"> kur</w:t>
      </w:r>
      <w:r w:rsidR="00C2591A" w:rsidRPr="00192A41">
        <w:rPr>
          <w:rFonts w:ascii="Times New Roman" w:hAnsi="Times New Roman"/>
          <w:sz w:val="24"/>
          <w:szCs w:val="24"/>
        </w:rPr>
        <w:t>iame</w:t>
      </w:r>
      <w:r w:rsidR="007E5A3F" w:rsidRPr="00192A41">
        <w:rPr>
          <w:rFonts w:ascii="Times New Roman" w:hAnsi="Times New Roman"/>
          <w:sz w:val="24"/>
          <w:szCs w:val="24"/>
        </w:rPr>
        <w:t xml:space="preserve"> konstatuota, kad naudą vartotojams sukuria tik aktyvi konkurencija rinkoje</w:t>
      </w:r>
      <w:r w:rsidR="006D0C35">
        <w:rPr>
          <w:rFonts w:ascii="Times New Roman" w:hAnsi="Times New Roman"/>
          <w:sz w:val="24"/>
          <w:szCs w:val="24"/>
        </w:rPr>
        <w:t>,</w:t>
      </w:r>
      <w:r w:rsidR="00C2591A">
        <w:rPr>
          <w:rFonts w:ascii="Times New Roman" w:hAnsi="Times New Roman"/>
          <w:sz w:val="24"/>
          <w:szCs w:val="24"/>
        </w:rPr>
        <w:t xml:space="preserve"> </w:t>
      </w:r>
      <w:r w:rsidR="006D0C35">
        <w:rPr>
          <w:rFonts w:ascii="Times New Roman" w:hAnsi="Times New Roman"/>
          <w:sz w:val="24"/>
          <w:szCs w:val="24"/>
        </w:rPr>
        <w:t>ir p</w:t>
      </w:r>
      <w:r w:rsidR="007E5A3F" w:rsidRPr="007E5A3F">
        <w:rPr>
          <w:rFonts w:ascii="Times New Roman" w:hAnsi="Times New Roman"/>
          <w:sz w:val="24"/>
          <w:szCs w:val="24"/>
        </w:rPr>
        <w:t>ripažin</w:t>
      </w:r>
      <w:r w:rsidR="006D0C35">
        <w:rPr>
          <w:rFonts w:ascii="Times New Roman" w:hAnsi="Times New Roman"/>
          <w:sz w:val="24"/>
          <w:szCs w:val="24"/>
        </w:rPr>
        <w:t>ta</w:t>
      </w:r>
      <w:r w:rsidR="007E5A3F" w:rsidRPr="007E5A3F">
        <w:rPr>
          <w:rFonts w:ascii="Times New Roman" w:hAnsi="Times New Roman"/>
          <w:sz w:val="24"/>
          <w:szCs w:val="24"/>
        </w:rPr>
        <w:t>, jog reikalavimas iš lygiagretaus importuotojo taikyti lygiagrečiai importuojamo vaisto kainą, kuri būtų 4</w:t>
      </w:r>
      <w:r w:rsidR="00C2591A">
        <w:rPr>
          <w:rFonts w:ascii="Times New Roman" w:hAnsi="Times New Roman"/>
          <w:sz w:val="24"/>
          <w:szCs w:val="24"/>
        </w:rPr>
        <w:t>–</w:t>
      </w:r>
      <w:r w:rsidR="007E5A3F" w:rsidRPr="007E5A3F">
        <w:rPr>
          <w:rFonts w:ascii="Times New Roman" w:hAnsi="Times New Roman"/>
          <w:sz w:val="24"/>
          <w:szCs w:val="24"/>
        </w:rPr>
        <w:t>10</w:t>
      </w:r>
      <w:r w:rsidR="00E57E9C">
        <w:rPr>
          <w:rFonts w:ascii="Times New Roman" w:hAnsi="Times New Roman"/>
          <w:sz w:val="24"/>
          <w:szCs w:val="24"/>
        </w:rPr>
        <w:t> </w:t>
      </w:r>
      <w:r w:rsidR="007E5A3F" w:rsidRPr="007E5A3F">
        <w:rPr>
          <w:rFonts w:ascii="Times New Roman" w:hAnsi="Times New Roman"/>
          <w:sz w:val="24"/>
          <w:szCs w:val="24"/>
        </w:rPr>
        <w:t>procentų mažesnė nei analogiško referencinio vaisto, riboja lygiagretaus importo veikla užsiimančių įmonių galimybes pirkėjams, kurie suinteresuoti įsigyti tam tikrą prekių asortimentą, pateikti pasiūlymą, konkurencingą referencinio vaisto tiekėjo teikiamam pasiūlymui.</w:t>
      </w:r>
    </w:p>
    <w:p w14:paraId="691B0099" w14:textId="442CA0B4" w:rsidR="00F50B23" w:rsidRDefault="00F50B23"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Pr>
          <w:rFonts w:ascii="Times New Roman" w:hAnsi="Times New Roman"/>
          <w:sz w:val="24"/>
          <w:szCs w:val="24"/>
        </w:rPr>
        <w:t>Apeliacinės instancijos teismas visiškai ignoravo tai, kad</w:t>
      </w:r>
      <w:r w:rsidRPr="00F50B23">
        <w:rPr>
          <w:rFonts w:ascii="Times New Roman" w:hAnsi="Times New Roman"/>
          <w:sz w:val="24"/>
          <w:szCs w:val="24"/>
        </w:rPr>
        <w:t>: i) įstatymų leidėjo bei Konkurencijos tarybos nuomonė</w:t>
      </w:r>
      <w:r w:rsidR="00E57E9C">
        <w:rPr>
          <w:rFonts w:ascii="Times New Roman" w:hAnsi="Times New Roman"/>
          <w:sz w:val="24"/>
          <w:szCs w:val="24"/>
        </w:rPr>
        <w:t xml:space="preserve"> yra ta, jog</w:t>
      </w:r>
      <w:r w:rsidRPr="00F50B23">
        <w:rPr>
          <w:rFonts w:ascii="Times New Roman" w:hAnsi="Times New Roman"/>
          <w:sz w:val="24"/>
          <w:szCs w:val="24"/>
        </w:rPr>
        <w:t xml:space="preserve"> reikalavimas iš lygiagretaus importuotojo reikalauti vaistinius preparatus tiekti į rinką pigiau nei referencinį vaistą būtent ir iškreipia konkurenciją rinkoje, panaikinant vaistų gamintojo (šioje byloje </w:t>
      </w:r>
      <w:r w:rsidR="008E69F0">
        <w:rPr>
          <w:rFonts w:ascii="Times New Roman" w:hAnsi="Times New Roman"/>
          <w:sz w:val="24"/>
          <w:szCs w:val="24"/>
        </w:rPr>
        <w:t>i</w:t>
      </w:r>
      <w:r w:rsidRPr="00F50B23">
        <w:rPr>
          <w:rFonts w:ascii="Times New Roman" w:hAnsi="Times New Roman"/>
          <w:sz w:val="24"/>
          <w:szCs w:val="24"/>
        </w:rPr>
        <w:t>eškov</w:t>
      </w:r>
      <w:r w:rsidR="008E69F0">
        <w:rPr>
          <w:rFonts w:ascii="Times New Roman" w:hAnsi="Times New Roman"/>
          <w:sz w:val="24"/>
          <w:szCs w:val="24"/>
        </w:rPr>
        <w:t>ės</w:t>
      </w:r>
      <w:r w:rsidRPr="00F50B23">
        <w:rPr>
          <w:rFonts w:ascii="Times New Roman" w:hAnsi="Times New Roman"/>
          <w:sz w:val="24"/>
          <w:szCs w:val="24"/>
        </w:rPr>
        <w:t xml:space="preserve">) paskatas konkuruoti kainos požiūriu; ii) vartotojų vaistinių preparatų pasirinkimo praktika pagrindžia, jog esminiai elementai vartotojams renkantis vaistinius preparatus yra pavadinimas bei pakuotės priimtinumas, o ne vaistų kaina. Tokiu būdu </w:t>
      </w:r>
      <w:r>
        <w:rPr>
          <w:rFonts w:ascii="Times New Roman" w:hAnsi="Times New Roman"/>
          <w:sz w:val="24"/>
          <w:szCs w:val="24"/>
        </w:rPr>
        <w:t>apeliacinės instancijos</w:t>
      </w:r>
      <w:r w:rsidRPr="00F50B23">
        <w:rPr>
          <w:rFonts w:ascii="Times New Roman" w:hAnsi="Times New Roman"/>
          <w:sz w:val="24"/>
          <w:szCs w:val="24"/>
        </w:rPr>
        <w:t xml:space="preserve"> teismas sukūrė teisės taikymo taisyklę, kuri pati savaime neatitinka Lietuvos rinkos praktikos </w:t>
      </w:r>
      <w:r w:rsidR="00E57E9C">
        <w:rPr>
          <w:rFonts w:ascii="Times New Roman" w:hAnsi="Times New Roman"/>
          <w:sz w:val="24"/>
          <w:szCs w:val="24"/>
        </w:rPr>
        <w:t>ir</w:t>
      </w:r>
      <w:r w:rsidRPr="00F50B23">
        <w:rPr>
          <w:rFonts w:ascii="Times New Roman" w:hAnsi="Times New Roman"/>
          <w:sz w:val="24"/>
          <w:szCs w:val="24"/>
        </w:rPr>
        <w:t xml:space="preserve"> užkerta kelią aktyviai konkurencijai rinkoje.</w:t>
      </w:r>
    </w:p>
    <w:p w14:paraId="0D59553A" w14:textId="3AE624D7" w:rsidR="00E41C31" w:rsidRDefault="00E41C31"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Pr>
          <w:rFonts w:ascii="Times New Roman" w:hAnsi="Times New Roman"/>
          <w:sz w:val="24"/>
          <w:szCs w:val="24"/>
        </w:rPr>
        <w:t>Pagal ESTT praktiką</w:t>
      </w:r>
      <w:r w:rsidR="00E57E9C">
        <w:rPr>
          <w:rFonts w:ascii="Times New Roman" w:hAnsi="Times New Roman"/>
          <w:sz w:val="24"/>
          <w:szCs w:val="24"/>
        </w:rPr>
        <w:t>,</w:t>
      </w:r>
      <w:r>
        <w:rPr>
          <w:rFonts w:ascii="Times New Roman" w:hAnsi="Times New Roman"/>
          <w:sz w:val="24"/>
          <w:szCs w:val="24"/>
        </w:rPr>
        <w:t xml:space="preserve"> prekių ženklų savininkas gali teisėtai prieštarauti tolesnei farmacijos produkto prekybai, jei importuotojas perpakavo produktą ir pakartotinai pritvirtino prekės ženklą, nebent egzistuoja penkios sąlygos: i) </w:t>
      </w:r>
      <w:r w:rsidRPr="00E41C31">
        <w:rPr>
          <w:rFonts w:ascii="Times New Roman" w:hAnsi="Times New Roman"/>
          <w:sz w:val="24"/>
          <w:szCs w:val="24"/>
        </w:rPr>
        <w:t>savininko prieštaravimas prekiauti perpakuotais produktais, pažymėtais prekių ženklu, prisidėtų prie dirbtinio rinkų padalijimo tarp valstybių narių;</w:t>
      </w:r>
      <w:r>
        <w:rPr>
          <w:rFonts w:ascii="Times New Roman" w:hAnsi="Times New Roman"/>
          <w:sz w:val="24"/>
          <w:szCs w:val="24"/>
        </w:rPr>
        <w:t xml:space="preserve"> ii) </w:t>
      </w:r>
      <w:r w:rsidRPr="00E41C31">
        <w:rPr>
          <w:rFonts w:ascii="Times New Roman" w:hAnsi="Times New Roman"/>
          <w:sz w:val="24"/>
          <w:szCs w:val="24"/>
        </w:rPr>
        <w:t>perpakavimas negali turėti įtakos pradinei produkto būklei pakuotės viduje</w:t>
      </w:r>
      <w:r>
        <w:rPr>
          <w:rFonts w:ascii="Times New Roman" w:hAnsi="Times New Roman"/>
          <w:sz w:val="24"/>
          <w:szCs w:val="24"/>
        </w:rPr>
        <w:t xml:space="preserve">, </w:t>
      </w:r>
      <w:r w:rsidRPr="00E41C31">
        <w:rPr>
          <w:rFonts w:ascii="Times New Roman" w:hAnsi="Times New Roman"/>
          <w:sz w:val="24"/>
          <w:szCs w:val="24"/>
        </w:rPr>
        <w:t>pavyzdžiui, dėl to, kad išorinėje ar vidinėje perpakuoto produkto pakuotėje arba naujose vartotojo instrukcijose ar informacijoje nėra tam tikros svarbios informacijos arba pateikiama netiksli informacija, arba tuo, kad importuotojas į pakuotę įdėjo papildomą gaminį, skirtą nuryti</w:t>
      </w:r>
      <w:r w:rsidR="00E57E9C">
        <w:rPr>
          <w:rFonts w:ascii="Times New Roman" w:hAnsi="Times New Roman"/>
          <w:sz w:val="24"/>
          <w:szCs w:val="24"/>
        </w:rPr>
        <w:t>,</w:t>
      </w:r>
      <w:r w:rsidRPr="00E41C31">
        <w:rPr>
          <w:rFonts w:ascii="Times New Roman" w:hAnsi="Times New Roman"/>
          <w:sz w:val="24"/>
          <w:szCs w:val="24"/>
        </w:rPr>
        <w:t xml:space="preserve"> ir produkto dozė neatitinka naudojimo būdo ir gamintojo nu</w:t>
      </w:r>
      <w:r w:rsidR="00E57E9C">
        <w:rPr>
          <w:rFonts w:ascii="Times New Roman" w:hAnsi="Times New Roman"/>
          <w:sz w:val="24"/>
          <w:szCs w:val="24"/>
        </w:rPr>
        <w:t>st</w:t>
      </w:r>
      <w:r w:rsidRPr="00E41C31">
        <w:rPr>
          <w:rFonts w:ascii="Times New Roman" w:hAnsi="Times New Roman"/>
          <w:sz w:val="24"/>
          <w:szCs w:val="24"/>
        </w:rPr>
        <w:t>atytų dozių;</w:t>
      </w:r>
      <w:r>
        <w:rPr>
          <w:rFonts w:ascii="Times New Roman" w:hAnsi="Times New Roman"/>
          <w:sz w:val="24"/>
          <w:szCs w:val="24"/>
        </w:rPr>
        <w:t xml:space="preserve"> iii) </w:t>
      </w:r>
      <w:r w:rsidRPr="00E41C31">
        <w:rPr>
          <w:rFonts w:ascii="Times New Roman" w:hAnsi="Times New Roman"/>
          <w:sz w:val="24"/>
          <w:szCs w:val="24"/>
        </w:rPr>
        <w:t>naujoje pakuotėje aiškiai nurodoma, kas perpakavo gaminį, ir gamintojo vardas, atspausdintas taip, kad žmogus, turintis normalų regėjimą ir turintis įprastą dėmesingumą, galėtų suprasti</w:t>
      </w:r>
      <w:r>
        <w:rPr>
          <w:rFonts w:ascii="Times New Roman" w:hAnsi="Times New Roman"/>
          <w:sz w:val="24"/>
          <w:szCs w:val="24"/>
        </w:rPr>
        <w:t>; iv)</w:t>
      </w:r>
      <w:r w:rsidR="00E57E9C">
        <w:rPr>
          <w:rFonts w:ascii="Times New Roman" w:hAnsi="Times New Roman"/>
          <w:sz w:val="24"/>
          <w:szCs w:val="24"/>
        </w:rPr>
        <w:t> </w:t>
      </w:r>
      <w:r w:rsidRPr="00E41C31">
        <w:rPr>
          <w:rFonts w:ascii="Times New Roman" w:hAnsi="Times New Roman"/>
          <w:sz w:val="24"/>
          <w:szCs w:val="24"/>
        </w:rPr>
        <w:t>perpakuoto produkto pateikimas negali pakenkti prekių ženklo ir jo savininko reputacijai; taigi pakuotė neturi būti brokuota, nekokybiška ar netvarkinga</w:t>
      </w:r>
      <w:r>
        <w:rPr>
          <w:rFonts w:ascii="Times New Roman" w:hAnsi="Times New Roman"/>
          <w:sz w:val="24"/>
          <w:szCs w:val="24"/>
        </w:rPr>
        <w:t xml:space="preserve">; v) </w:t>
      </w:r>
      <w:r w:rsidRPr="00E41C31">
        <w:rPr>
          <w:rFonts w:ascii="Times New Roman" w:hAnsi="Times New Roman"/>
          <w:sz w:val="24"/>
          <w:szCs w:val="24"/>
        </w:rPr>
        <w:t>importuotojas praneša prek</w:t>
      </w:r>
      <w:r w:rsidR="00E57E9C">
        <w:rPr>
          <w:rFonts w:ascii="Times New Roman" w:hAnsi="Times New Roman"/>
          <w:sz w:val="24"/>
          <w:szCs w:val="24"/>
        </w:rPr>
        <w:t>ių</w:t>
      </w:r>
      <w:r w:rsidRPr="00E41C31">
        <w:rPr>
          <w:rFonts w:ascii="Times New Roman" w:hAnsi="Times New Roman"/>
          <w:sz w:val="24"/>
          <w:szCs w:val="24"/>
        </w:rPr>
        <w:t xml:space="preserve"> ženklo savininkui prieš parduodant perpakuotą gaminį ir paprašius pateikia jam perpakuoto produkto pavyzdį.</w:t>
      </w:r>
      <w:r w:rsidR="00751DBE">
        <w:rPr>
          <w:rFonts w:ascii="Times New Roman" w:hAnsi="Times New Roman"/>
          <w:sz w:val="24"/>
          <w:szCs w:val="24"/>
        </w:rPr>
        <w:t xml:space="preserve"> </w:t>
      </w:r>
      <w:r w:rsidR="00E772CB">
        <w:rPr>
          <w:rFonts w:ascii="Times New Roman" w:hAnsi="Times New Roman"/>
          <w:sz w:val="24"/>
          <w:szCs w:val="24"/>
        </w:rPr>
        <w:t>A</w:t>
      </w:r>
      <w:r w:rsidR="00751DBE">
        <w:rPr>
          <w:rFonts w:ascii="Times New Roman" w:hAnsi="Times New Roman"/>
          <w:sz w:val="24"/>
          <w:szCs w:val="24"/>
        </w:rPr>
        <w:t>peliacinės instancijos teismas konstatavo, kad egzistuoja visos nurodytos sąlygos, išskyrus sąlyg</w:t>
      </w:r>
      <w:r w:rsidR="00E57E9C">
        <w:rPr>
          <w:rFonts w:ascii="Times New Roman" w:hAnsi="Times New Roman"/>
          <w:sz w:val="24"/>
          <w:szCs w:val="24"/>
        </w:rPr>
        <w:t>ą</w:t>
      </w:r>
      <w:r w:rsidR="00751DBE">
        <w:rPr>
          <w:rFonts w:ascii="Times New Roman" w:hAnsi="Times New Roman"/>
          <w:sz w:val="24"/>
          <w:szCs w:val="24"/>
        </w:rPr>
        <w:t xml:space="preserve"> dėl dirbtinio rinkų skaidymo, nes teismas nusprendė, kad iš atsakov</w:t>
      </w:r>
      <w:r w:rsidR="002E0EB2">
        <w:rPr>
          <w:rFonts w:ascii="Times New Roman" w:hAnsi="Times New Roman"/>
          <w:sz w:val="24"/>
          <w:szCs w:val="24"/>
        </w:rPr>
        <w:t>ės</w:t>
      </w:r>
      <w:r w:rsidR="00751DBE">
        <w:rPr>
          <w:rFonts w:ascii="Times New Roman" w:hAnsi="Times New Roman"/>
          <w:sz w:val="24"/>
          <w:szCs w:val="24"/>
        </w:rPr>
        <w:t xml:space="preserve"> pateiktų įrodymų negalima padaryti vienareikšmės išvados, </w:t>
      </w:r>
      <w:r w:rsidR="00E57E9C">
        <w:rPr>
          <w:rFonts w:ascii="Times New Roman" w:hAnsi="Times New Roman"/>
          <w:sz w:val="24"/>
          <w:szCs w:val="24"/>
        </w:rPr>
        <w:t>jog</w:t>
      </w:r>
      <w:r w:rsidR="00751DBE">
        <w:rPr>
          <w:rFonts w:ascii="Times New Roman" w:hAnsi="Times New Roman"/>
          <w:sz w:val="24"/>
          <w:szCs w:val="24"/>
        </w:rPr>
        <w:t xml:space="preserve"> atsakov</w:t>
      </w:r>
      <w:r w:rsidR="002E0EB2">
        <w:rPr>
          <w:rFonts w:ascii="Times New Roman" w:hAnsi="Times New Roman"/>
          <w:sz w:val="24"/>
          <w:szCs w:val="24"/>
        </w:rPr>
        <w:t>ė</w:t>
      </w:r>
      <w:r w:rsidR="00751DBE">
        <w:rPr>
          <w:rFonts w:ascii="Times New Roman" w:hAnsi="Times New Roman"/>
          <w:sz w:val="24"/>
          <w:szCs w:val="24"/>
        </w:rPr>
        <w:t xml:space="preserve"> dėl objektyvių priežasčių privalėjo pervadinti ir perpakuoti vaistinius preparatus.</w:t>
      </w:r>
    </w:p>
    <w:p w14:paraId="50268259" w14:textId="46611F0C" w:rsidR="00F50B23" w:rsidRPr="00192A41" w:rsidRDefault="00F50B23"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Pr>
          <w:rFonts w:ascii="Times New Roman" w:hAnsi="Times New Roman"/>
          <w:sz w:val="24"/>
          <w:szCs w:val="24"/>
        </w:rPr>
        <w:t xml:space="preserve">Apeliacinės instancijos teismas taip pat nukrypo nuo Lietuvos Aukščiausiojo Teismo praktikos, nes nesilaikė ESTT praktikoje nacionaliniams teismams suformuluotos pareigos ir vadovavosi neaktualia ESTT praktika. Apeliacinės instancijos teismas </w:t>
      </w:r>
      <w:r w:rsidRPr="00F50B23">
        <w:rPr>
          <w:rFonts w:ascii="Times New Roman" w:hAnsi="Times New Roman"/>
          <w:sz w:val="24"/>
          <w:szCs w:val="24"/>
        </w:rPr>
        <w:t xml:space="preserve">visą įrodinėjimo naštą perkėlė </w:t>
      </w:r>
      <w:r w:rsidR="008E69F0">
        <w:rPr>
          <w:rFonts w:ascii="Times New Roman" w:hAnsi="Times New Roman"/>
          <w:sz w:val="24"/>
          <w:szCs w:val="24"/>
        </w:rPr>
        <w:t>a</w:t>
      </w:r>
      <w:r w:rsidRPr="00F50B23">
        <w:rPr>
          <w:rFonts w:ascii="Times New Roman" w:hAnsi="Times New Roman"/>
          <w:sz w:val="24"/>
          <w:szCs w:val="24"/>
        </w:rPr>
        <w:t>tsakov</w:t>
      </w:r>
      <w:r w:rsidR="008E69F0">
        <w:rPr>
          <w:rFonts w:ascii="Times New Roman" w:hAnsi="Times New Roman"/>
          <w:sz w:val="24"/>
          <w:szCs w:val="24"/>
        </w:rPr>
        <w:t>e</w:t>
      </w:r>
      <w:r w:rsidRPr="00F50B23">
        <w:rPr>
          <w:rFonts w:ascii="Times New Roman" w:hAnsi="Times New Roman"/>
          <w:sz w:val="24"/>
          <w:szCs w:val="24"/>
        </w:rPr>
        <w:t xml:space="preserve">i, </w:t>
      </w:r>
      <w:r w:rsidRPr="00192A41">
        <w:rPr>
          <w:rFonts w:ascii="Times New Roman" w:hAnsi="Times New Roman"/>
          <w:sz w:val="24"/>
          <w:szCs w:val="24"/>
        </w:rPr>
        <w:t>paneigdamas ESTT suformuotą pareigą nacionaliniam teismui nustatyti vaistų gamintojo poreikį tuos pačius vaistinius preparatus skirtingose valstybėse ženklinti skirtingais prekių ženklais, nors tai turi esminę reikšmę, vertinant dirbtinio rinkų skaidymo sąlygą. Tokiu būdu, vaistų gamintojui negalint pateikti n</w:t>
      </w:r>
      <w:r w:rsidR="00E57E9C">
        <w:rPr>
          <w:rFonts w:ascii="Times New Roman" w:hAnsi="Times New Roman"/>
          <w:sz w:val="24"/>
          <w:szCs w:val="24"/>
        </w:rPr>
        <w:t>ė</w:t>
      </w:r>
      <w:r w:rsidRPr="00192A41">
        <w:rPr>
          <w:rFonts w:ascii="Times New Roman" w:hAnsi="Times New Roman"/>
          <w:sz w:val="24"/>
          <w:szCs w:val="24"/>
        </w:rPr>
        <w:t xml:space="preserve"> vienos objektyvios priežasties dėl poreikio skirtingose valstybėse prekiauti skirtingais prekių ženklais pažymėtais tais pačiais vaistiniais preparatais bei esant išskirtinai skirtingai vaistinio preparato kainai, toks teismo elgesys yra visiškai nepateisinamas.</w:t>
      </w:r>
    </w:p>
    <w:p w14:paraId="713432BC" w14:textId="15783EF9" w:rsidR="0007797D" w:rsidRDefault="0007797D"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92A41">
        <w:rPr>
          <w:rFonts w:ascii="Times New Roman" w:hAnsi="Times New Roman"/>
          <w:sz w:val="24"/>
          <w:szCs w:val="24"/>
        </w:rPr>
        <w:t>Apeliacinės instancijos teismas nepagrįstai rėmėsi ESTT 2016 m. lapkričio 10 d. sprendimu byloje C-297/15, nes šioje byloje ESTT pasisakė ne dėl dirbtinio rinkų skaidymo sąlygos, k</w:t>
      </w:r>
      <w:r w:rsidR="00E57E9C">
        <w:rPr>
          <w:rFonts w:ascii="Times New Roman" w:hAnsi="Times New Roman"/>
          <w:sz w:val="24"/>
          <w:szCs w:val="24"/>
        </w:rPr>
        <w:t>ai</w:t>
      </w:r>
      <w:r w:rsidRPr="00192A41">
        <w:rPr>
          <w:rFonts w:ascii="Times New Roman" w:hAnsi="Times New Roman"/>
          <w:sz w:val="24"/>
          <w:szCs w:val="24"/>
        </w:rPr>
        <w:t xml:space="preserve"> vaistų gamintojas skirtingose valstybėse tą patį vaistinį preparatą pardavinėja skirtingais </w:t>
      </w:r>
      <w:r w:rsidRPr="00192A41">
        <w:rPr>
          <w:rFonts w:ascii="Times New Roman" w:hAnsi="Times New Roman"/>
          <w:sz w:val="24"/>
          <w:szCs w:val="24"/>
        </w:rPr>
        <w:lastRenderedPageBreak/>
        <w:t xml:space="preserve">pavadinimais, o dėl situacijos, </w:t>
      </w:r>
      <w:r w:rsidR="008E69F0" w:rsidRPr="00192A41">
        <w:rPr>
          <w:rFonts w:ascii="Times New Roman" w:hAnsi="Times New Roman"/>
          <w:sz w:val="24"/>
          <w:szCs w:val="24"/>
        </w:rPr>
        <w:t>kai</w:t>
      </w:r>
      <w:r w:rsidRPr="00192A41">
        <w:rPr>
          <w:rFonts w:ascii="Times New Roman" w:hAnsi="Times New Roman"/>
          <w:sz w:val="24"/>
          <w:szCs w:val="24"/>
        </w:rPr>
        <w:t xml:space="preserve"> vaistinis preparatas pakartotinai paženklinamas tuo pačiu prekių ženklu, </w:t>
      </w:r>
      <w:r w:rsidR="008E69F0" w:rsidRPr="00192A41">
        <w:rPr>
          <w:rFonts w:ascii="Times New Roman" w:hAnsi="Times New Roman"/>
          <w:sz w:val="24"/>
          <w:szCs w:val="24"/>
        </w:rPr>
        <w:t>nes</w:t>
      </w:r>
      <w:r w:rsidRPr="00192A41">
        <w:rPr>
          <w:rFonts w:ascii="Times New Roman" w:hAnsi="Times New Roman"/>
          <w:sz w:val="24"/>
          <w:szCs w:val="24"/>
        </w:rPr>
        <w:t xml:space="preserve"> valstybės rinkos segmente neįmanoma pardavinėti vaistinių preparatų tokio dydžio pakuotėmis, kokios yra importuojamos. Taigi, nurodytos bylos ir šios bylos faktinės aplinkybės bei </w:t>
      </w:r>
      <w:proofErr w:type="spellStart"/>
      <w:r w:rsidRPr="00192A41">
        <w:rPr>
          <w:rFonts w:ascii="Times New Roman" w:hAnsi="Times New Roman"/>
          <w:i/>
          <w:iCs/>
          <w:sz w:val="24"/>
          <w:szCs w:val="24"/>
        </w:rPr>
        <w:t>ratio</w:t>
      </w:r>
      <w:proofErr w:type="spellEnd"/>
      <w:r w:rsidRPr="00192A41">
        <w:rPr>
          <w:rFonts w:ascii="Times New Roman" w:hAnsi="Times New Roman"/>
          <w:i/>
          <w:iCs/>
          <w:sz w:val="24"/>
          <w:szCs w:val="24"/>
        </w:rPr>
        <w:t xml:space="preserve"> </w:t>
      </w:r>
      <w:proofErr w:type="spellStart"/>
      <w:r w:rsidRPr="00192A41">
        <w:rPr>
          <w:rFonts w:ascii="Times New Roman" w:hAnsi="Times New Roman"/>
          <w:i/>
          <w:iCs/>
          <w:sz w:val="24"/>
          <w:szCs w:val="24"/>
        </w:rPr>
        <w:t>decidendi</w:t>
      </w:r>
      <w:proofErr w:type="spellEnd"/>
      <w:r w:rsidRPr="00192A41">
        <w:rPr>
          <w:rFonts w:ascii="Times New Roman" w:hAnsi="Times New Roman"/>
          <w:sz w:val="24"/>
          <w:szCs w:val="24"/>
        </w:rPr>
        <w:t xml:space="preserve"> </w:t>
      </w:r>
      <w:r w:rsidR="006D0C35">
        <w:rPr>
          <w:rFonts w:ascii="Times New Roman" w:hAnsi="Times New Roman"/>
          <w:sz w:val="24"/>
          <w:szCs w:val="24"/>
        </w:rPr>
        <w:t xml:space="preserve">(argumentas, kuriuo grindžiamas sprendimas) </w:t>
      </w:r>
      <w:r w:rsidRPr="00192A41">
        <w:rPr>
          <w:rFonts w:ascii="Times New Roman" w:hAnsi="Times New Roman"/>
          <w:sz w:val="24"/>
          <w:szCs w:val="24"/>
        </w:rPr>
        <w:t xml:space="preserve">nesutampa. Be to, </w:t>
      </w:r>
      <w:r w:rsidR="008E69F0" w:rsidRPr="00192A41">
        <w:rPr>
          <w:rFonts w:ascii="Times New Roman" w:hAnsi="Times New Roman"/>
          <w:sz w:val="24"/>
          <w:szCs w:val="24"/>
        </w:rPr>
        <w:t>š</w:t>
      </w:r>
      <w:r w:rsidRPr="00192A41">
        <w:rPr>
          <w:rFonts w:ascii="Times New Roman" w:hAnsi="Times New Roman"/>
          <w:sz w:val="24"/>
          <w:szCs w:val="24"/>
        </w:rPr>
        <w:t>iuo atveju teismas privalėjo vertinti ne aplinkybes</w:t>
      </w:r>
      <w:r w:rsidR="00E57E9C">
        <w:rPr>
          <w:rFonts w:ascii="Times New Roman" w:hAnsi="Times New Roman"/>
          <w:sz w:val="24"/>
          <w:szCs w:val="24"/>
        </w:rPr>
        <w:t>,</w:t>
      </w:r>
      <w:r w:rsidRPr="00192A41">
        <w:rPr>
          <w:rFonts w:ascii="Times New Roman" w:hAnsi="Times New Roman"/>
          <w:sz w:val="24"/>
          <w:szCs w:val="24"/>
        </w:rPr>
        <w:t xml:space="preserve"> ar lygiagretus importuotojas negali patekti į ribotą rinkos dalį</w:t>
      </w:r>
      <w:r w:rsidR="00E57E9C">
        <w:rPr>
          <w:rFonts w:ascii="Times New Roman" w:hAnsi="Times New Roman"/>
          <w:sz w:val="24"/>
          <w:szCs w:val="24"/>
        </w:rPr>
        <w:t>,</w:t>
      </w:r>
      <w:r w:rsidRPr="00192A41">
        <w:rPr>
          <w:rFonts w:ascii="Times New Roman" w:hAnsi="Times New Roman"/>
          <w:sz w:val="24"/>
          <w:szCs w:val="24"/>
        </w:rPr>
        <w:t xml:space="preserve"> ar šiam patekti draudžiama remiantis teisės aktais, o </w:t>
      </w:r>
      <w:r w:rsidR="00E57E9C">
        <w:rPr>
          <w:rFonts w:ascii="Times New Roman" w:hAnsi="Times New Roman"/>
          <w:sz w:val="24"/>
          <w:szCs w:val="24"/>
        </w:rPr>
        <w:t xml:space="preserve">tai, </w:t>
      </w:r>
      <w:r w:rsidRPr="00192A41">
        <w:rPr>
          <w:rFonts w:ascii="Times New Roman" w:hAnsi="Times New Roman"/>
          <w:sz w:val="24"/>
          <w:szCs w:val="24"/>
        </w:rPr>
        <w:t>ar valstybėje egzistavo aplinkybės</w:t>
      </w:r>
      <w:r w:rsidR="00E57E9C">
        <w:rPr>
          <w:rFonts w:ascii="Times New Roman" w:hAnsi="Times New Roman"/>
          <w:sz w:val="24"/>
          <w:szCs w:val="24"/>
        </w:rPr>
        <w:t>,</w:t>
      </w:r>
      <w:r w:rsidRPr="00192A41">
        <w:rPr>
          <w:rFonts w:ascii="Times New Roman" w:hAnsi="Times New Roman"/>
          <w:sz w:val="24"/>
          <w:szCs w:val="24"/>
        </w:rPr>
        <w:t xml:space="preserve"> trukdžiusios veiksmingai patekti į valstybės narės rinkas.</w:t>
      </w:r>
    </w:p>
    <w:p w14:paraId="7950672B" w14:textId="7C3FF2D7" w:rsidR="00C2591A" w:rsidRPr="00192A41" w:rsidRDefault="00C2591A"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Pr>
          <w:rFonts w:ascii="Times New Roman" w:hAnsi="Times New Roman"/>
          <w:sz w:val="24"/>
          <w:szCs w:val="24"/>
        </w:rPr>
        <w:t>Ieškov</w:t>
      </w:r>
      <w:r w:rsidR="00D275CD">
        <w:rPr>
          <w:rFonts w:ascii="Times New Roman" w:hAnsi="Times New Roman"/>
          <w:sz w:val="24"/>
          <w:szCs w:val="24"/>
        </w:rPr>
        <w:t>ė</w:t>
      </w:r>
      <w:r>
        <w:rPr>
          <w:rFonts w:ascii="Times New Roman" w:hAnsi="Times New Roman"/>
          <w:sz w:val="24"/>
          <w:szCs w:val="24"/>
        </w:rPr>
        <w:t xml:space="preserve"> yra nesąžininga ir savo veiksmais siekia skaidyti rinkas, leisdama kitiems verslo subjektams importuoti vaistinius preparatus tik tuo pavadinimu, kuriuo </w:t>
      </w:r>
      <w:r w:rsidR="006D0C35">
        <w:rPr>
          <w:rFonts w:ascii="Times New Roman" w:hAnsi="Times New Roman"/>
          <w:sz w:val="24"/>
          <w:szCs w:val="24"/>
        </w:rPr>
        <w:t>ji</w:t>
      </w:r>
      <w:r>
        <w:rPr>
          <w:rFonts w:ascii="Times New Roman" w:hAnsi="Times New Roman"/>
          <w:sz w:val="24"/>
          <w:szCs w:val="24"/>
        </w:rPr>
        <w:t xml:space="preserve"> pat</w:t>
      </w:r>
      <w:r w:rsidR="00D275CD">
        <w:rPr>
          <w:rFonts w:ascii="Times New Roman" w:hAnsi="Times New Roman"/>
          <w:sz w:val="24"/>
          <w:szCs w:val="24"/>
        </w:rPr>
        <w:t>i</w:t>
      </w:r>
      <w:r>
        <w:rPr>
          <w:rFonts w:ascii="Times New Roman" w:hAnsi="Times New Roman"/>
          <w:sz w:val="24"/>
          <w:szCs w:val="24"/>
        </w:rPr>
        <w:t xml:space="preserve"> niekada nesinaudojo ir kuris yra visiškai nežinomas Lietuvos rinkoje. Tai pagrindžia aplinkybė, kad nors ieškov</w:t>
      </w:r>
      <w:r w:rsidR="00D275CD">
        <w:rPr>
          <w:rFonts w:ascii="Times New Roman" w:hAnsi="Times New Roman"/>
          <w:sz w:val="24"/>
          <w:szCs w:val="24"/>
        </w:rPr>
        <w:t>ė</w:t>
      </w:r>
      <w:r>
        <w:rPr>
          <w:rFonts w:ascii="Times New Roman" w:hAnsi="Times New Roman"/>
          <w:sz w:val="24"/>
          <w:szCs w:val="24"/>
        </w:rPr>
        <w:t xml:space="preserve"> </w:t>
      </w:r>
      <w:r w:rsidRPr="00C2591A">
        <w:rPr>
          <w:rFonts w:ascii="Times New Roman" w:hAnsi="Times New Roman"/>
          <w:sz w:val="24"/>
          <w:szCs w:val="24"/>
        </w:rPr>
        <w:t>Lietuvoje niekuomet neprekiavo vaistini</w:t>
      </w:r>
      <w:r w:rsidR="00E57E9C">
        <w:rPr>
          <w:rFonts w:ascii="Times New Roman" w:hAnsi="Times New Roman"/>
          <w:sz w:val="24"/>
          <w:szCs w:val="24"/>
        </w:rPr>
        <w:t>ais</w:t>
      </w:r>
      <w:r w:rsidRPr="00C2591A">
        <w:rPr>
          <w:rFonts w:ascii="Times New Roman" w:hAnsi="Times New Roman"/>
          <w:sz w:val="24"/>
          <w:szCs w:val="24"/>
        </w:rPr>
        <w:t xml:space="preserve"> preparat</w:t>
      </w:r>
      <w:r w:rsidR="00E57E9C">
        <w:rPr>
          <w:rFonts w:ascii="Times New Roman" w:hAnsi="Times New Roman"/>
          <w:sz w:val="24"/>
          <w:szCs w:val="24"/>
        </w:rPr>
        <w:t>ais</w:t>
      </w:r>
      <w:r w:rsidRPr="00C2591A">
        <w:rPr>
          <w:rFonts w:ascii="Times New Roman" w:hAnsi="Times New Roman"/>
          <w:sz w:val="24"/>
          <w:szCs w:val="24"/>
        </w:rPr>
        <w:t xml:space="preserve"> pavadinimu </w:t>
      </w:r>
      <w:r w:rsidR="008E69F0">
        <w:rPr>
          <w:rFonts w:ascii="Times New Roman" w:hAnsi="Times New Roman"/>
          <w:sz w:val="24"/>
          <w:szCs w:val="24"/>
        </w:rPr>
        <w:t>„</w:t>
      </w:r>
      <w:proofErr w:type="spellStart"/>
      <w:r w:rsidRPr="00C2591A">
        <w:rPr>
          <w:rFonts w:ascii="Times New Roman" w:hAnsi="Times New Roman"/>
          <w:sz w:val="24"/>
          <w:szCs w:val="24"/>
        </w:rPr>
        <w:t>Letrox</w:t>
      </w:r>
      <w:proofErr w:type="spellEnd"/>
      <w:r w:rsidR="008E69F0">
        <w:rPr>
          <w:rFonts w:ascii="Times New Roman" w:hAnsi="Times New Roman"/>
          <w:sz w:val="24"/>
          <w:szCs w:val="24"/>
        </w:rPr>
        <w:t>“</w:t>
      </w:r>
      <w:r w:rsidRPr="00C2591A">
        <w:rPr>
          <w:rFonts w:ascii="Times New Roman" w:hAnsi="Times New Roman"/>
          <w:sz w:val="24"/>
          <w:szCs w:val="24"/>
        </w:rPr>
        <w:t>, tačiau</w:t>
      </w:r>
      <w:r w:rsidR="00E57E9C">
        <w:rPr>
          <w:rFonts w:ascii="Times New Roman" w:hAnsi="Times New Roman"/>
          <w:sz w:val="24"/>
          <w:szCs w:val="24"/>
        </w:rPr>
        <w:t>,</w:t>
      </w:r>
      <w:r w:rsidRPr="00C2591A">
        <w:rPr>
          <w:rFonts w:ascii="Times New Roman" w:hAnsi="Times New Roman"/>
          <w:sz w:val="24"/>
          <w:szCs w:val="24"/>
        </w:rPr>
        <w:t xml:space="preserve"> pradėjus šią civilinę bylą, įregistravo dar vieną prekių ženklą „LETROX“, t. y. analogišką jau registruotajam</w:t>
      </w:r>
      <w:r w:rsidR="00E57E9C">
        <w:rPr>
          <w:rFonts w:ascii="Times New Roman" w:hAnsi="Times New Roman"/>
          <w:sz w:val="24"/>
          <w:szCs w:val="24"/>
        </w:rPr>
        <w:t>,</w:t>
      </w:r>
      <w:r w:rsidRPr="00C2591A">
        <w:rPr>
          <w:rFonts w:ascii="Times New Roman" w:hAnsi="Times New Roman"/>
          <w:sz w:val="24"/>
          <w:szCs w:val="24"/>
        </w:rPr>
        <w:t xml:space="preserve"> tik didžiosiomis raidėmis, siekdama dirbtinai išvengti reikalavimo pateikti įrodymus, jog per penkerių metų laikotarpį iki ieškinio pareiškimo ženklą iš tikrųjų naudojo prek</w:t>
      </w:r>
      <w:r w:rsidR="00E57E9C">
        <w:rPr>
          <w:rFonts w:ascii="Times New Roman" w:hAnsi="Times New Roman"/>
          <w:sz w:val="24"/>
          <w:szCs w:val="24"/>
        </w:rPr>
        <w:t>ėm</w:t>
      </w:r>
      <w:r w:rsidRPr="00C2591A">
        <w:rPr>
          <w:rFonts w:ascii="Times New Roman" w:hAnsi="Times New Roman"/>
          <w:sz w:val="24"/>
          <w:szCs w:val="24"/>
        </w:rPr>
        <w:t>s ar paslaug</w:t>
      </w:r>
      <w:r w:rsidR="00E57E9C">
        <w:rPr>
          <w:rFonts w:ascii="Times New Roman" w:hAnsi="Times New Roman"/>
          <w:sz w:val="24"/>
          <w:szCs w:val="24"/>
        </w:rPr>
        <w:t>om</w:t>
      </w:r>
      <w:r w:rsidRPr="00C2591A">
        <w:rPr>
          <w:rFonts w:ascii="Times New Roman" w:hAnsi="Times New Roman"/>
          <w:sz w:val="24"/>
          <w:szCs w:val="24"/>
        </w:rPr>
        <w:t>s, kurioms jis užregistruotas</w:t>
      </w:r>
      <w:r w:rsidR="00E57E9C">
        <w:rPr>
          <w:rFonts w:ascii="Times New Roman" w:hAnsi="Times New Roman"/>
          <w:sz w:val="24"/>
          <w:szCs w:val="24"/>
        </w:rPr>
        <w:t>, žymėti</w:t>
      </w:r>
      <w:r>
        <w:rPr>
          <w:rFonts w:ascii="Times New Roman" w:hAnsi="Times New Roman"/>
          <w:sz w:val="24"/>
          <w:szCs w:val="24"/>
        </w:rPr>
        <w:t xml:space="preserve">. Tokie veiksmai, kuriais </w:t>
      </w:r>
      <w:r w:rsidRPr="00C2591A">
        <w:rPr>
          <w:rFonts w:ascii="Times New Roman" w:hAnsi="Times New Roman"/>
          <w:sz w:val="24"/>
          <w:szCs w:val="24"/>
        </w:rPr>
        <w:t xml:space="preserve">to paties ženklo pakartotinis registravimas vien tam, kad būtų pratęstas formalus ženklo apsaugos laikotarpis, nors ženklas iš </w:t>
      </w:r>
      <w:r w:rsidRPr="00192A41">
        <w:rPr>
          <w:rFonts w:ascii="Times New Roman" w:hAnsi="Times New Roman"/>
          <w:sz w:val="24"/>
          <w:szCs w:val="24"/>
        </w:rPr>
        <w:t>tikrųjų nėra naudojamas, pagal Europos Sąjungos Bendrojo Teismo praktiką laikytin</w:t>
      </w:r>
      <w:r w:rsidR="006D0C35">
        <w:rPr>
          <w:rFonts w:ascii="Times New Roman" w:hAnsi="Times New Roman"/>
          <w:sz w:val="24"/>
          <w:szCs w:val="24"/>
        </w:rPr>
        <w:t>i</w:t>
      </w:r>
      <w:r w:rsidRPr="00192A41">
        <w:rPr>
          <w:rFonts w:ascii="Times New Roman" w:hAnsi="Times New Roman"/>
          <w:sz w:val="24"/>
          <w:szCs w:val="24"/>
        </w:rPr>
        <w:t xml:space="preserve"> nesąžiningu prekių ženklo paraiškos pateikimu.</w:t>
      </w:r>
    </w:p>
    <w:p w14:paraId="4D8C35A5" w14:textId="4BA688EB" w:rsidR="00AA2A29" w:rsidRPr="00192A41" w:rsidRDefault="00DF5E69" w:rsidP="00AA2A2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92A41">
        <w:rPr>
          <w:rFonts w:ascii="Times New Roman" w:hAnsi="Times New Roman"/>
          <w:sz w:val="24"/>
          <w:szCs w:val="24"/>
        </w:rPr>
        <w:t xml:space="preserve">Apeliacinės instancijos teismas taip pat nukrypo nuo Lietuvos Aukščiausiojo Teismo praktikos, nes taikė pernelyg aukštą įrodinėjimo standartą. Apeliacinės instancijos teismas nepagrįstai perkėlė atsakovei pareigą įrodyti, kad buvo objektyviai būtina perpakuoti </w:t>
      </w:r>
      <w:r w:rsidR="006D0C35">
        <w:rPr>
          <w:rFonts w:ascii="Times New Roman" w:hAnsi="Times New Roman"/>
          <w:sz w:val="24"/>
          <w:szCs w:val="24"/>
        </w:rPr>
        <w:t>ir</w:t>
      </w:r>
      <w:r w:rsidRPr="00192A41">
        <w:rPr>
          <w:rFonts w:ascii="Times New Roman" w:hAnsi="Times New Roman"/>
          <w:sz w:val="24"/>
          <w:szCs w:val="24"/>
        </w:rPr>
        <w:t xml:space="preserve"> pervadinti vaistinius preparatus. Šiuo atveju teismas, padarydamas tokią išvadą, įvertino tik tris byloje pateiktus įrodymus, nesiremdamas kitais atsakovės byloje pateiktais reikšmingais įrodymais. Byloje atsakovė laikyta neįvykdžiusia savo įrodinėjimo pareigos, nors tie patys proceso dalyvio pateikti įrodymai patvirtina, jog šis net objektyviai jų pateikti daugiau negali.</w:t>
      </w:r>
    </w:p>
    <w:p w14:paraId="5BB12F57" w14:textId="79ED5DDF" w:rsidR="00AA2A29" w:rsidRPr="00192A41" w:rsidRDefault="0007797D" w:rsidP="00AA2A29">
      <w:pPr>
        <w:pStyle w:val="ListParagraph"/>
        <w:numPr>
          <w:ilvl w:val="1"/>
          <w:numId w:val="1"/>
        </w:numPr>
        <w:shd w:val="clear" w:color="auto" w:fill="FFFFFF"/>
        <w:spacing w:before="120" w:after="120" w:line="240" w:lineRule="auto"/>
        <w:ind w:hanging="650"/>
        <w:contextualSpacing w:val="0"/>
        <w:jc w:val="both"/>
        <w:rPr>
          <w:rFonts w:asciiTheme="majorBidi" w:hAnsiTheme="majorBidi" w:cstheme="majorBidi"/>
          <w:sz w:val="24"/>
          <w:szCs w:val="24"/>
        </w:rPr>
      </w:pPr>
      <w:r w:rsidRPr="00192A41">
        <w:rPr>
          <w:rFonts w:asciiTheme="majorBidi" w:hAnsiTheme="majorBidi" w:cstheme="majorBidi"/>
          <w:sz w:val="24"/>
          <w:szCs w:val="24"/>
        </w:rPr>
        <w:t xml:space="preserve">Apeliacinės instancijos teismas nevertino visų </w:t>
      </w:r>
      <w:r w:rsidR="00AA2A29" w:rsidRPr="00192A41">
        <w:rPr>
          <w:rFonts w:asciiTheme="majorBidi" w:hAnsiTheme="majorBidi" w:cstheme="majorBidi"/>
          <w:sz w:val="24"/>
          <w:szCs w:val="24"/>
        </w:rPr>
        <w:t>i</w:t>
      </w:r>
      <w:r w:rsidRPr="00192A41">
        <w:rPr>
          <w:rFonts w:asciiTheme="majorBidi" w:hAnsiTheme="majorBidi" w:cstheme="majorBidi"/>
          <w:sz w:val="24"/>
          <w:szCs w:val="24"/>
        </w:rPr>
        <w:t>eškov</w:t>
      </w:r>
      <w:r w:rsidR="008E69F0" w:rsidRPr="00192A41">
        <w:rPr>
          <w:rFonts w:asciiTheme="majorBidi" w:hAnsiTheme="majorBidi" w:cstheme="majorBidi"/>
          <w:sz w:val="24"/>
          <w:szCs w:val="24"/>
        </w:rPr>
        <w:t>ės</w:t>
      </w:r>
      <w:r w:rsidRPr="00192A41">
        <w:rPr>
          <w:rFonts w:asciiTheme="majorBidi" w:hAnsiTheme="majorBidi" w:cstheme="majorBidi"/>
          <w:sz w:val="24"/>
          <w:szCs w:val="24"/>
        </w:rPr>
        <w:t xml:space="preserve"> ir </w:t>
      </w:r>
      <w:r w:rsidR="00AA2A29" w:rsidRPr="00192A41">
        <w:rPr>
          <w:rFonts w:asciiTheme="majorBidi" w:hAnsiTheme="majorBidi" w:cstheme="majorBidi"/>
          <w:sz w:val="24"/>
          <w:szCs w:val="24"/>
        </w:rPr>
        <w:t>a</w:t>
      </w:r>
      <w:r w:rsidRPr="00192A41">
        <w:rPr>
          <w:rFonts w:asciiTheme="majorBidi" w:hAnsiTheme="majorBidi" w:cstheme="majorBidi"/>
          <w:sz w:val="24"/>
          <w:szCs w:val="24"/>
        </w:rPr>
        <w:t>tsakov</w:t>
      </w:r>
      <w:r w:rsidR="00AA2A29" w:rsidRPr="00192A41">
        <w:rPr>
          <w:rFonts w:asciiTheme="majorBidi" w:hAnsiTheme="majorBidi" w:cstheme="majorBidi"/>
          <w:sz w:val="24"/>
          <w:szCs w:val="24"/>
        </w:rPr>
        <w:t>ės</w:t>
      </w:r>
      <w:r w:rsidRPr="00192A41">
        <w:rPr>
          <w:rFonts w:asciiTheme="majorBidi" w:hAnsiTheme="majorBidi" w:cstheme="majorBidi"/>
          <w:sz w:val="24"/>
          <w:szCs w:val="24"/>
        </w:rPr>
        <w:t xml:space="preserve"> pateiktų įrodymų, pagrindžiančių, jog egzistavo objektyvios aplinkybės pervadinti bei perpakuoti vaistinius preparatus, o kitų įrodymų, t. y. rinkos tyrimų</w:t>
      </w:r>
      <w:r w:rsidR="00793167">
        <w:rPr>
          <w:rFonts w:asciiTheme="majorBidi" w:hAnsiTheme="majorBidi" w:cstheme="majorBidi"/>
          <w:sz w:val="24"/>
          <w:szCs w:val="24"/>
        </w:rPr>
        <w:t>,</w:t>
      </w:r>
      <w:r w:rsidRPr="00192A41">
        <w:rPr>
          <w:rFonts w:asciiTheme="majorBidi" w:hAnsiTheme="majorBidi" w:cstheme="majorBidi"/>
          <w:sz w:val="24"/>
          <w:szCs w:val="24"/>
        </w:rPr>
        <w:t xml:space="preserve"> </w:t>
      </w:r>
      <w:r w:rsidR="00AA2A29" w:rsidRPr="00192A41">
        <w:rPr>
          <w:rFonts w:asciiTheme="majorBidi" w:hAnsiTheme="majorBidi" w:cstheme="majorBidi"/>
          <w:sz w:val="24"/>
          <w:szCs w:val="24"/>
        </w:rPr>
        <w:t>a</w:t>
      </w:r>
      <w:r w:rsidRPr="00192A41">
        <w:rPr>
          <w:rFonts w:asciiTheme="majorBidi" w:hAnsiTheme="majorBidi" w:cstheme="majorBidi"/>
          <w:sz w:val="24"/>
          <w:szCs w:val="24"/>
        </w:rPr>
        <w:t>tsakov</w:t>
      </w:r>
      <w:r w:rsidR="00AA2A29" w:rsidRPr="00192A41">
        <w:rPr>
          <w:rFonts w:asciiTheme="majorBidi" w:hAnsiTheme="majorBidi" w:cstheme="majorBidi"/>
          <w:sz w:val="24"/>
          <w:szCs w:val="24"/>
        </w:rPr>
        <w:t>ė</w:t>
      </w:r>
      <w:r w:rsidRPr="00192A41">
        <w:rPr>
          <w:rFonts w:asciiTheme="majorBidi" w:hAnsiTheme="majorBidi" w:cstheme="majorBidi"/>
          <w:sz w:val="24"/>
          <w:szCs w:val="24"/>
        </w:rPr>
        <w:t xml:space="preserve"> net objektyviai pateikti negalėjo.</w:t>
      </w:r>
      <w:r w:rsidR="00AA2A29" w:rsidRPr="00192A41">
        <w:rPr>
          <w:rFonts w:asciiTheme="majorBidi" w:hAnsiTheme="majorBidi" w:cstheme="majorBidi"/>
          <w:sz w:val="24"/>
          <w:szCs w:val="24"/>
        </w:rPr>
        <w:t xml:space="preserve"> Atsakovė teikė </w:t>
      </w:r>
      <w:r w:rsidR="00793167">
        <w:rPr>
          <w:rFonts w:asciiTheme="majorBidi" w:hAnsiTheme="majorBidi" w:cstheme="majorBidi"/>
          <w:sz w:val="24"/>
          <w:szCs w:val="24"/>
        </w:rPr>
        <w:t>daugybę</w:t>
      </w:r>
      <w:r w:rsidR="00AA2A29" w:rsidRPr="00192A41">
        <w:rPr>
          <w:rFonts w:asciiTheme="majorBidi" w:hAnsiTheme="majorBidi" w:cstheme="majorBidi"/>
          <w:sz w:val="24"/>
          <w:szCs w:val="24"/>
        </w:rPr>
        <w:t xml:space="preserve"> kitų įrodymų, pagrindžiančių, jog: i) </w:t>
      </w:r>
      <w:r w:rsidR="008E69F0" w:rsidRPr="00192A41">
        <w:rPr>
          <w:rFonts w:asciiTheme="majorBidi" w:hAnsiTheme="majorBidi" w:cstheme="majorBidi"/>
          <w:sz w:val="24"/>
          <w:szCs w:val="24"/>
        </w:rPr>
        <w:t>ieškovė</w:t>
      </w:r>
      <w:r w:rsidR="00AA2A29" w:rsidRPr="00192A41">
        <w:rPr>
          <w:rFonts w:asciiTheme="majorBidi" w:hAnsiTheme="majorBidi" w:cstheme="majorBidi"/>
          <w:sz w:val="24"/>
          <w:szCs w:val="24"/>
        </w:rPr>
        <w:t xml:space="preserve"> beveik 25 m. Lietuvos rinkoje buvo vienintel</w:t>
      </w:r>
      <w:r w:rsidR="008E69F0" w:rsidRPr="00192A41">
        <w:rPr>
          <w:rFonts w:asciiTheme="majorBidi" w:hAnsiTheme="majorBidi" w:cstheme="majorBidi"/>
          <w:sz w:val="24"/>
          <w:szCs w:val="24"/>
        </w:rPr>
        <w:t>ė</w:t>
      </w:r>
      <w:r w:rsidR="00AA2A29" w:rsidRPr="00192A41">
        <w:rPr>
          <w:rFonts w:asciiTheme="majorBidi" w:hAnsiTheme="majorBidi" w:cstheme="majorBidi"/>
          <w:sz w:val="24"/>
          <w:szCs w:val="24"/>
        </w:rPr>
        <w:t xml:space="preserve"> vaistinio preparato tiekėja; ii) iki 2010 m. vaistinių preparatų receptai buvo išrašomi ne veikliosios medžiagos pavadinimu, o vaisto pavadinimu, tad per šį laikotarpį pacientai, farmacininkai bei gydytojai priprato prie konkretaus vaistinio preparato konkrečiu pavadinimu; iii) vaistinis preparatas </w:t>
      </w:r>
      <w:proofErr w:type="spellStart"/>
      <w:r w:rsidR="00AA2A29" w:rsidRPr="00192A41">
        <w:rPr>
          <w:rFonts w:asciiTheme="majorBidi" w:hAnsiTheme="majorBidi" w:cstheme="majorBidi"/>
          <w:sz w:val="24"/>
          <w:szCs w:val="24"/>
        </w:rPr>
        <w:t>lev</w:t>
      </w:r>
      <w:r w:rsidR="00793167">
        <w:rPr>
          <w:rFonts w:asciiTheme="majorBidi" w:hAnsiTheme="majorBidi" w:cstheme="majorBidi"/>
          <w:sz w:val="24"/>
          <w:szCs w:val="24"/>
        </w:rPr>
        <w:t>o</w:t>
      </w:r>
      <w:r w:rsidR="00AA2A29" w:rsidRPr="00192A41">
        <w:rPr>
          <w:rFonts w:asciiTheme="majorBidi" w:hAnsiTheme="majorBidi" w:cstheme="majorBidi"/>
          <w:sz w:val="24"/>
          <w:szCs w:val="24"/>
        </w:rPr>
        <w:t>t</w:t>
      </w:r>
      <w:r w:rsidR="00793167">
        <w:rPr>
          <w:rFonts w:asciiTheme="majorBidi" w:hAnsiTheme="majorBidi" w:cstheme="majorBidi"/>
          <w:sz w:val="24"/>
          <w:szCs w:val="24"/>
        </w:rPr>
        <w:t>i</w:t>
      </w:r>
      <w:r w:rsidR="00AA2A29" w:rsidRPr="00192A41">
        <w:rPr>
          <w:rFonts w:asciiTheme="majorBidi" w:hAnsiTheme="majorBidi" w:cstheme="majorBidi"/>
          <w:sz w:val="24"/>
          <w:szCs w:val="24"/>
        </w:rPr>
        <w:t>roksino</w:t>
      </w:r>
      <w:proofErr w:type="spellEnd"/>
      <w:r w:rsidR="00AA2A29" w:rsidRPr="00192A41">
        <w:rPr>
          <w:rFonts w:asciiTheme="majorBidi" w:hAnsiTheme="majorBidi" w:cstheme="majorBidi"/>
          <w:sz w:val="24"/>
          <w:szCs w:val="24"/>
        </w:rPr>
        <w:t xml:space="preserve"> </w:t>
      </w:r>
      <w:r w:rsidR="00793167">
        <w:rPr>
          <w:rFonts w:asciiTheme="majorBidi" w:hAnsiTheme="majorBidi" w:cstheme="majorBidi"/>
          <w:sz w:val="24"/>
          <w:szCs w:val="24"/>
        </w:rPr>
        <w:t xml:space="preserve">natrio </w:t>
      </w:r>
      <w:r w:rsidR="00AA2A29" w:rsidRPr="00192A41">
        <w:rPr>
          <w:rFonts w:asciiTheme="majorBidi" w:hAnsiTheme="majorBidi" w:cstheme="majorBidi"/>
          <w:sz w:val="24"/>
          <w:szCs w:val="24"/>
        </w:rPr>
        <w:t xml:space="preserve">druska yra hormoninis vaistinis preparatas, skirtas skydliaukės hormono </w:t>
      </w:r>
      <w:proofErr w:type="spellStart"/>
      <w:r w:rsidR="00AA2A29" w:rsidRPr="00192A41">
        <w:rPr>
          <w:rFonts w:asciiTheme="majorBidi" w:hAnsiTheme="majorBidi" w:cstheme="majorBidi"/>
          <w:sz w:val="24"/>
          <w:szCs w:val="24"/>
        </w:rPr>
        <w:t>levotiroksino</w:t>
      </w:r>
      <w:proofErr w:type="spellEnd"/>
      <w:r w:rsidR="00AA2A29" w:rsidRPr="00192A41">
        <w:rPr>
          <w:rFonts w:asciiTheme="majorBidi" w:hAnsiTheme="majorBidi" w:cstheme="majorBidi"/>
          <w:sz w:val="24"/>
          <w:szCs w:val="24"/>
        </w:rPr>
        <w:t xml:space="preserve"> trūkum</w:t>
      </w:r>
      <w:r w:rsidR="00793167">
        <w:rPr>
          <w:rFonts w:asciiTheme="majorBidi" w:hAnsiTheme="majorBidi" w:cstheme="majorBidi"/>
          <w:sz w:val="24"/>
          <w:szCs w:val="24"/>
        </w:rPr>
        <w:t>ui atstatyti</w:t>
      </w:r>
      <w:r w:rsidR="00AA2A29" w:rsidRPr="00192A41">
        <w:rPr>
          <w:rFonts w:asciiTheme="majorBidi" w:hAnsiTheme="majorBidi" w:cstheme="majorBidi"/>
          <w:sz w:val="24"/>
          <w:szCs w:val="24"/>
        </w:rPr>
        <w:t xml:space="preserve"> ir (arba) skydliaukės veiklos įtamp</w:t>
      </w:r>
      <w:r w:rsidR="00793167">
        <w:rPr>
          <w:rFonts w:asciiTheme="majorBidi" w:hAnsiTheme="majorBidi" w:cstheme="majorBidi"/>
          <w:sz w:val="24"/>
          <w:szCs w:val="24"/>
        </w:rPr>
        <w:t>ai sumažinti</w:t>
      </w:r>
      <w:r w:rsidR="00AA2A29" w:rsidRPr="00192A41">
        <w:rPr>
          <w:rFonts w:asciiTheme="majorBidi" w:hAnsiTheme="majorBidi" w:cstheme="majorBidi"/>
          <w:sz w:val="24"/>
          <w:szCs w:val="24"/>
        </w:rPr>
        <w:t xml:space="preserve">, prie </w:t>
      </w:r>
      <w:r w:rsidR="00793167">
        <w:rPr>
          <w:rFonts w:asciiTheme="majorBidi" w:hAnsiTheme="majorBidi" w:cstheme="majorBidi"/>
          <w:sz w:val="24"/>
          <w:szCs w:val="24"/>
        </w:rPr>
        <w:t>j</w:t>
      </w:r>
      <w:r w:rsidR="00AA2A29" w:rsidRPr="00192A41">
        <w:rPr>
          <w:rFonts w:asciiTheme="majorBidi" w:hAnsiTheme="majorBidi" w:cstheme="majorBidi"/>
          <w:sz w:val="24"/>
          <w:szCs w:val="24"/>
        </w:rPr>
        <w:t xml:space="preserve">o vartotojų pripratimas yra itin reikšmingas, vertinant jo galimybes sėkmingai </w:t>
      </w:r>
      <w:r w:rsidR="006D0C35" w:rsidRPr="00192A41">
        <w:rPr>
          <w:rFonts w:asciiTheme="majorBidi" w:hAnsiTheme="majorBidi" w:cstheme="majorBidi"/>
          <w:sz w:val="24"/>
          <w:szCs w:val="24"/>
        </w:rPr>
        <w:t xml:space="preserve">patekti </w:t>
      </w:r>
      <w:r w:rsidR="00AA2A29" w:rsidRPr="00192A41">
        <w:rPr>
          <w:rFonts w:asciiTheme="majorBidi" w:hAnsiTheme="majorBidi" w:cstheme="majorBidi"/>
          <w:sz w:val="24"/>
          <w:szCs w:val="24"/>
        </w:rPr>
        <w:t xml:space="preserve">į rinką, kadangi šis vaistas yra skiriamas visam likusiam paciento gyvenimo laikui; iv) </w:t>
      </w:r>
      <w:proofErr w:type="spellStart"/>
      <w:r w:rsidR="00AA2A29" w:rsidRPr="00192A41">
        <w:rPr>
          <w:rFonts w:asciiTheme="majorBidi" w:hAnsiTheme="majorBidi" w:cstheme="majorBidi"/>
          <w:sz w:val="24"/>
          <w:szCs w:val="24"/>
        </w:rPr>
        <w:t>lev</w:t>
      </w:r>
      <w:r w:rsidR="00793167">
        <w:rPr>
          <w:rFonts w:asciiTheme="majorBidi" w:hAnsiTheme="majorBidi" w:cstheme="majorBidi"/>
          <w:sz w:val="24"/>
          <w:szCs w:val="24"/>
        </w:rPr>
        <w:t>o</w:t>
      </w:r>
      <w:r w:rsidR="00AA2A29" w:rsidRPr="00192A41">
        <w:rPr>
          <w:rFonts w:asciiTheme="majorBidi" w:hAnsiTheme="majorBidi" w:cstheme="majorBidi"/>
          <w:sz w:val="24"/>
          <w:szCs w:val="24"/>
        </w:rPr>
        <w:t>tiroksino</w:t>
      </w:r>
      <w:proofErr w:type="spellEnd"/>
      <w:r w:rsidR="00AA2A29" w:rsidRPr="00192A41">
        <w:rPr>
          <w:rFonts w:asciiTheme="majorBidi" w:hAnsiTheme="majorBidi" w:cstheme="majorBidi"/>
          <w:sz w:val="24"/>
          <w:szCs w:val="24"/>
        </w:rPr>
        <w:t xml:space="preserve"> </w:t>
      </w:r>
      <w:r w:rsidR="00793167">
        <w:rPr>
          <w:rFonts w:asciiTheme="majorBidi" w:hAnsiTheme="majorBidi" w:cstheme="majorBidi"/>
          <w:sz w:val="24"/>
          <w:szCs w:val="24"/>
        </w:rPr>
        <w:t xml:space="preserve">natrio </w:t>
      </w:r>
      <w:r w:rsidR="00AA2A29" w:rsidRPr="00192A41">
        <w:rPr>
          <w:rFonts w:asciiTheme="majorBidi" w:hAnsiTheme="majorBidi" w:cstheme="majorBidi"/>
          <w:sz w:val="24"/>
          <w:szCs w:val="24"/>
        </w:rPr>
        <w:t xml:space="preserve">druskos naudojimas priklauso išimtinai nuo gamintojo </w:t>
      </w:r>
      <w:r w:rsidR="008E69F0" w:rsidRPr="00192A41">
        <w:rPr>
          <w:rFonts w:asciiTheme="majorBidi" w:hAnsiTheme="majorBidi" w:cstheme="majorBidi"/>
          <w:sz w:val="24"/>
          <w:szCs w:val="24"/>
        </w:rPr>
        <w:t>(</w:t>
      </w:r>
      <w:r w:rsidR="00AA2A29" w:rsidRPr="00192A41">
        <w:rPr>
          <w:rFonts w:asciiTheme="majorBidi" w:hAnsiTheme="majorBidi" w:cstheme="majorBidi"/>
          <w:sz w:val="24"/>
          <w:szCs w:val="24"/>
        </w:rPr>
        <w:t>prekių ženklo</w:t>
      </w:r>
      <w:r w:rsidR="008E69F0" w:rsidRPr="00192A41">
        <w:rPr>
          <w:rFonts w:asciiTheme="majorBidi" w:hAnsiTheme="majorBidi" w:cstheme="majorBidi"/>
          <w:sz w:val="24"/>
          <w:szCs w:val="24"/>
        </w:rPr>
        <w:t xml:space="preserve"> savininko)</w:t>
      </w:r>
      <w:r w:rsidR="00AA2A29" w:rsidRPr="00192A41">
        <w:rPr>
          <w:rFonts w:asciiTheme="majorBidi" w:hAnsiTheme="majorBidi" w:cstheme="majorBidi"/>
          <w:sz w:val="24"/>
          <w:szCs w:val="24"/>
        </w:rPr>
        <w:t xml:space="preserve">, kadangi tai pakeitus reikia koreguoti dozes bei atlikti tyrimus; v) </w:t>
      </w:r>
      <w:r w:rsidR="008E69F0" w:rsidRPr="00192A41">
        <w:rPr>
          <w:rFonts w:asciiTheme="majorBidi" w:hAnsiTheme="majorBidi" w:cstheme="majorBidi"/>
          <w:sz w:val="24"/>
          <w:szCs w:val="24"/>
        </w:rPr>
        <w:t>n</w:t>
      </w:r>
      <w:r w:rsidR="00AA2A29" w:rsidRPr="00192A41">
        <w:rPr>
          <w:rFonts w:asciiTheme="majorBidi" w:hAnsiTheme="majorBidi" w:cstheme="majorBidi"/>
          <w:sz w:val="24"/>
          <w:szCs w:val="24"/>
        </w:rPr>
        <w:t>ors nagrinėjamu atveju vaistiniai preparatai „</w:t>
      </w:r>
      <w:proofErr w:type="spellStart"/>
      <w:r w:rsidR="00AA2A29" w:rsidRPr="00192A41">
        <w:rPr>
          <w:rFonts w:asciiTheme="majorBidi" w:hAnsiTheme="majorBidi" w:cstheme="majorBidi"/>
          <w:sz w:val="24"/>
          <w:szCs w:val="24"/>
        </w:rPr>
        <w:t>Letrox</w:t>
      </w:r>
      <w:proofErr w:type="spellEnd"/>
      <w:r w:rsidR="00AA2A29" w:rsidRPr="00192A41">
        <w:rPr>
          <w:rFonts w:asciiTheme="majorBidi" w:hAnsiTheme="majorBidi" w:cstheme="majorBidi"/>
          <w:sz w:val="24"/>
          <w:szCs w:val="24"/>
        </w:rPr>
        <w:t>“ ir „L-</w:t>
      </w:r>
      <w:proofErr w:type="spellStart"/>
      <w:r w:rsidR="00AA2A29" w:rsidRPr="00192A41">
        <w:rPr>
          <w:rFonts w:asciiTheme="majorBidi" w:hAnsiTheme="majorBidi" w:cstheme="majorBidi"/>
          <w:sz w:val="24"/>
          <w:szCs w:val="24"/>
        </w:rPr>
        <w:t>Thyroxin</w:t>
      </w:r>
      <w:proofErr w:type="spellEnd"/>
      <w:r w:rsidR="00AA2A29" w:rsidRPr="00192A41">
        <w:rPr>
          <w:rFonts w:asciiTheme="majorBidi" w:hAnsiTheme="majorBidi" w:cstheme="majorBidi"/>
          <w:sz w:val="24"/>
          <w:szCs w:val="24"/>
        </w:rPr>
        <w:t xml:space="preserve"> </w:t>
      </w:r>
      <w:proofErr w:type="spellStart"/>
      <w:r w:rsidR="00AA2A29" w:rsidRPr="00192A41">
        <w:rPr>
          <w:rFonts w:asciiTheme="majorBidi" w:hAnsiTheme="majorBidi" w:cstheme="majorBidi"/>
          <w:sz w:val="24"/>
          <w:szCs w:val="24"/>
        </w:rPr>
        <w:t>Berlin-Chemie</w:t>
      </w:r>
      <w:proofErr w:type="spellEnd"/>
      <w:r w:rsidR="00AA2A29" w:rsidRPr="00192A41">
        <w:rPr>
          <w:rFonts w:asciiTheme="majorBidi" w:hAnsiTheme="majorBidi" w:cstheme="majorBidi"/>
          <w:sz w:val="24"/>
          <w:szCs w:val="24"/>
        </w:rPr>
        <w:t>“ yra identiški (tapatūs)</w:t>
      </w:r>
      <w:r w:rsidR="00793167">
        <w:rPr>
          <w:rFonts w:asciiTheme="majorBidi" w:hAnsiTheme="majorBidi" w:cstheme="majorBidi"/>
          <w:sz w:val="24"/>
          <w:szCs w:val="24"/>
        </w:rPr>
        <w:t>,</w:t>
      </w:r>
      <w:r w:rsidR="00AA2A29" w:rsidRPr="00192A41">
        <w:rPr>
          <w:rFonts w:asciiTheme="majorBidi" w:hAnsiTheme="majorBidi" w:cstheme="majorBidi"/>
          <w:sz w:val="24"/>
          <w:szCs w:val="24"/>
        </w:rPr>
        <w:t xml:space="preserve"> to paties gamintojo (pagaminti tame pačiame fabrike) ir pacientai</w:t>
      </w:r>
      <w:r w:rsidR="00793167">
        <w:rPr>
          <w:rFonts w:asciiTheme="majorBidi" w:hAnsiTheme="majorBidi" w:cstheme="majorBidi"/>
          <w:sz w:val="24"/>
          <w:szCs w:val="24"/>
        </w:rPr>
        <w:t>,</w:t>
      </w:r>
      <w:r w:rsidR="00AA2A29" w:rsidRPr="00192A41">
        <w:rPr>
          <w:rFonts w:asciiTheme="majorBidi" w:hAnsiTheme="majorBidi" w:cstheme="majorBidi"/>
          <w:sz w:val="24"/>
          <w:szCs w:val="24"/>
        </w:rPr>
        <w:t xml:space="preserve"> pradėję gydymą „L-</w:t>
      </w:r>
      <w:proofErr w:type="spellStart"/>
      <w:r w:rsidR="00AA2A29" w:rsidRPr="00192A41">
        <w:rPr>
          <w:rFonts w:asciiTheme="majorBidi" w:hAnsiTheme="majorBidi" w:cstheme="majorBidi"/>
          <w:sz w:val="24"/>
          <w:szCs w:val="24"/>
        </w:rPr>
        <w:t>Thyroxin</w:t>
      </w:r>
      <w:proofErr w:type="spellEnd"/>
      <w:r w:rsidR="00AA2A29" w:rsidRPr="00192A41">
        <w:rPr>
          <w:rFonts w:asciiTheme="majorBidi" w:hAnsiTheme="majorBidi" w:cstheme="majorBidi"/>
          <w:sz w:val="24"/>
          <w:szCs w:val="24"/>
        </w:rPr>
        <w:t xml:space="preserve"> </w:t>
      </w:r>
      <w:proofErr w:type="spellStart"/>
      <w:r w:rsidR="00AA2A29" w:rsidRPr="00192A41">
        <w:rPr>
          <w:rFonts w:asciiTheme="majorBidi" w:hAnsiTheme="majorBidi" w:cstheme="majorBidi"/>
          <w:sz w:val="24"/>
          <w:szCs w:val="24"/>
        </w:rPr>
        <w:t>Berlin-Chemie</w:t>
      </w:r>
      <w:proofErr w:type="spellEnd"/>
      <w:r w:rsidR="00AA2A29" w:rsidRPr="00192A41">
        <w:rPr>
          <w:rFonts w:asciiTheme="majorBidi" w:hAnsiTheme="majorBidi" w:cstheme="majorBidi"/>
          <w:sz w:val="24"/>
          <w:szCs w:val="24"/>
        </w:rPr>
        <w:t>“ vaistiniu preparatu</w:t>
      </w:r>
      <w:r w:rsidR="00793167">
        <w:rPr>
          <w:rFonts w:asciiTheme="majorBidi" w:hAnsiTheme="majorBidi" w:cstheme="majorBidi"/>
          <w:sz w:val="24"/>
          <w:szCs w:val="24"/>
        </w:rPr>
        <w:t>,</w:t>
      </w:r>
      <w:r w:rsidR="00AA2A29" w:rsidRPr="00192A41">
        <w:rPr>
          <w:rFonts w:asciiTheme="majorBidi" w:hAnsiTheme="majorBidi" w:cstheme="majorBidi"/>
          <w:sz w:val="24"/>
          <w:szCs w:val="24"/>
        </w:rPr>
        <w:t xml:space="preserve"> galėtų tęsti gydymą naudo</w:t>
      </w:r>
      <w:r w:rsidR="00793167">
        <w:rPr>
          <w:rFonts w:asciiTheme="majorBidi" w:hAnsiTheme="majorBidi" w:cstheme="majorBidi"/>
          <w:sz w:val="24"/>
          <w:szCs w:val="24"/>
        </w:rPr>
        <w:t>dami</w:t>
      </w:r>
      <w:r w:rsidR="00AA2A29" w:rsidRPr="00192A41">
        <w:rPr>
          <w:rFonts w:asciiTheme="majorBidi" w:hAnsiTheme="majorBidi" w:cstheme="majorBidi"/>
          <w:sz w:val="24"/>
          <w:szCs w:val="24"/>
        </w:rPr>
        <w:t xml:space="preserve"> „</w:t>
      </w:r>
      <w:proofErr w:type="spellStart"/>
      <w:r w:rsidR="00AA2A29" w:rsidRPr="00192A41">
        <w:rPr>
          <w:rFonts w:asciiTheme="majorBidi" w:hAnsiTheme="majorBidi" w:cstheme="majorBidi"/>
          <w:sz w:val="24"/>
          <w:szCs w:val="24"/>
        </w:rPr>
        <w:t>Letrox</w:t>
      </w:r>
      <w:proofErr w:type="spellEnd"/>
      <w:r w:rsidR="00AA2A29" w:rsidRPr="00192A41">
        <w:rPr>
          <w:rFonts w:asciiTheme="majorBidi" w:hAnsiTheme="majorBidi" w:cstheme="majorBidi"/>
          <w:sz w:val="24"/>
          <w:szCs w:val="24"/>
        </w:rPr>
        <w:t>“, nekeičiant ir nekoreguojant dozės, tačiau pasaulinė praktika įrodo, jog pacientai vaistinio preparato „</w:t>
      </w:r>
      <w:proofErr w:type="spellStart"/>
      <w:r w:rsidR="00AA2A29" w:rsidRPr="00192A41">
        <w:rPr>
          <w:rFonts w:asciiTheme="majorBidi" w:hAnsiTheme="majorBidi" w:cstheme="majorBidi"/>
          <w:sz w:val="24"/>
          <w:szCs w:val="24"/>
        </w:rPr>
        <w:t>Letrox</w:t>
      </w:r>
      <w:proofErr w:type="spellEnd"/>
      <w:r w:rsidR="00AA2A29" w:rsidRPr="00192A41">
        <w:rPr>
          <w:rFonts w:asciiTheme="majorBidi" w:hAnsiTheme="majorBidi" w:cstheme="majorBidi"/>
          <w:sz w:val="24"/>
          <w:szCs w:val="24"/>
        </w:rPr>
        <w:t>“ nesirinktų, o gydytojai ir farmacininkai šio preparato nesiūlytų, nes būtų baiminamasi kitos hormono koncentracijos ir poreikio iš naujo sureguliuoti dozę</w:t>
      </w:r>
      <w:r w:rsidR="006369E3" w:rsidRPr="00192A41">
        <w:rPr>
          <w:rFonts w:asciiTheme="majorBidi" w:hAnsiTheme="majorBidi" w:cstheme="majorBidi"/>
          <w:sz w:val="24"/>
          <w:szCs w:val="24"/>
        </w:rPr>
        <w:t>.</w:t>
      </w:r>
      <w:bookmarkEnd w:id="8"/>
    </w:p>
    <w:p w14:paraId="10C58203" w14:textId="5584A95B" w:rsidR="00AA2A29" w:rsidRPr="00192A41" w:rsidRDefault="00AA2A29" w:rsidP="00AA2A29">
      <w:pPr>
        <w:pStyle w:val="ListParagraph"/>
        <w:numPr>
          <w:ilvl w:val="1"/>
          <w:numId w:val="1"/>
        </w:numPr>
        <w:shd w:val="clear" w:color="auto" w:fill="FFFFFF"/>
        <w:spacing w:before="120" w:after="120" w:line="240" w:lineRule="auto"/>
        <w:ind w:hanging="650"/>
        <w:contextualSpacing w:val="0"/>
        <w:jc w:val="both"/>
        <w:rPr>
          <w:rFonts w:asciiTheme="majorBidi" w:hAnsiTheme="majorBidi" w:cstheme="majorBidi"/>
          <w:sz w:val="24"/>
          <w:szCs w:val="24"/>
        </w:rPr>
      </w:pPr>
      <w:r w:rsidRPr="00192A41">
        <w:rPr>
          <w:rFonts w:asciiTheme="majorBidi" w:hAnsiTheme="majorBidi" w:cstheme="majorBidi"/>
          <w:sz w:val="24"/>
          <w:szCs w:val="24"/>
        </w:rPr>
        <w:t>Apeliacinės instancijos teismas neįvertino atsakovės pateiktų įrodymų, kad vaistinių tinklai atsisakė pardavinėti vaistinį preparatą pavadinimu „</w:t>
      </w:r>
      <w:proofErr w:type="spellStart"/>
      <w:r w:rsidRPr="00192A41">
        <w:rPr>
          <w:rFonts w:asciiTheme="majorBidi" w:hAnsiTheme="majorBidi" w:cstheme="majorBidi"/>
          <w:sz w:val="24"/>
          <w:szCs w:val="24"/>
        </w:rPr>
        <w:t>Letrox</w:t>
      </w:r>
      <w:proofErr w:type="spellEnd"/>
      <w:r w:rsidRPr="00192A41">
        <w:rPr>
          <w:rFonts w:asciiTheme="majorBidi" w:hAnsiTheme="majorBidi" w:cstheme="majorBidi"/>
          <w:sz w:val="24"/>
          <w:szCs w:val="24"/>
        </w:rPr>
        <w:t xml:space="preserve">“, suvokdami pacientų reakcijas į </w:t>
      </w:r>
      <w:r w:rsidRPr="00192A41">
        <w:rPr>
          <w:rFonts w:asciiTheme="majorBidi" w:hAnsiTheme="majorBidi" w:cstheme="majorBidi"/>
          <w:sz w:val="24"/>
          <w:szCs w:val="24"/>
        </w:rPr>
        <w:lastRenderedPageBreak/>
        <w:t>jiems nežinomo pavadinimo vaistinį preparatą. Vien aplinkybė, ka</w:t>
      </w:r>
      <w:r w:rsidR="00D275CD" w:rsidRPr="00192A41">
        <w:rPr>
          <w:rFonts w:asciiTheme="majorBidi" w:hAnsiTheme="majorBidi" w:cstheme="majorBidi"/>
          <w:sz w:val="24"/>
          <w:szCs w:val="24"/>
        </w:rPr>
        <w:t>d</w:t>
      </w:r>
      <w:r w:rsidRPr="00192A41">
        <w:rPr>
          <w:rFonts w:asciiTheme="majorBidi" w:hAnsiTheme="majorBidi" w:cstheme="majorBidi"/>
          <w:sz w:val="24"/>
          <w:szCs w:val="24"/>
        </w:rPr>
        <w:t xml:space="preserve"> vaistinių tinklai atsisako prekiauti vaistiniu preparatu eksporto šalies pavadinimu, pagrindžia, jog atsakovė objektyviai negalėjo veiksmingai patekti į rinką </w:t>
      </w:r>
      <w:r w:rsidR="006D0C35">
        <w:rPr>
          <w:rFonts w:asciiTheme="majorBidi" w:hAnsiTheme="majorBidi" w:cstheme="majorBidi"/>
          <w:sz w:val="24"/>
          <w:szCs w:val="24"/>
        </w:rPr>
        <w:t>ir</w:t>
      </w:r>
      <w:r w:rsidRPr="00192A41">
        <w:rPr>
          <w:rFonts w:asciiTheme="majorBidi" w:hAnsiTheme="majorBidi" w:cstheme="majorBidi"/>
          <w:sz w:val="24"/>
          <w:szCs w:val="24"/>
        </w:rPr>
        <w:t xml:space="preserve"> vaistinio preparato originaliu pavadinimu net negalėjo pasiūlyti vartotojams.</w:t>
      </w:r>
    </w:p>
    <w:p w14:paraId="1B43185D" w14:textId="7209C8C9" w:rsidR="00AA2A29" w:rsidRPr="00944469" w:rsidRDefault="00AA2A29" w:rsidP="00944469">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92A41">
        <w:rPr>
          <w:rFonts w:ascii="Times New Roman" w:hAnsi="Times New Roman"/>
          <w:sz w:val="24"/>
          <w:szCs w:val="24"/>
        </w:rPr>
        <w:t>ESTT praktikoje pažymima, kad būtinumo sąlyga nagrinėtina atsižvelgiant į prekybos importo valstybėje metu buvusias aplinkybes, dėl kurių egzistuoja objektyvi būtinybė pervadinti ir perpakuoti lygiagrečiai importuojamus vaistinius preparatus tam, kad lygiagretus importuotojas galėtų veiksmingai patekti į importo valstybės narės rinką.</w:t>
      </w:r>
      <w:r w:rsidRPr="00AA2A29">
        <w:rPr>
          <w:rFonts w:ascii="Times New Roman" w:hAnsi="Times New Roman"/>
          <w:sz w:val="24"/>
          <w:szCs w:val="24"/>
        </w:rPr>
        <w:t xml:space="preserve"> Taigi, nacionaliniai teismai turi vertinti ne tik importo valstybės taisykles, </w:t>
      </w:r>
      <w:r w:rsidR="00793167">
        <w:rPr>
          <w:rFonts w:ascii="Times New Roman" w:hAnsi="Times New Roman"/>
          <w:sz w:val="24"/>
          <w:szCs w:val="24"/>
        </w:rPr>
        <w:t>bet</w:t>
      </w:r>
      <w:r w:rsidRPr="00AA2A29">
        <w:rPr>
          <w:rFonts w:ascii="Times New Roman" w:hAnsi="Times New Roman"/>
          <w:sz w:val="24"/>
          <w:szCs w:val="24"/>
        </w:rPr>
        <w:t xml:space="preserve"> ir praktiką: vaistų kompensavimo sistemą, kuri lemia išlaidų už vaistus apmokėjimą pagal atitinkamas pakuotes; vyraujantį vaistų skyrimą, atsižvelgiant į patvirtintas standartines pakuotes</w:t>
      </w:r>
      <w:r w:rsidR="00793167">
        <w:rPr>
          <w:rFonts w:ascii="Times New Roman" w:hAnsi="Times New Roman"/>
          <w:sz w:val="24"/>
          <w:szCs w:val="24"/>
        </w:rPr>
        <w:t>,</w:t>
      </w:r>
      <w:r w:rsidRPr="00AA2A29">
        <w:rPr>
          <w:rFonts w:ascii="Times New Roman" w:hAnsi="Times New Roman"/>
          <w:sz w:val="24"/>
          <w:szCs w:val="24"/>
        </w:rPr>
        <w:t xml:space="preserve"> rekomenduojamas asmens sveikatos priežiūros specialistų ar farmacininkų, atitinkamai privalo būti įvertinama ir tai, ar importo valstybės narės rinkoje, ar žymioje jos dalyje vyrauja reikšmingos dalies vaistinių preparatų vartotojų (pacientų) neigiamas požiūris ar nusistatymas </w:t>
      </w:r>
      <w:r w:rsidR="00793167">
        <w:rPr>
          <w:rFonts w:ascii="Times New Roman" w:hAnsi="Times New Roman"/>
          <w:sz w:val="24"/>
          <w:szCs w:val="24"/>
        </w:rPr>
        <w:t>dėl</w:t>
      </w:r>
      <w:r w:rsidRPr="00AA2A29">
        <w:rPr>
          <w:rFonts w:ascii="Times New Roman" w:hAnsi="Times New Roman"/>
          <w:sz w:val="24"/>
          <w:szCs w:val="24"/>
        </w:rPr>
        <w:t xml:space="preserve"> perženklint</w:t>
      </w:r>
      <w:r w:rsidR="00793167">
        <w:rPr>
          <w:rFonts w:ascii="Times New Roman" w:hAnsi="Times New Roman"/>
          <w:sz w:val="24"/>
          <w:szCs w:val="24"/>
        </w:rPr>
        <w:t>ų</w:t>
      </w:r>
      <w:r w:rsidRPr="00AA2A29">
        <w:rPr>
          <w:rFonts w:ascii="Times New Roman" w:hAnsi="Times New Roman"/>
          <w:sz w:val="24"/>
          <w:szCs w:val="24"/>
        </w:rPr>
        <w:t xml:space="preserve"> vaistinių preparatų pakuo</w:t>
      </w:r>
      <w:r w:rsidR="00793167">
        <w:rPr>
          <w:rFonts w:ascii="Times New Roman" w:hAnsi="Times New Roman"/>
          <w:sz w:val="24"/>
          <w:szCs w:val="24"/>
        </w:rPr>
        <w:t>čių</w:t>
      </w:r>
      <w:r w:rsidRPr="00AA2A29">
        <w:rPr>
          <w:rFonts w:ascii="Times New Roman" w:hAnsi="Times New Roman"/>
          <w:sz w:val="24"/>
          <w:szCs w:val="24"/>
        </w:rPr>
        <w:t xml:space="preserve">, </w:t>
      </w:r>
      <w:r w:rsidR="00793167">
        <w:rPr>
          <w:rFonts w:ascii="Times New Roman" w:hAnsi="Times New Roman"/>
          <w:sz w:val="24"/>
          <w:szCs w:val="24"/>
        </w:rPr>
        <w:t>o tai</w:t>
      </w:r>
      <w:r w:rsidRPr="00AA2A29">
        <w:rPr>
          <w:rFonts w:ascii="Times New Roman" w:hAnsi="Times New Roman"/>
          <w:sz w:val="24"/>
          <w:szCs w:val="24"/>
        </w:rPr>
        <w:t xml:space="preserve"> taip pat pagal ESTT praktiką laikytina kliūtimi lygiagrečiam importuotojui veiksmingai patekti į valstybės narės rinką (</w:t>
      </w:r>
      <w:r w:rsidR="008E69F0">
        <w:rPr>
          <w:rFonts w:ascii="Times New Roman" w:hAnsi="Times New Roman"/>
          <w:sz w:val="24"/>
          <w:szCs w:val="24"/>
        </w:rPr>
        <w:t>ESTT</w:t>
      </w:r>
      <w:r w:rsidR="005778BC">
        <w:rPr>
          <w:rFonts w:ascii="Times New Roman" w:hAnsi="Times New Roman"/>
          <w:sz w:val="24"/>
          <w:szCs w:val="24"/>
        </w:rPr>
        <w:t xml:space="preserve"> </w:t>
      </w:r>
      <w:r w:rsidR="005778BC" w:rsidRPr="00754963">
        <w:rPr>
          <w:rFonts w:ascii="Times New Roman" w:hAnsi="Times New Roman"/>
          <w:sz w:val="24"/>
          <w:szCs w:val="24"/>
        </w:rPr>
        <w:t>2002 m. baland</w:t>
      </w:r>
      <w:r w:rsidR="005778BC">
        <w:rPr>
          <w:rFonts w:ascii="Times New Roman" w:hAnsi="Times New Roman"/>
          <w:sz w:val="24"/>
          <w:szCs w:val="24"/>
        </w:rPr>
        <w:t xml:space="preserve">žio </w:t>
      </w:r>
      <w:r w:rsidR="005778BC" w:rsidRPr="00754963">
        <w:rPr>
          <w:rFonts w:ascii="Times New Roman" w:hAnsi="Times New Roman"/>
          <w:sz w:val="24"/>
          <w:szCs w:val="24"/>
        </w:rPr>
        <w:t xml:space="preserve">23 d. </w:t>
      </w:r>
      <w:proofErr w:type="spellStart"/>
      <w:r w:rsidR="005778BC" w:rsidRPr="00754963">
        <w:rPr>
          <w:rFonts w:ascii="Times New Roman" w:hAnsi="Times New Roman"/>
          <w:sz w:val="24"/>
          <w:szCs w:val="24"/>
        </w:rPr>
        <w:t>prejudicini</w:t>
      </w:r>
      <w:r w:rsidR="00793167">
        <w:rPr>
          <w:rFonts w:ascii="Times New Roman" w:hAnsi="Times New Roman"/>
          <w:sz w:val="24"/>
          <w:szCs w:val="24"/>
        </w:rPr>
        <w:t>s</w:t>
      </w:r>
      <w:proofErr w:type="spellEnd"/>
      <w:r w:rsidR="008E69F0">
        <w:rPr>
          <w:rFonts w:ascii="Times New Roman" w:hAnsi="Times New Roman"/>
          <w:sz w:val="24"/>
          <w:szCs w:val="24"/>
        </w:rPr>
        <w:t xml:space="preserve"> sprendim</w:t>
      </w:r>
      <w:r w:rsidR="00793167">
        <w:rPr>
          <w:rFonts w:ascii="Times New Roman" w:hAnsi="Times New Roman"/>
          <w:sz w:val="24"/>
          <w:szCs w:val="24"/>
        </w:rPr>
        <w:t>as</w:t>
      </w:r>
      <w:r w:rsidR="008E69F0">
        <w:rPr>
          <w:rFonts w:ascii="Times New Roman" w:hAnsi="Times New Roman"/>
          <w:sz w:val="24"/>
          <w:szCs w:val="24"/>
        </w:rPr>
        <w:t xml:space="preserve"> byloj</w:t>
      </w:r>
      <w:r w:rsidR="008E69F0" w:rsidRPr="00071C41">
        <w:rPr>
          <w:rFonts w:ascii="Times New Roman" w:hAnsi="Times New Roman"/>
          <w:sz w:val="24"/>
          <w:szCs w:val="24"/>
        </w:rPr>
        <w:t xml:space="preserve">e </w:t>
      </w:r>
      <w:proofErr w:type="spellStart"/>
      <w:r w:rsidRPr="00071C41">
        <w:rPr>
          <w:rFonts w:ascii="Times New Roman" w:hAnsi="Times New Roman"/>
          <w:i/>
          <w:iCs/>
          <w:sz w:val="24"/>
          <w:szCs w:val="24"/>
        </w:rPr>
        <w:t>Boehringer</w:t>
      </w:r>
      <w:proofErr w:type="spellEnd"/>
      <w:r w:rsidRPr="00071C41">
        <w:rPr>
          <w:rFonts w:ascii="Times New Roman" w:hAnsi="Times New Roman"/>
          <w:i/>
          <w:iCs/>
          <w:sz w:val="24"/>
          <w:szCs w:val="24"/>
        </w:rPr>
        <w:t xml:space="preserve"> </w:t>
      </w:r>
      <w:proofErr w:type="spellStart"/>
      <w:r w:rsidRPr="00071C41">
        <w:rPr>
          <w:rFonts w:ascii="Times New Roman" w:hAnsi="Times New Roman"/>
          <w:i/>
          <w:iCs/>
          <w:sz w:val="24"/>
          <w:szCs w:val="24"/>
        </w:rPr>
        <w:t>Ingelheim</w:t>
      </w:r>
      <w:proofErr w:type="spellEnd"/>
      <w:r w:rsidR="008E69F0" w:rsidRPr="00754963">
        <w:rPr>
          <w:rFonts w:ascii="Times New Roman" w:hAnsi="Times New Roman"/>
          <w:sz w:val="24"/>
          <w:szCs w:val="24"/>
        </w:rPr>
        <w:t>,</w:t>
      </w:r>
      <w:r w:rsidRPr="00071C41">
        <w:rPr>
          <w:rFonts w:ascii="Times New Roman" w:hAnsi="Times New Roman"/>
          <w:sz w:val="24"/>
          <w:szCs w:val="24"/>
        </w:rPr>
        <w:t xml:space="preserve"> C-143/00, 46, 51–54 punktai</w:t>
      </w:r>
      <w:r w:rsidR="006D0C35">
        <w:rPr>
          <w:rFonts w:ascii="Times New Roman" w:hAnsi="Times New Roman"/>
          <w:sz w:val="24"/>
          <w:szCs w:val="24"/>
        </w:rPr>
        <w:t>;</w:t>
      </w:r>
      <w:r w:rsidRPr="00071C41">
        <w:rPr>
          <w:rFonts w:ascii="Times New Roman" w:hAnsi="Times New Roman"/>
          <w:sz w:val="24"/>
          <w:szCs w:val="24"/>
        </w:rPr>
        <w:t xml:space="preserve"> taip pat 1996</w:t>
      </w:r>
      <w:r w:rsidR="008E69F0" w:rsidRPr="00071C41">
        <w:rPr>
          <w:rFonts w:ascii="Times New Roman" w:hAnsi="Times New Roman"/>
          <w:sz w:val="24"/>
          <w:szCs w:val="24"/>
        </w:rPr>
        <w:t xml:space="preserve"> m. liepos </w:t>
      </w:r>
      <w:r w:rsidRPr="00071C41">
        <w:rPr>
          <w:rFonts w:ascii="Times New Roman" w:hAnsi="Times New Roman"/>
          <w:sz w:val="24"/>
          <w:szCs w:val="24"/>
        </w:rPr>
        <w:t>11</w:t>
      </w:r>
      <w:r w:rsidR="008E69F0" w:rsidRPr="00071C41">
        <w:rPr>
          <w:rFonts w:ascii="Times New Roman" w:hAnsi="Times New Roman"/>
          <w:sz w:val="24"/>
          <w:szCs w:val="24"/>
        </w:rPr>
        <w:t xml:space="preserve"> d.</w:t>
      </w:r>
      <w:r w:rsidRPr="00071C41">
        <w:rPr>
          <w:rFonts w:ascii="Times New Roman" w:hAnsi="Times New Roman"/>
          <w:sz w:val="24"/>
          <w:szCs w:val="24"/>
        </w:rPr>
        <w:t xml:space="preserve"> </w:t>
      </w:r>
      <w:proofErr w:type="spellStart"/>
      <w:r w:rsidR="005778BC">
        <w:rPr>
          <w:rFonts w:ascii="Times New Roman" w:hAnsi="Times New Roman"/>
          <w:sz w:val="24"/>
          <w:szCs w:val="24"/>
        </w:rPr>
        <w:t>prejudicini</w:t>
      </w:r>
      <w:r w:rsidR="00793167">
        <w:rPr>
          <w:rFonts w:ascii="Times New Roman" w:hAnsi="Times New Roman"/>
          <w:sz w:val="24"/>
          <w:szCs w:val="24"/>
        </w:rPr>
        <w:t>s</w:t>
      </w:r>
      <w:proofErr w:type="spellEnd"/>
      <w:r w:rsidR="005778BC">
        <w:rPr>
          <w:rFonts w:ascii="Times New Roman" w:hAnsi="Times New Roman"/>
          <w:sz w:val="24"/>
          <w:szCs w:val="24"/>
        </w:rPr>
        <w:t xml:space="preserve"> </w:t>
      </w:r>
      <w:r w:rsidRPr="00071C41">
        <w:rPr>
          <w:rFonts w:ascii="Times New Roman" w:hAnsi="Times New Roman"/>
          <w:sz w:val="24"/>
          <w:szCs w:val="24"/>
        </w:rPr>
        <w:t>sprendim</w:t>
      </w:r>
      <w:r w:rsidR="00793167">
        <w:rPr>
          <w:rFonts w:ascii="Times New Roman" w:hAnsi="Times New Roman"/>
          <w:sz w:val="24"/>
          <w:szCs w:val="24"/>
        </w:rPr>
        <w:t>as</w:t>
      </w:r>
      <w:r w:rsidRPr="00071C41">
        <w:rPr>
          <w:rFonts w:ascii="Times New Roman" w:hAnsi="Times New Roman"/>
          <w:sz w:val="24"/>
          <w:szCs w:val="24"/>
        </w:rPr>
        <w:t xml:space="preserve"> byloje </w:t>
      </w:r>
      <w:proofErr w:type="spellStart"/>
      <w:r w:rsidR="008E69F0" w:rsidRPr="00071C41">
        <w:rPr>
          <w:rFonts w:ascii="Times New Roman" w:hAnsi="Times New Roman"/>
          <w:i/>
          <w:iCs/>
          <w:sz w:val="24"/>
          <w:szCs w:val="24"/>
        </w:rPr>
        <w:t>Bristol-Myers</w:t>
      </w:r>
      <w:proofErr w:type="spellEnd"/>
      <w:r w:rsidR="008E69F0" w:rsidRPr="00071C41">
        <w:rPr>
          <w:rFonts w:ascii="Times New Roman" w:hAnsi="Times New Roman"/>
          <w:i/>
          <w:iCs/>
          <w:sz w:val="24"/>
          <w:szCs w:val="24"/>
        </w:rPr>
        <w:t xml:space="preserve"> </w:t>
      </w:r>
      <w:proofErr w:type="spellStart"/>
      <w:r w:rsidR="008E69F0" w:rsidRPr="00071C41">
        <w:rPr>
          <w:rFonts w:ascii="Times New Roman" w:hAnsi="Times New Roman"/>
          <w:i/>
          <w:iCs/>
          <w:sz w:val="24"/>
          <w:szCs w:val="24"/>
        </w:rPr>
        <w:t>Squibb</w:t>
      </w:r>
      <w:proofErr w:type="spellEnd"/>
      <w:r w:rsidR="008E69F0" w:rsidRPr="00071C41">
        <w:rPr>
          <w:rFonts w:ascii="Times New Roman" w:hAnsi="Times New Roman"/>
          <w:i/>
          <w:iCs/>
          <w:sz w:val="24"/>
          <w:szCs w:val="24"/>
        </w:rPr>
        <w:t xml:space="preserve"> ir kt.</w:t>
      </w:r>
      <w:r w:rsidR="008E69F0" w:rsidRPr="00071C41">
        <w:rPr>
          <w:rFonts w:ascii="Times New Roman" w:hAnsi="Times New Roman"/>
          <w:sz w:val="24"/>
          <w:szCs w:val="24"/>
        </w:rPr>
        <w:t>, sujungt</w:t>
      </w:r>
      <w:r w:rsidR="00793167">
        <w:rPr>
          <w:rFonts w:ascii="Times New Roman" w:hAnsi="Times New Roman"/>
          <w:sz w:val="24"/>
          <w:szCs w:val="24"/>
        </w:rPr>
        <w:t>os</w:t>
      </w:r>
      <w:r w:rsidR="008E69F0" w:rsidRPr="00071C41">
        <w:rPr>
          <w:rFonts w:ascii="Times New Roman" w:hAnsi="Times New Roman"/>
          <w:sz w:val="24"/>
          <w:szCs w:val="24"/>
        </w:rPr>
        <w:t xml:space="preserve"> byl</w:t>
      </w:r>
      <w:r w:rsidR="00793167">
        <w:rPr>
          <w:rFonts w:ascii="Times New Roman" w:hAnsi="Times New Roman"/>
          <w:sz w:val="24"/>
          <w:szCs w:val="24"/>
        </w:rPr>
        <w:t>os</w:t>
      </w:r>
      <w:r w:rsidR="008E69F0" w:rsidRPr="00071C41">
        <w:rPr>
          <w:rFonts w:ascii="Times New Roman" w:hAnsi="Times New Roman"/>
          <w:sz w:val="24"/>
          <w:szCs w:val="24"/>
        </w:rPr>
        <w:t xml:space="preserve"> </w:t>
      </w:r>
      <w:r w:rsidRPr="00071C41">
        <w:rPr>
          <w:rFonts w:ascii="Times New Roman" w:hAnsi="Times New Roman"/>
          <w:sz w:val="24"/>
          <w:szCs w:val="24"/>
        </w:rPr>
        <w:t>C-427/93, C-429/93 ir C-436/93</w:t>
      </w:r>
      <w:r w:rsidR="008E69F0" w:rsidRPr="00071C41">
        <w:rPr>
          <w:rFonts w:ascii="Times New Roman" w:hAnsi="Times New Roman"/>
          <w:sz w:val="24"/>
          <w:szCs w:val="24"/>
        </w:rPr>
        <w:t>,</w:t>
      </w:r>
      <w:r w:rsidRPr="00071C41">
        <w:rPr>
          <w:rFonts w:ascii="Times New Roman" w:hAnsi="Times New Roman"/>
          <w:sz w:val="24"/>
          <w:szCs w:val="24"/>
        </w:rPr>
        <w:t xml:space="preserve"> 79 p</w:t>
      </w:r>
      <w:r w:rsidR="008E69F0" w:rsidRPr="00071C41">
        <w:rPr>
          <w:rFonts w:ascii="Times New Roman" w:hAnsi="Times New Roman"/>
          <w:sz w:val="24"/>
          <w:szCs w:val="24"/>
        </w:rPr>
        <w:t>unkta</w:t>
      </w:r>
      <w:r w:rsidR="00071C41" w:rsidRPr="00071C41">
        <w:rPr>
          <w:rFonts w:ascii="Times New Roman" w:hAnsi="Times New Roman"/>
          <w:sz w:val="24"/>
          <w:szCs w:val="24"/>
        </w:rPr>
        <w:t>s</w:t>
      </w:r>
      <w:r w:rsidR="006D0C35">
        <w:rPr>
          <w:rFonts w:ascii="Times New Roman" w:hAnsi="Times New Roman"/>
          <w:sz w:val="24"/>
          <w:szCs w:val="24"/>
        </w:rPr>
        <w:t>;</w:t>
      </w:r>
      <w:r w:rsidR="00071C41" w:rsidRPr="00071C41">
        <w:rPr>
          <w:rFonts w:ascii="Times New Roman" w:hAnsi="Times New Roman"/>
          <w:sz w:val="24"/>
          <w:szCs w:val="24"/>
        </w:rPr>
        <w:t xml:space="preserve"> </w:t>
      </w:r>
      <w:r w:rsidRPr="00071C41">
        <w:rPr>
          <w:rFonts w:ascii="Times New Roman" w:hAnsi="Times New Roman"/>
          <w:sz w:val="24"/>
          <w:szCs w:val="24"/>
        </w:rPr>
        <w:t>2002</w:t>
      </w:r>
      <w:r w:rsidR="00071C41" w:rsidRPr="00071C41">
        <w:rPr>
          <w:rFonts w:ascii="Times New Roman" w:hAnsi="Times New Roman"/>
          <w:sz w:val="24"/>
          <w:szCs w:val="24"/>
        </w:rPr>
        <w:t xml:space="preserve"> m. balandžio </w:t>
      </w:r>
      <w:r w:rsidRPr="00071C41">
        <w:rPr>
          <w:rFonts w:ascii="Times New Roman" w:hAnsi="Times New Roman"/>
          <w:sz w:val="24"/>
          <w:szCs w:val="24"/>
        </w:rPr>
        <w:t>23</w:t>
      </w:r>
      <w:r w:rsidR="00071C41" w:rsidRPr="00071C41">
        <w:rPr>
          <w:rFonts w:ascii="Times New Roman" w:hAnsi="Times New Roman"/>
          <w:sz w:val="24"/>
          <w:szCs w:val="24"/>
        </w:rPr>
        <w:t xml:space="preserve"> d.</w:t>
      </w:r>
      <w:r w:rsidRPr="00071C41">
        <w:rPr>
          <w:rFonts w:ascii="Times New Roman" w:hAnsi="Times New Roman"/>
          <w:sz w:val="24"/>
          <w:szCs w:val="24"/>
        </w:rPr>
        <w:t xml:space="preserve"> </w:t>
      </w:r>
      <w:proofErr w:type="spellStart"/>
      <w:r w:rsidR="005778BC">
        <w:rPr>
          <w:rFonts w:ascii="Times New Roman" w:hAnsi="Times New Roman"/>
          <w:sz w:val="24"/>
          <w:szCs w:val="24"/>
        </w:rPr>
        <w:t>prejudicini</w:t>
      </w:r>
      <w:r w:rsidR="00793167">
        <w:rPr>
          <w:rFonts w:ascii="Times New Roman" w:hAnsi="Times New Roman"/>
          <w:sz w:val="24"/>
          <w:szCs w:val="24"/>
        </w:rPr>
        <w:t>s</w:t>
      </w:r>
      <w:proofErr w:type="spellEnd"/>
      <w:r w:rsidRPr="00071C41">
        <w:rPr>
          <w:rFonts w:ascii="Times New Roman" w:hAnsi="Times New Roman"/>
          <w:sz w:val="24"/>
          <w:szCs w:val="24"/>
        </w:rPr>
        <w:t xml:space="preserve"> sprendim</w:t>
      </w:r>
      <w:r w:rsidR="00793167">
        <w:rPr>
          <w:rFonts w:ascii="Times New Roman" w:hAnsi="Times New Roman"/>
          <w:sz w:val="24"/>
          <w:szCs w:val="24"/>
        </w:rPr>
        <w:t>as</w:t>
      </w:r>
      <w:r w:rsidRPr="00071C41">
        <w:rPr>
          <w:rFonts w:ascii="Times New Roman" w:hAnsi="Times New Roman"/>
          <w:sz w:val="24"/>
          <w:szCs w:val="24"/>
        </w:rPr>
        <w:t xml:space="preserve"> byloje</w:t>
      </w:r>
      <w:r w:rsidR="00071C41" w:rsidRPr="00071C41">
        <w:rPr>
          <w:rFonts w:ascii="Times New Roman" w:hAnsi="Times New Roman"/>
          <w:sz w:val="24"/>
          <w:szCs w:val="24"/>
        </w:rPr>
        <w:t xml:space="preserve"> </w:t>
      </w:r>
      <w:proofErr w:type="spellStart"/>
      <w:r w:rsidR="00071C41" w:rsidRPr="00071C41">
        <w:rPr>
          <w:rFonts w:ascii="Times New Roman" w:hAnsi="Times New Roman"/>
          <w:i/>
          <w:iCs/>
          <w:sz w:val="24"/>
          <w:szCs w:val="24"/>
        </w:rPr>
        <w:t>Merck</w:t>
      </w:r>
      <w:proofErr w:type="spellEnd"/>
      <w:r w:rsidR="00071C41" w:rsidRPr="00071C41">
        <w:rPr>
          <w:rFonts w:ascii="Times New Roman" w:hAnsi="Times New Roman"/>
          <w:i/>
          <w:iCs/>
          <w:sz w:val="24"/>
          <w:szCs w:val="24"/>
        </w:rPr>
        <w:t xml:space="preserve">, Sharp &amp; </w:t>
      </w:r>
      <w:proofErr w:type="spellStart"/>
      <w:r w:rsidR="00071C41" w:rsidRPr="00071C41">
        <w:rPr>
          <w:rFonts w:ascii="Times New Roman" w:hAnsi="Times New Roman"/>
          <w:i/>
          <w:iCs/>
          <w:sz w:val="24"/>
          <w:szCs w:val="24"/>
        </w:rPr>
        <w:t>Dohme</w:t>
      </w:r>
      <w:proofErr w:type="spellEnd"/>
      <w:r w:rsidR="00071C41" w:rsidRPr="00071C41">
        <w:rPr>
          <w:rFonts w:ascii="Times New Roman" w:hAnsi="Times New Roman"/>
          <w:i/>
          <w:iCs/>
          <w:sz w:val="24"/>
          <w:szCs w:val="24"/>
        </w:rPr>
        <w:t xml:space="preserve"> </w:t>
      </w:r>
      <w:proofErr w:type="spellStart"/>
      <w:r w:rsidR="00071C41" w:rsidRPr="00071C41">
        <w:rPr>
          <w:rFonts w:ascii="Times New Roman" w:hAnsi="Times New Roman"/>
          <w:i/>
          <w:iCs/>
          <w:sz w:val="24"/>
          <w:szCs w:val="24"/>
        </w:rPr>
        <w:t>GmbH</w:t>
      </w:r>
      <w:proofErr w:type="spellEnd"/>
      <w:r w:rsidR="00071C41" w:rsidRPr="00071C41">
        <w:rPr>
          <w:rFonts w:ascii="Times New Roman" w:hAnsi="Times New Roman"/>
          <w:i/>
          <w:iCs/>
          <w:sz w:val="24"/>
          <w:szCs w:val="24"/>
        </w:rPr>
        <w:t xml:space="preserve"> prieš </w:t>
      </w:r>
      <w:proofErr w:type="spellStart"/>
      <w:r w:rsidR="00071C41" w:rsidRPr="00071C41">
        <w:rPr>
          <w:rFonts w:ascii="Times New Roman" w:hAnsi="Times New Roman"/>
          <w:i/>
          <w:iCs/>
          <w:sz w:val="24"/>
          <w:szCs w:val="24"/>
        </w:rPr>
        <w:t>Paranova</w:t>
      </w:r>
      <w:proofErr w:type="spellEnd"/>
      <w:r w:rsidR="00071C41" w:rsidRPr="00071C41">
        <w:rPr>
          <w:rFonts w:ascii="Times New Roman" w:hAnsi="Times New Roman"/>
          <w:i/>
          <w:iCs/>
          <w:sz w:val="24"/>
          <w:szCs w:val="24"/>
        </w:rPr>
        <w:t xml:space="preserve"> </w:t>
      </w:r>
      <w:proofErr w:type="spellStart"/>
      <w:r w:rsidR="00071C41" w:rsidRPr="00071C41">
        <w:rPr>
          <w:rFonts w:ascii="Times New Roman" w:hAnsi="Times New Roman"/>
          <w:i/>
          <w:iCs/>
          <w:sz w:val="24"/>
          <w:szCs w:val="24"/>
        </w:rPr>
        <w:t>Pharmazeutika</w:t>
      </w:r>
      <w:proofErr w:type="spellEnd"/>
      <w:r w:rsidR="00071C41" w:rsidRPr="00071C41">
        <w:rPr>
          <w:rFonts w:ascii="Times New Roman" w:hAnsi="Times New Roman"/>
          <w:i/>
          <w:iCs/>
          <w:sz w:val="24"/>
          <w:szCs w:val="24"/>
        </w:rPr>
        <w:t xml:space="preserve"> </w:t>
      </w:r>
      <w:proofErr w:type="spellStart"/>
      <w:r w:rsidR="00071C41" w:rsidRPr="00071C41">
        <w:rPr>
          <w:rFonts w:ascii="Times New Roman" w:hAnsi="Times New Roman"/>
          <w:i/>
          <w:iCs/>
          <w:sz w:val="24"/>
          <w:szCs w:val="24"/>
        </w:rPr>
        <w:t>Handels</w:t>
      </w:r>
      <w:proofErr w:type="spellEnd"/>
      <w:r w:rsidR="00071C41" w:rsidRPr="00071C41">
        <w:rPr>
          <w:rFonts w:ascii="Times New Roman" w:hAnsi="Times New Roman"/>
          <w:i/>
          <w:iCs/>
          <w:sz w:val="24"/>
          <w:szCs w:val="24"/>
        </w:rPr>
        <w:t xml:space="preserve"> </w:t>
      </w:r>
      <w:proofErr w:type="spellStart"/>
      <w:r w:rsidR="00071C41" w:rsidRPr="00071C41">
        <w:rPr>
          <w:rFonts w:ascii="Times New Roman" w:hAnsi="Times New Roman"/>
          <w:i/>
          <w:iCs/>
          <w:sz w:val="24"/>
          <w:szCs w:val="24"/>
        </w:rPr>
        <w:t>GmbH</w:t>
      </w:r>
      <w:proofErr w:type="spellEnd"/>
      <w:r w:rsidR="00071C41" w:rsidRPr="00071C41">
        <w:rPr>
          <w:rFonts w:ascii="Times New Roman" w:hAnsi="Times New Roman"/>
          <w:sz w:val="24"/>
          <w:szCs w:val="24"/>
        </w:rPr>
        <w:t xml:space="preserve">, </w:t>
      </w:r>
      <w:r w:rsidRPr="00071C41">
        <w:rPr>
          <w:rFonts w:ascii="Times New Roman" w:hAnsi="Times New Roman"/>
          <w:sz w:val="24"/>
          <w:szCs w:val="24"/>
        </w:rPr>
        <w:t>C-443/99</w:t>
      </w:r>
      <w:r w:rsidR="00071C41" w:rsidRPr="00071C41">
        <w:rPr>
          <w:rFonts w:ascii="Times New Roman" w:hAnsi="Times New Roman"/>
          <w:sz w:val="24"/>
          <w:szCs w:val="24"/>
        </w:rPr>
        <w:t>,</w:t>
      </w:r>
      <w:r w:rsidRPr="00071C41">
        <w:rPr>
          <w:rFonts w:ascii="Times New Roman" w:hAnsi="Times New Roman"/>
          <w:sz w:val="24"/>
          <w:szCs w:val="24"/>
        </w:rPr>
        <w:t xml:space="preserve"> 26 ir 31 punktai).</w:t>
      </w:r>
    </w:p>
    <w:p w14:paraId="5EA81F54" w14:textId="6E0472CA" w:rsidR="00AB0998" w:rsidRDefault="00AA2A29" w:rsidP="00504803">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Ieškov</w:t>
      </w:r>
      <w:r w:rsidR="00071C41">
        <w:rPr>
          <w:rFonts w:ascii="Times New Roman" w:hAnsi="Times New Roman"/>
          <w:sz w:val="24"/>
          <w:szCs w:val="24"/>
        </w:rPr>
        <w:t>ė</w:t>
      </w:r>
      <w:r>
        <w:rPr>
          <w:rFonts w:ascii="Times New Roman" w:hAnsi="Times New Roman"/>
          <w:sz w:val="24"/>
          <w:szCs w:val="24"/>
        </w:rPr>
        <w:t xml:space="preserve"> „</w:t>
      </w:r>
      <w:proofErr w:type="spellStart"/>
      <w:r>
        <w:rPr>
          <w:rFonts w:ascii="Times New Roman" w:hAnsi="Times New Roman"/>
          <w:sz w:val="24"/>
          <w:szCs w:val="24"/>
        </w:rPr>
        <w:t>Berlin-Chemie</w:t>
      </w:r>
      <w:proofErr w:type="spellEnd"/>
      <w:r>
        <w:rPr>
          <w:rFonts w:ascii="Times New Roman" w:hAnsi="Times New Roman"/>
          <w:sz w:val="24"/>
          <w:szCs w:val="24"/>
        </w:rPr>
        <w:t xml:space="preserve"> AG“ atsiliepime į kasacinį skundą prašo atsakovės kasacinį skundą atmesti</w:t>
      </w:r>
      <w:r w:rsidR="00AB0998">
        <w:rPr>
          <w:rFonts w:ascii="Times New Roman" w:hAnsi="Times New Roman"/>
          <w:sz w:val="24"/>
          <w:szCs w:val="24"/>
        </w:rPr>
        <w:t xml:space="preserve"> ir priteisti iš atsakovės bylinėjimosi išlaidų, patirtų kasaciniame teisme, atlyginimą. Atsiliepimas į kasacinį skundą grindžiamas šiais argumentais:</w:t>
      </w:r>
    </w:p>
    <w:p w14:paraId="59BA445D" w14:textId="1C09B871" w:rsidR="00E257F4" w:rsidRPr="00754963" w:rsidRDefault="00AB0998" w:rsidP="00E257F4">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334EEA">
        <w:rPr>
          <w:rFonts w:ascii="Times New Roman" w:hAnsi="Times New Roman"/>
          <w:sz w:val="24"/>
          <w:szCs w:val="24"/>
        </w:rPr>
        <w:t xml:space="preserve">Apeliacinės </w:t>
      </w:r>
      <w:r w:rsidRPr="00754963">
        <w:rPr>
          <w:rFonts w:ascii="Times New Roman" w:hAnsi="Times New Roman"/>
          <w:sz w:val="24"/>
          <w:szCs w:val="24"/>
        </w:rPr>
        <w:t>instancijos teismas laikėsi ESTT suformu</w:t>
      </w:r>
      <w:r w:rsidR="00793167" w:rsidRPr="00754963">
        <w:rPr>
          <w:rFonts w:ascii="Times New Roman" w:hAnsi="Times New Roman"/>
          <w:sz w:val="24"/>
          <w:szCs w:val="24"/>
        </w:rPr>
        <w:t>lu</w:t>
      </w:r>
      <w:r w:rsidRPr="00754963">
        <w:rPr>
          <w:rFonts w:ascii="Times New Roman" w:hAnsi="Times New Roman"/>
          <w:sz w:val="24"/>
          <w:szCs w:val="24"/>
        </w:rPr>
        <w:t>otų sąlygų ir naujos nesąžiningumo prezumpcijos nesukūrė. Todėl atsakovė nepagrįstai nurodo, kad apeliacinės instancijos teismas pažeidė proceso teisės normas ir nukrypo nuo Lietuvos Aukščiausiojo Teismo praktikos. Apeliacinės instancijos teismas vieną iš sąlygų – objektyvią būtinybę pervadinti ir perpakuoti lygiagrečiai importuojamus vaistus</w:t>
      </w:r>
      <w:r w:rsidR="00793167" w:rsidRPr="00754963">
        <w:rPr>
          <w:rFonts w:ascii="Times New Roman" w:hAnsi="Times New Roman"/>
          <w:sz w:val="24"/>
          <w:szCs w:val="24"/>
        </w:rPr>
        <w:t xml:space="preserve"> –</w:t>
      </w:r>
      <w:r w:rsidRPr="00754963">
        <w:rPr>
          <w:rFonts w:ascii="Times New Roman" w:hAnsi="Times New Roman"/>
          <w:sz w:val="24"/>
          <w:szCs w:val="24"/>
        </w:rPr>
        <w:t xml:space="preserve"> vertino laikydamasis ESTT praktikoje nustatytų tokios sąlygos vertinimo kriterijų, be kita ko, atsižvelgdamas į lygiagrečiai </w:t>
      </w:r>
      <w:r w:rsidRPr="00754963">
        <w:rPr>
          <w:rFonts w:asciiTheme="majorBidi" w:hAnsiTheme="majorBidi" w:cstheme="majorBidi"/>
          <w:sz w:val="24"/>
          <w:szCs w:val="24"/>
        </w:rPr>
        <w:t>importuojamų vaistų kainą</w:t>
      </w:r>
      <w:r w:rsidR="00504803" w:rsidRPr="00754963">
        <w:rPr>
          <w:rFonts w:asciiTheme="majorBidi" w:hAnsiTheme="majorBidi" w:cstheme="majorBidi"/>
          <w:sz w:val="24"/>
          <w:szCs w:val="24"/>
        </w:rPr>
        <w:t>.</w:t>
      </w:r>
      <w:r w:rsidR="00334EEA" w:rsidRPr="00754963">
        <w:rPr>
          <w:rFonts w:asciiTheme="majorBidi" w:hAnsiTheme="majorBidi" w:cstheme="majorBidi"/>
          <w:sz w:val="24"/>
          <w:szCs w:val="24"/>
        </w:rPr>
        <w:t xml:space="preserve"> Apeliacinės instancijos teismas įvertino byloje esančius įrodymus, patvirtinančius, jog atsakovė ginčo vaistinius preparatus Lietuvoje parduoda už tokią pat kainą kaip ir ieškov</w:t>
      </w:r>
      <w:r w:rsidR="00071C41" w:rsidRPr="00754963">
        <w:rPr>
          <w:rFonts w:asciiTheme="majorBidi" w:hAnsiTheme="majorBidi" w:cstheme="majorBidi"/>
          <w:sz w:val="24"/>
          <w:szCs w:val="24"/>
        </w:rPr>
        <w:t>ė</w:t>
      </w:r>
      <w:r w:rsidR="00334EEA" w:rsidRPr="00754963">
        <w:rPr>
          <w:rFonts w:asciiTheme="majorBidi" w:hAnsiTheme="majorBidi" w:cstheme="majorBidi"/>
          <w:sz w:val="24"/>
          <w:szCs w:val="24"/>
        </w:rPr>
        <w:t>, todėl pagrįstai konstatavo, kad atsakovė neįrodė, jog egzistuoja objektyvi būtinybė pervadinti ginčo vaistinius preparatus ir perpakuoti juos į naują pakuotę.</w:t>
      </w:r>
    </w:p>
    <w:p w14:paraId="52A23283" w14:textId="68656E71" w:rsidR="00E257F4" w:rsidRPr="00754963" w:rsidRDefault="00E257F4" w:rsidP="00E257F4">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754963">
        <w:rPr>
          <w:rFonts w:asciiTheme="majorBidi" w:hAnsiTheme="majorBidi" w:cstheme="majorBidi"/>
          <w:sz w:val="24"/>
          <w:szCs w:val="24"/>
        </w:rPr>
        <w:t xml:space="preserve">Atsakovė nepagrįstai teigia, jog apeliacinės instancijos teismas, atsižvelgdamas į atsakovės taikomą lygiagrečiai importuojamų ginčo vaistų kainą, </w:t>
      </w:r>
      <w:r w:rsidRPr="00754963">
        <w:rPr>
          <w:rFonts w:asciiTheme="majorBidi" w:hAnsiTheme="majorBidi" w:cstheme="majorBidi"/>
          <w:i/>
          <w:iCs/>
          <w:sz w:val="24"/>
          <w:szCs w:val="24"/>
        </w:rPr>
        <w:t>de facto</w:t>
      </w:r>
      <w:r w:rsidRPr="00754963">
        <w:rPr>
          <w:rFonts w:asciiTheme="majorBidi" w:hAnsiTheme="majorBidi" w:cstheme="majorBidi"/>
          <w:sz w:val="24"/>
          <w:szCs w:val="24"/>
        </w:rPr>
        <w:t xml:space="preserve"> </w:t>
      </w:r>
      <w:r w:rsidR="00071C41" w:rsidRPr="00754963">
        <w:rPr>
          <w:rFonts w:asciiTheme="majorBidi" w:hAnsiTheme="majorBidi" w:cstheme="majorBidi"/>
          <w:sz w:val="24"/>
          <w:szCs w:val="24"/>
        </w:rPr>
        <w:t xml:space="preserve">(faktiškai) </w:t>
      </w:r>
      <w:r w:rsidRPr="00754963">
        <w:rPr>
          <w:rFonts w:asciiTheme="majorBidi" w:hAnsiTheme="majorBidi" w:cstheme="majorBidi"/>
          <w:sz w:val="24"/>
          <w:szCs w:val="24"/>
        </w:rPr>
        <w:t>sukūrė šeštąją sąlygą ir taip nukrypo nuo ESTT praktikos. ESTT yra pažymėjęs, kad prekių ženklo savininko teisė prieštarauti tam, kad lygiagretus importuotojas prekiautų jo prekių ženklu pažymėtomis ir perpakuotomis prekėmis, negali būti ribojama, jei pirminio prekių ženklo pakeitimu kitu to paties savininko prekių ženklu siekiama vien ekonominės naudos, pavyzdžiui, kai ūkio subjektas nori pasinaudoti referencinio vaisto prekių ženklo reputacija arba priskirti prekę prie pelningesnių prekių kategorijos.</w:t>
      </w:r>
    </w:p>
    <w:p w14:paraId="3AD60214" w14:textId="3A1B73B8" w:rsidR="0009119A" w:rsidRPr="00754963" w:rsidRDefault="00E257F4" w:rsidP="0009119A">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754963">
        <w:rPr>
          <w:rFonts w:asciiTheme="majorBidi" w:hAnsiTheme="majorBidi" w:cstheme="majorBidi"/>
          <w:sz w:val="24"/>
          <w:szCs w:val="24"/>
        </w:rPr>
        <w:t xml:space="preserve">Priešingai nei teigia atsakovė, ESTT praktikoje vaistinio preparato kaina turi teisinę reikšmę vertinant pirmosios sąlygos (objektyvios būtinybės pervadinti lygiagrečiai importuojamus vaistus) buvimą, nes pagal formuojamą praktiką pripažįstama, kad nėra objektyvios būtinybės pervadinti lygiagrečiai importuojamus vaistus, jei tokiu pervadinimu siekiama vien ekonominės naudos, ką, be kita ko, gali parodyti lygiagrečiai importuojamų vaistų kaina. Kadangi atsakovė neįrodė, kad pacientai nesirinktų, o vaistininkai nesiūlytų nepervadinto ir neperpakuoto į naują pakuotę ginčo vaistinio preparato (net jeigu jis būtų </w:t>
      </w:r>
      <w:r w:rsidRPr="00754963">
        <w:rPr>
          <w:rFonts w:asciiTheme="majorBidi" w:hAnsiTheme="majorBidi" w:cstheme="majorBidi"/>
          <w:sz w:val="24"/>
          <w:szCs w:val="24"/>
        </w:rPr>
        <w:lastRenderedPageBreak/>
        <w:t>pigesnis už ieškov</w:t>
      </w:r>
      <w:r w:rsidR="006C7CAF" w:rsidRPr="00754963">
        <w:rPr>
          <w:rFonts w:asciiTheme="majorBidi" w:hAnsiTheme="majorBidi" w:cstheme="majorBidi"/>
          <w:sz w:val="24"/>
          <w:szCs w:val="24"/>
        </w:rPr>
        <w:t>ės</w:t>
      </w:r>
      <w:r w:rsidRPr="00754963">
        <w:rPr>
          <w:rFonts w:asciiTheme="majorBidi" w:hAnsiTheme="majorBidi" w:cstheme="majorBidi"/>
          <w:sz w:val="24"/>
          <w:szCs w:val="24"/>
        </w:rPr>
        <w:t xml:space="preserve"> parduodamą vaistinį preparatą), darytina išvada</w:t>
      </w:r>
      <w:r w:rsidR="00071C41" w:rsidRPr="00754963">
        <w:rPr>
          <w:rFonts w:asciiTheme="majorBidi" w:hAnsiTheme="majorBidi" w:cstheme="majorBidi"/>
          <w:sz w:val="24"/>
          <w:szCs w:val="24"/>
        </w:rPr>
        <w:t xml:space="preserve">, jog </w:t>
      </w:r>
      <w:r w:rsidRPr="00754963">
        <w:rPr>
          <w:rFonts w:asciiTheme="majorBidi" w:hAnsiTheme="majorBidi" w:cstheme="majorBidi"/>
          <w:sz w:val="24"/>
          <w:szCs w:val="24"/>
        </w:rPr>
        <w:t>ginčo vaistų pavadinim</w:t>
      </w:r>
      <w:r w:rsidR="00793167" w:rsidRPr="00754963">
        <w:rPr>
          <w:rFonts w:asciiTheme="majorBidi" w:hAnsiTheme="majorBidi" w:cstheme="majorBidi"/>
          <w:sz w:val="24"/>
          <w:szCs w:val="24"/>
        </w:rPr>
        <w:t>as</w:t>
      </w:r>
      <w:r w:rsidRPr="00754963">
        <w:rPr>
          <w:rFonts w:asciiTheme="majorBidi" w:hAnsiTheme="majorBidi" w:cstheme="majorBidi"/>
          <w:sz w:val="24"/>
          <w:szCs w:val="24"/>
        </w:rPr>
        <w:t xml:space="preserve"> kei</w:t>
      </w:r>
      <w:r w:rsidR="00793167" w:rsidRPr="00754963">
        <w:rPr>
          <w:rFonts w:asciiTheme="majorBidi" w:hAnsiTheme="majorBidi" w:cstheme="majorBidi"/>
          <w:sz w:val="24"/>
          <w:szCs w:val="24"/>
        </w:rPr>
        <w:t>čiamas</w:t>
      </w:r>
      <w:r w:rsidRPr="00754963">
        <w:rPr>
          <w:rFonts w:asciiTheme="majorBidi" w:hAnsiTheme="majorBidi" w:cstheme="majorBidi"/>
          <w:sz w:val="24"/>
          <w:szCs w:val="24"/>
        </w:rPr>
        <w:t xml:space="preserve"> siekiant </w:t>
      </w:r>
      <w:r w:rsidR="00DA5843" w:rsidRPr="00754963">
        <w:rPr>
          <w:rFonts w:asciiTheme="majorBidi" w:hAnsiTheme="majorBidi" w:cstheme="majorBidi"/>
          <w:sz w:val="24"/>
          <w:szCs w:val="24"/>
        </w:rPr>
        <w:t xml:space="preserve">tikslo gauti </w:t>
      </w:r>
      <w:r w:rsidRPr="00754963">
        <w:rPr>
          <w:rFonts w:asciiTheme="majorBidi" w:hAnsiTheme="majorBidi" w:cstheme="majorBidi"/>
          <w:sz w:val="24"/>
          <w:szCs w:val="24"/>
        </w:rPr>
        <w:t xml:space="preserve">išimtinai </w:t>
      </w:r>
      <w:r w:rsidR="00DA5843" w:rsidRPr="00754963">
        <w:rPr>
          <w:rFonts w:asciiTheme="majorBidi" w:hAnsiTheme="majorBidi" w:cstheme="majorBidi"/>
          <w:sz w:val="24"/>
          <w:szCs w:val="24"/>
        </w:rPr>
        <w:t xml:space="preserve">didžiausią </w:t>
      </w:r>
      <w:r w:rsidRPr="00754963">
        <w:rPr>
          <w:rFonts w:asciiTheme="majorBidi" w:hAnsiTheme="majorBidi" w:cstheme="majorBidi"/>
          <w:sz w:val="24"/>
          <w:szCs w:val="24"/>
        </w:rPr>
        <w:t>peln</w:t>
      </w:r>
      <w:r w:rsidR="00DA5843" w:rsidRPr="00754963">
        <w:rPr>
          <w:rFonts w:asciiTheme="majorBidi" w:hAnsiTheme="majorBidi" w:cstheme="majorBidi"/>
          <w:sz w:val="24"/>
          <w:szCs w:val="24"/>
        </w:rPr>
        <w:t>ą</w:t>
      </w:r>
      <w:r w:rsidRPr="00754963">
        <w:rPr>
          <w:rFonts w:asciiTheme="majorBidi" w:hAnsiTheme="majorBidi" w:cstheme="majorBidi"/>
          <w:sz w:val="24"/>
          <w:szCs w:val="24"/>
        </w:rPr>
        <w:t>.</w:t>
      </w:r>
    </w:p>
    <w:p w14:paraId="26DF3900" w14:textId="71AA38B6" w:rsidR="00E257F4" w:rsidRPr="00754963" w:rsidRDefault="00E257F4" w:rsidP="0009119A">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754963">
        <w:rPr>
          <w:rFonts w:asciiTheme="majorBidi" w:hAnsiTheme="majorBidi" w:cstheme="majorBidi"/>
          <w:sz w:val="24"/>
          <w:szCs w:val="24"/>
        </w:rPr>
        <w:t>Atsakovė taip pat nepagrįstai nurodo, kad apeliacinės instancijos teismas sukūrė naują nesąžiningumo prezumpciją, kurios nėra nei nacionaliniuose, nei Europos Sąjungos teisės aktuose ar teismų praktikoje. Remiantis ESTT praktika, lygiagrečiai importuojamo vaisto</w:t>
      </w:r>
      <w:r w:rsidR="0009119A" w:rsidRPr="00754963">
        <w:rPr>
          <w:rFonts w:asciiTheme="majorBidi" w:hAnsiTheme="majorBidi" w:cstheme="majorBidi"/>
          <w:sz w:val="24"/>
          <w:szCs w:val="24"/>
        </w:rPr>
        <w:t xml:space="preserve"> </w:t>
      </w:r>
      <w:r w:rsidRPr="00754963">
        <w:rPr>
          <w:rFonts w:asciiTheme="majorBidi" w:hAnsiTheme="majorBidi" w:cstheme="majorBidi"/>
          <w:sz w:val="24"/>
          <w:szCs w:val="24"/>
        </w:rPr>
        <w:t>perpakavimas</w:t>
      </w:r>
      <w:r w:rsidR="00071C41" w:rsidRPr="00754963">
        <w:rPr>
          <w:rFonts w:asciiTheme="majorBidi" w:hAnsiTheme="majorBidi" w:cstheme="majorBidi"/>
          <w:sz w:val="24"/>
          <w:szCs w:val="24"/>
        </w:rPr>
        <w:t xml:space="preserve"> (</w:t>
      </w:r>
      <w:r w:rsidRPr="00754963">
        <w:rPr>
          <w:rFonts w:asciiTheme="majorBidi" w:hAnsiTheme="majorBidi" w:cstheme="majorBidi"/>
          <w:sz w:val="24"/>
          <w:szCs w:val="24"/>
        </w:rPr>
        <w:t>pervadinimas</w:t>
      </w:r>
      <w:r w:rsidR="00071C41" w:rsidRPr="00754963">
        <w:rPr>
          <w:rFonts w:asciiTheme="majorBidi" w:hAnsiTheme="majorBidi" w:cstheme="majorBidi"/>
          <w:sz w:val="24"/>
          <w:szCs w:val="24"/>
        </w:rPr>
        <w:t>)</w:t>
      </w:r>
      <w:r w:rsidRPr="00754963">
        <w:rPr>
          <w:rFonts w:asciiTheme="majorBidi" w:hAnsiTheme="majorBidi" w:cstheme="majorBidi"/>
          <w:sz w:val="24"/>
          <w:szCs w:val="24"/>
        </w:rPr>
        <w:t xml:space="preserve"> yra leistinas</w:t>
      </w:r>
      <w:r w:rsidR="006C7CAF" w:rsidRPr="00754963">
        <w:rPr>
          <w:rFonts w:asciiTheme="majorBidi" w:hAnsiTheme="majorBidi" w:cstheme="majorBidi"/>
          <w:sz w:val="24"/>
          <w:szCs w:val="24"/>
        </w:rPr>
        <w:t>,</w:t>
      </w:r>
      <w:r w:rsidR="00071C41" w:rsidRPr="00754963">
        <w:rPr>
          <w:rFonts w:asciiTheme="majorBidi" w:hAnsiTheme="majorBidi" w:cstheme="majorBidi"/>
          <w:sz w:val="24"/>
          <w:szCs w:val="24"/>
        </w:rPr>
        <w:t xml:space="preserve"> </w:t>
      </w:r>
      <w:r w:rsidRPr="00754963">
        <w:rPr>
          <w:rFonts w:asciiTheme="majorBidi" w:hAnsiTheme="majorBidi" w:cstheme="majorBidi"/>
          <w:sz w:val="24"/>
          <w:szCs w:val="24"/>
        </w:rPr>
        <w:t>kai lygiagretus importuotojas įrodo visas penkias sąlygas. Taigi</w:t>
      </w:r>
      <w:r w:rsidR="00071C41" w:rsidRPr="00754963">
        <w:rPr>
          <w:rFonts w:asciiTheme="majorBidi" w:hAnsiTheme="majorBidi" w:cstheme="majorBidi"/>
          <w:sz w:val="24"/>
          <w:szCs w:val="24"/>
        </w:rPr>
        <w:t>,</w:t>
      </w:r>
      <w:r w:rsidRPr="00754963">
        <w:rPr>
          <w:rFonts w:asciiTheme="majorBidi" w:hAnsiTheme="majorBidi" w:cstheme="majorBidi"/>
          <w:sz w:val="24"/>
          <w:szCs w:val="24"/>
        </w:rPr>
        <w:t xml:space="preserve"> ESTT praktikoje nustatyta sąlygų nebuvimo prezumpcija, kurią turi paneigti lygiagretus</w:t>
      </w:r>
      <w:r w:rsidR="0009119A" w:rsidRPr="00754963">
        <w:rPr>
          <w:rFonts w:asciiTheme="majorBidi" w:hAnsiTheme="majorBidi" w:cstheme="majorBidi"/>
          <w:sz w:val="24"/>
          <w:szCs w:val="24"/>
        </w:rPr>
        <w:t xml:space="preserve"> </w:t>
      </w:r>
      <w:r w:rsidRPr="00754963">
        <w:rPr>
          <w:rFonts w:asciiTheme="majorBidi" w:hAnsiTheme="majorBidi" w:cstheme="majorBidi"/>
          <w:sz w:val="24"/>
          <w:szCs w:val="24"/>
        </w:rPr>
        <w:t>importuotojas</w:t>
      </w:r>
      <w:r w:rsidR="00071C41" w:rsidRPr="00754963">
        <w:rPr>
          <w:rFonts w:asciiTheme="majorBidi" w:hAnsiTheme="majorBidi" w:cstheme="majorBidi"/>
          <w:sz w:val="24"/>
          <w:szCs w:val="24"/>
        </w:rPr>
        <w:t>.</w:t>
      </w:r>
    </w:p>
    <w:p w14:paraId="078D6A74" w14:textId="56013122" w:rsidR="0009119A" w:rsidRPr="00754963" w:rsidRDefault="00AB0998">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754963">
        <w:rPr>
          <w:rFonts w:asciiTheme="majorBidi" w:hAnsiTheme="majorBidi" w:cstheme="majorBidi"/>
          <w:sz w:val="24"/>
          <w:szCs w:val="24"/>
        </w:rPr>
        <w:t xml:space="preserve">Atsakovė, teigdama, kad </w:t>
      </w:r>
      <w:r w:rsidR="00071C41" w:rsidRPr="00754963">
        <w:rPr>
          <w:rFonts w:asciiTheme="majorBidi" w:hAnsiTheme="majorBidi" w:cstheme="majorBidi"/>
          <w:sz w:val="24"/>
          <w:szCs w:val="24"/>
        </w:rPr>
        <w:t>apeliacinės instancijos</w:t>
      </w:r>
      <w:r w:rsidRPr="00754963">
        <w:rPr>
          <w:rFonts w:asciiTheme="majorBidi" w:hAnsiTheme="majorBidi" w:cstheme="majorBidi"/>
          <w:sz w:val="24"/>
          <w:szCs w:val="24"/>
        </w:rPr>
        <w:t xml:space="preserve"> teismas nukrypo nuo ESTT praktikos ir taip pažeidė CPK 3 straipsnio 5 dalį, iš tikrųjų kelia fakto, o ne teisės taikymo ir aiškinimo klausimus</w:t>
      </w:r>
      <w:r w:rsidR="00071C41" w:rsidRPr="00754963">
        <w:rPr>
          <w:rFonts w:asciiTheme="majorBidi" w:hAnsiTheme="majorBidi" w:cstheme="majorBidi"/>
          <w:sz w:val="24"/>
          <w:szCs w:val="24"/>
        </w:rPr>
        <w:t xml:space="preserve">. Taip atsakovė </w:t>
      </w:r>
      <w:r w:rsidRPr="00754963">
        <w:rPr>
          <w:rFonts w:asciiTheme="majorBidi" w:hAnsiTheme="majorBidi" w:cstheme="majorBidi"/>
          <w:sz w:val="24"/>
          <w:szCs w:val="24"/>
        </w:rPr>
        <w:t>siek</w:t>
      </w:r>
      <w:r w:rsidR="00071C41" w:rsidRPr="00754963">
        <w:rPr>
          <w:rFonts w:asciiTheme="majorBidi" w:hAnsiTheme="majorBidi" w:cstheme="majorBidi"/>
          <w:sz w:val="24"/>
          <w:szCs w:val="24"/>
        </w:rPr>
        <w:t>ia</w:t>
      </w:r>
      <w:r w:rsidRPr="00754963">
        <w:rPr>
          <w:rFonts w:asciiTheme="majorBidi" w:hAnsiTheme="majorBidi" w:cstheme="majorBidi"/>
          <w:sz w:val="24"/>
          <w:szCs w:val="24"/>
        </w:rPr>
        <w:t xml:space="preserve">, </w:t>
      </w:r>
      <w:r w:rsidR="00071C41" w:rsidRPr="00754963">
        <w:rPr>
          <w:rFonts w:asciiTheme="majorBidi" w:hAnsiTheme="majorBidi" w:cstheme="majorBidi"/>
          <w:sz w:val="24"/>
          <w:szCs w:val="24"/>
        </w:rPr>
        <w:t>kad</w:t>
      </w:r>
      <w:r w:rsidRPr="00754963">
        <w:rPr>
          <w:rFonts w:asciiTheme="majorBidi" w:hAnsiTheme="majorBidi" w:cstheme="majorBidi"/>
          <w:sz w:val="24"/>
          <w:szCs w:val="24"/>
        </w:rPr>
        <w:t xml:space="preserve"> byloje jos pateikti įrodymai, neva patvirtinantys pirmosios sąlygos buvimą, Lietuvos Aukščiausiojo Teismo būtų iš naujo įvertinti ir jų pagrindu būtų padaryta kita išvada (nustatyta kita faktinė aplinkybė)</w:t>
      </w:r>
      <w:r w:rsidR="00640AE6" w:rsidRPr="00754963">
        <w:rPr>
          <w:rFonts w:asciiTheme="majorBidi" w:hAnsiTheme="majorBidi" w:cstheme="majorBidi"/>
          <w:sz w:val="24"/>
          <w:szCs w:val="24"/>
        </w:rPr>
        <w:t>,</w:t>
      </w:r>
      <w:r w:rsidRPr="00754963">
        <w:rPr>
          <w:rFonts w:asciiTheme="majorBidi" w:hAnsiTheme="majorBidi" w:cstheme="majorBidi"/>
          <w:sz w:val="24"/>
          <w:szCs w:val="24"/>
        </w:rPr>
        <w:t xml:space="preserve"> nei padarė apeliacinės instancijos teismas.</w:t>
      </w:r>
      <w:r w:rsidR="00071C41" w:rsidRPr="00754963">
        <w:rPr>
          <w:rFonts w:asciiTheme="majorBidi" w:hAnsiTheme="majorBidi" w:cstheme="majorBidi"/>
          <w:sz w:val="24"/>
          <w:szCs w:val="24"/>
        </w:rPr>
        <w:t xml:space="preserve"> </w:t>
      </w:r>
      <w:r w:rsidR="0009119A" w:rsidRPr="00754963">
        <w:rPr>
          <w:rFonts w:asciiTheme="majorBidi" w:hAnsiTheme="majorBidi" w:cstheme="majorBidi"/>
          <w:sz w:val="24"/>
          <w:szCs w:val="24"/>
        </w:rPr>
        <w:t xml:space="preserve">Atsakovė, tvirtindama, kad apeliacinės instancijos teismas prie visų penkių sąlygų </w:t>
      </w:r>
      <w:r w:rsidR="0009119A" w:rsidRPr="00754963">
        <w:rPr>
          <w:rFonts w:asciiTheme="majorBidi" w:hAnsiTheme="majorBidi" w:cstheme="majorBidi"/>
          <w:i/>
          <w:iCs/>
          <w:sz w:val="24"/>
          <w:szCs w:val="24"/>
        </w:rPr>
        <w:t xml:space="preserve">de facto </w:t>
      </w:r>
      <w:r w:rsidR="00071C41" w:rsidRPr="00754963">
        <w:rPr>
          <w:rFonts w:asciiTheme="majorBidi" w:hAnsiTheme="majorBidi" w:cstheme="majorBidi"/>
          <w:sz w:val="24"/>
          <w:szCs w:val="24"/>
        </w:rPr>
        <w:t xml:space="preserve">(faktiškai) </w:t>
      </w:r>
      <w:r w:rsidR="0009119A" w:rsidRPr="00754963">
        <w:rPr>
          <w:rFonts w:asciiTheme="majorBidi" w:hAnsiTheme="majorBidi" w:cstheme="majorBidi"/>
          <w:sz w:val="24"/>
          <w:szCs w:val="24"/>
        </w:rPr>
        <w:t>sukūrė šeštąją sąlygą</w:t>
      </w:r>
      <w:r w:rsidR="00071C41" w:rsidRPr="00754963">
        <w:rPr>
          <w:rFonts w:asciiTheme="majorBidi" w:hAnsiTheme="majorBidi" w:cstheme="majorBidi"/>
          <w:sz w:val="24"/>
          <w:szCs w:val="24"/>
        </w:rPr>
        <w:t xml:space="preserve"> </w:t>
      </w:r>
      <w:r w:rsidR="0009119A" w:rsidRPr="00754963">
        <w:rPr>
          <w:rFonts w:asciiTheme="majorBidi" w:hAnsiTheme="majorBidi" w:cstheme="majorBidi"/>
          <w:sz w:val="24"/>
          <w:szCs w:val="24"/>
        </w:rPr>
        <w:t>dėl kainos</w:t>
      </w:r>
      <w:r w:rsidR="00071C41" w:rsidRPr="00754963">
        <w:rPr>
          <w:rFonts w:asciiTheme="majorBidi" w:hAnsiTheme="majorBidi" w:cstheme="majorBidi"/>
          <w:sz w:val="24"/>
          <w:szCs w:val="24"/>
        </w:rPr>
        <w:t>,</w:t>
      </w:r>
      <w:r w:rsidR="0009119A" w:rsidRPr="00754963">
        <w:rPr>
          <w:rFonts w:asciiTheme="majorBidi" w:hAnsiTheme="majorBidi" w:cstheme="majorBidi"/>
          <w:sz w:val="24"/>
          <w:szCs w:val="24"/>
        </w:rPr>
        <w:t xml:space="preserve"> siekia sukurti klaiding</w:t>
      </w:r>
      <w:r w:rsidR="00D275CD" w:rsidRPr="00754963">
        <w:rPr>
          <w:rFonts w:asciiTheme="majorBidi" w:hAnsiTheme="majorBidi" w:cstheme="majorBidi"/>
          <w:sz w:val="24"/>
          <w:szCs w:val="24"/>
        </w:rPr>
        <w:t>ą</w:t>
      </w:r>
      <w:r w:rsidR="0009119A" w:rsidRPr="00754963">
        <w:rPr>
          <w:rFonts w:asciiTheme="majorBidi" w:hAnsiTheme="majorBidi" w:cstheme="majorBidi"/>
          <w:sz w:val="24"/>
          <w:szCs w:val="24"/>
        </w:rPr>
        <w:t xml:space="preserve"> įspūdį, jog atsakovės vaistų kainos klausimas yra susijęs su teisės aiškinimu ir taikymu, nors iš tikrųjų tai yra fakto klausimas. Nustatymas, ar egzistuoja objektyvi būtinybė perpakuoti vaistus, yra fakto</w:t>
      </w:r>
      <w:r w:rsidR="0009119A" w:rsidRPr="00754963">
        <w:rPr>
          <w:rFonts w:asciiTheme="majorBidi" w:hAnsiTheme="majorBidi" w:cstheme="majorBidi"/>
          <w:b/>
          <w:bCs/>
          <w:sz w:val="24"/>
          <w:szCs w:val="24"/>
        </w:rPr>
        <w:t xml:space="preserve"> </w:t>
      </w:r>
      <w:r w:rsidR="0009119A" w:rsidRPr="00754963">
        <w:rPr>
          <w:rFonts w:asciiTheme="majorBidi" w:hAnsiTheme="majorBidi" w:cstheme="majorBidi"/>
          <w:sz w:val="24"/>
          <w:szCs w:val="24"/>
        </w:rPr>
        <w:t>klausimas.</w:t>
      </w:r>
    </w:p>
    <w:p w14:paraId="0A22D1AC" w14:textId="5D690070" w:rsidR="0009119A" w:rsidRPr="00754963" w:rsidRDefault="0009119A" w:rsidP="0009119A">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754963">
        <w:rPr>
          <w:rFonts w:asciiTheme="majorBidi" w:hAnsiTheme="majorBidi" w:cstheme="majorBidi"/>
          <w:sz w:val="24"/>
          <w:szCs w:val="24"/>
        </w:rPr>
        <w:t xml:space="preserve">Remiantis ESTT praktika, tam, kad būtų įrodyta pirmoji sąlyga – objektyvi būtinybė </w:t>
      </w:r>
      <w:r w:rsidR="006C7CAF" w:rsidRPr="00754963">
        <w:rPr>
          <w:rFonts w:asciiTheme="majorBidi" w:hAnsiTheme="majorBidi" w:cstheme="majorBidi"/>
          <w:sz w:val="24"/>
          <w:szCs w:val="24"/>
        </w:rPr>
        <w:t xml:space="preserve">pervadinti </w:t>
      </w:r>
      <w:r w:rsidRPr="00754963">
        <w:rPr>
          <w:rFonts w:asciiTheme="majorBidi" w:hAnsiTheme="majorBidi" w:cstheme="majorBidi"/>
          <w:sz w:val="24"/>
          <w:szCs w:val="24"/>
        </w:rPr>
        <w:t>lygiagrečiai importuojamus vaistus</w:t>
      </w:r>
      <w:r w:rsidR="00640AE6" w:rsidRPr="00754963">
        <w:rPr>
          <w:rFonts w:asciiTheme="majorBidi" w:hAnsiTheme="majorBidi" w:cstheme="majorBidi"/>
          <w:sz w:val="24"/>
          <w:szCs w:val="24"/>
        </w:rPr>
        <w:t>,</w:t>
      </w:r>
      <w:r w:rsidRPr="00754963">
        <w:rPr>
          <w:rFonts w:asciiTheme="majorBidi" w:hAnsiTheme="majorBidi" w:cstheme="majorBidi"/>
          <w:sz w:val="24"/>
          <w:szCs w:val="24"/>
        </w:rPr>
        <w:t xml:space="preserve"> turi būti įrodyta, jog egzistuoja arba teisinė, arba praktinė kliūtis, dėl kurios nepervadintas lygiagrečiai importuojamas vaistas negalėtų veiksmingai pateikti į rinką. Neįrodžius tokių kliūčių buvimo automatiškai preziumuojama, kad lygiagrečiai importuojamų vaistų pervadinimu siekiama tik komercinio pranašumo. Taip yra dėl to, kad lygiagretaus importuotojo komercinis pranašumas pervadinant lygiagrečiai importuojamus vaistus pasireiškia vien </w:t>
      </w:r>
      <w:r w:rsidR="00640AE6" w:rsidRPr="00754963">
        <w:rPr>
          <w:rFonts w:asciiTheme="majorBidi" w:hAnsiTheme="majorBidi" w:cstheme="majorBidi"/>
          <w:sz w:val="24"/>
          <w:szCs w:val="24"/>
        </w:rPr>
        <w:t>tuo</w:t>
      </w:r>
      <w:r w:rsidRPr="00754963">
        <w:rPr>
          <w:rFonts w:asciiTheme="majorBidi" w:hAnsiTheme="majorBidi" w:cstheme="majorBidi"/>
          <w:sz w:val="24"/>
          <w:szCs w:val="24"/>
        </w:rPr>
        <w:t xml:space="preserve">, </w:t>
      </w:r>
      <w:r w:rsidR="006C7CAF" w:rsidRPr="00754963">
        <w:rPr>
          <w:rFonts w:asciiTheme="majorBidi" w:hAnsiTheme="majorBidi" w:cstheme="majorBidi"/>
          <w:sz w:val="24"/>
          <w:szCs w:val="24"/>
        </w:rPr>
        <w:t>jog</w:t>
      </w:r>
      <w:r w:rsidRPr="00754963">
        <w:rPr>
          <w:rFonts w:asciiTheme="majorBidi" w:hAnsiTheme="majorBidi" w:cstheme="majorBidi"/>
          <w:sz w:val="24"/>
          <w:szCs w:val="24"/>
        </w:rPr>
        <w:t xml:space="preserve"> lygiagrečiam importuotojui nereikia imtis rinkodaros, pardavimo ir kitų veiksmų, kurių paprastai imamasi įvedant naują produktą į rinką, kad </w:t>
      </w:r>
      <w:r w:rsidR="00640AE6" w:rsidRPr="00754963">
        <w:rPr>
          <w:rFonts w:asciiTheme="majorBidi" w:hAnsiTheme="majorBidi" w:cstheme="majorBidi"/>
          <w:sz w:val="24"/>
          <w:szCs w:val="24"/>
        </w:rPr>
        <w:t xml:space="preserve">būtų </w:t>
      </w:r>
      <w:r w:rsidRPr="00754963">
        <w:rPr>
          <w:rFonts w:asciiTheme="majorBidi" w:hAnsiTheme="majorBidi" w:cstheme="majorBidi"/>
          <w:sz w:val="24"/>
          <w:szCs w:val="24"/>
        </w:rPr>
        <w:t>pritrauk</w:t>
      </w:r>
      <w:r w:rsidR="00640AE6" w:rsidRPr="00754963">
        <w:rPr>
          <w:rFonts w:asciiTheme="majorBidi" w:hAnsiTheme="majorBidi" w:cstheme="majorBidi"/>
          <w:sz w:val="24"/>
          <w:szCs w:val="24"/>
        </w:rPr>
        <w:t>iami</w:t>
      </w:r>
      <w:r w:rsidRPr="00754963">
        <w:rPr>
          <w:rFonts w:asciiTheme="majorBidi" w:hAnsiTheme="majorBidi" w:cstheme="majorBidi"/>
          <w:sz w:val="24"/>
          <w:szCs w:val="24"/>
        </w:rPr>
        <w:t xml:space="preserve"> importuojamu produktu suinteresuot</w:t>
      </w:r>
      <w:r w:rsidR="00640AE6" w:rsidRPr="00754963">
        <w:rPr>
          <w:rFonts w:asciiTheme="majorBidi" w:hAnsiTheme="majorBidi" w:cstheme="majorBidi"/>
          <w:sz w:val="24"/>
          <w:szCs w:val="24"/>
        </w:rPr>
        <w:t>i</w:t>
      </w:r>
      <w:r w:rsidRPr="00754963">
        <w:rPr>
          <w:rFonts w:asciiTheme="majorBidi" w:hAnsiTheme="majorBidi" w:cstheme="majorBidi"/>
          <w:sz w:val="24"/>
          <w:szCs w:val="24"/>
        </w:rPr>
        <w:t xml:space="preserve"> subjekt</w:t>
      </w:r>
      <w:r w:rsidR="00640AE6" w:rsidRPr="00754963">
        <w:rPr>
          <w:rFonts w:asciiTheme="majorBidi" w:hAnsiTheme="majorBidi" w:cstheme="majorBidi"/>
          <w:sz w:val="24"/>
          <w:szCs w:val="24"/>
        </w:rPr>
        <w:t>ai</w:t>
      </w:r>
      <w:r w:rsidRPr="00754963">
        <w:rPr>
          <w:rFonts w:asciiTheme="majorBidi" w:hAnsiTheme="majorBidi" w:cstheme="majorBidi"/>
          <w:sz w:val="24"/>
          <w:szCs w:val="24"/>
        </w:rPr>
        <w:t>.</w:t>
      </w:r>
    </w:p>
    <w:p w14:paraId="1B3B6F05" w14:textId="2C232C8E" w:rsidR="0009119A" w:rsidRPr="00754963" w:rsidRDefault="0009119A" w:rsidP="00954D49">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754963">
        <w:rPr>
          <w:rFonts w:asciiTheme="majorBidi" w:hAnsiTheme="majorBidi" w:cstheme="majorBidi"/>
          <w:sz w:val="24"/>
          <w:szCs w:val="24"/>
        </w:rPr>
        <w:t>Atsakovė nepagrįstai teigia, kad apeliacinės instancijos teismas apribojo galimybę lygiagretiems importuotojams konkuruoti kainos požiūriu.</w:t>
      </w:r>
      <w:r w:rsidR="00954D49" w:rsidRPr="00754963">
        <w:rPr>
          <w:rFonts w:asciiTheme="majorBidi" w:hAnsiTheme="majorBidi" w:cstheme="majorBidi"/>
          <w:sz w:val="24"/>
          <w:szCs w:val="24"/>
        </w:rPr>
        <w:t xml:space="preserve"> Skundžiamame sprendime kainos klausimas buvo analizuojamas tik vertinant lygiagretaus importuotojo galimybes keisti lygiagrečiai importuojamo vaisto pavadinimą be prekių ženklo savininko sutikimo. Tuo tarpu santykis tarp lygiagretaus importuotojo taikomų kainų ir analogiškų referencinių vaistų kainų lygiagrečiam importuotojui neatliekant neteisėtų prekių ženklo savininko teises pažeidžiančių veiksmų skundžiamame sprendime nebuvo analizuojamas.</w:t>
      </w:r>
    </w:p>
    <w:p w14:paraId="5CCF5675" w14:textId="1A4FDDB8" w:rsidR="00334EEA" w:rsidRPr="00954D49" w:rsidRDefault="00AB0998" w:rsidP="00334EEA">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754963">
        <w:rPr>
          <w:rFonts w:asciiTheme="majorBidi" w:hAnsiTheme="majorBidi" w:cstheme="majorBidi"/>
          <w:color w:val="000000"/>
          <w:sz w:val="24"/>
          <w:szCs w:val="24"/>
        </w:rPr>
        <w:t>Remiantis ESTT praktika, vertinant prekių ženklo savininko teisę prieštarauti vaisto pervadinimui, t.</w:t>
      </w:r>
      <w:r w:rsidR="00334EEA" w:rsidRPr="00754963">
        <w:rPr>
          <w:rFonts w:asciiTheme="majorBidi" w:hAnsiTheme="majorBidi" w:cstheme="majorBidi"/>
          <w:color w:val="000000"/>
          <w:sz w:val="24"/>
          <w:szCs w:val="24"/>
        </w:rPr>
        <w:t> </w:t>
      </w:r>
      <w:r w:rsidRPr="00754963">
        <w:rPr>
          <w:rFonts w:asciiTheme="majorBidi" w:hAnsiTheme="majorBidi" w:cstheme="majorBidi"/>
          <w:color w:val="000000"/>
          <w:sz w:val="24"/>
          <w:szCs w:val="24"/>
        </w:rPr>
        <w:t>y. vertinant, ar prieštaravimas neskaido Europos Sąjungos rinkos, t</w:t>
      </w:r>
      <w:r w:rsidR="00640AE6" w:rsidRPr="00754963">
        <w:rPr>
          <w:rFonts w:asciiTheme="majorBidi" w:hAnsiTheme="majorBidi" w:cstheme="majorBidi"/>
          <w:color w:val="000000"/>
          <w:sz w:val="24"/>
          <w:szCs w:val="24"/>
        </w:rPr>
        <w:t>u</w:t>
      </w:r>
      <w:r w:rsidRPr="00754963">
        <w:rPr>
          <w:rFonts w:asciiTheme="majorBidi" w:hAnsiTheme="majorBidi" w:cstheme="majorBidi"/>
          <w:color w:val="000000"/>
          <w:sz w:val="24"/>
          <w:szCs w:val="24"/>
        </w:rPr>
        <w:t>ri būti analizuojami objektyvūs veiksniai (objektyvi būtinybė pervadinti vaistus); tuo tarpu subjektyvūs veiksniai (priežastys, kodėl naudojami skirtingi vaistų pavadinimai tam pačiam vaistui) neturi būti vertinami.</w:t>
      </w:r>
      <w:r w:rsidR="00334EEA" w:rsidRPr="00754963">
        <w:rPr>
          <w:rFonts w:asciiTheme="majorBidi" w:hAnsiTheme="majorBidi" w:cstheme="majorBidi"/>
          <w:color w:val="000000"/>
          <w:sz w:val="24"/>
          <w:szCs w:val="24"/>
        </w:rPr>
        <w:t xml:space="preserve"> Iš apeliacinės instancijos s</w:t>
      </w:r>
      <w:r w:rsidRPr="00754963">
        <w:rPr>
          <w:rFonts w:asciiTheme="majorBidi" w:hAnsiTheme="majorBidi" w:cstheme="majorBidi"/>
          <w:color w:val="000000"/>
          <w:sz w:val="24"/>
          <w:szCs w:val="24"/>
        </w:rPr>
        <w:t>prendimo turinio matyti, kad nagrinėjamoje byloje buvo įvertintos būtent tos aplinkybės, kurios ir turėjo būti įvertintos remiantis aktualia ESTT praktika, konkrečiai</w:t>
      </w:r>
      <w:r w:rsidR="00640AE6" w:rsidRPr="00754963">
        <w:rPr>
          <w:rFonts w:asciiTheme="majorBidi" w:hAnsiTheme="majorBidi" w:cstheme="majorBidi"/>
          <w:color w:val="000000"/>
          <w:sz w:val="24"/>
          <w:szCs w:val="24"/>
        </w:rPr>
        <w:t xml:space="preserve"> –</w:t>
      </w:r>
      <w:r w:rsidRPr="00754963">
        <w:rPr>
          <w:rFonts w:asciiTheme="majorBidi" w:hAnsiTheme="majorBidi" w:cstheme="majorBidi"/>
          <w:color w:val="000000"/>
          <w:sz w:val="24"/>
          <w:szCs w:val="24"/>
        </w:rPr>
        <w:t xml:space="preserve"> ESTT sprendimu byloje </w:t>
      </w:r>
      <w:proofErr w:type="spellStart"/>
      <w:r w:rsidR="00071C41" w:rsidRPr="00754963">
        <w:rPr>
          <w:rFonts w:asciiTheme="majorBidi" w:hAnsiTheme="majorBidi" w:cstheme="majorBidi"/>
          <w:i/>
          <w:iCs/>
          <w:color w:val="000000"/>
          <w:sz w:val="24"/>
          <w:szCs w:val="24"/>
        </w:rPr>
        <w:t>Pharmacia</w:t>
      </w:r>
      <w:proofErr w:type="spellEnd"/>
      <w:r w:rsidR="00071C41" w:rsidRPr="00754963">
        <w:rPr>
          <w:rFonts w:asciiTheme="majorBidi" w:hAnsiTheme="majorBidi" w:cstheme="majorBidi"/>
          <w:i/>
          <w:iCs/>
          <w:color w:val="000000"/>
          <w:sz w:val="24"/>
          <w:szCs w:val="24"/>
        </w:rPr>
        <w:t xml:space="preserve"> &amp; </w:t>
      </w:r>
      <w:proofErr w:type="spellStart"/>
      <w:r w:rsidR="00071C41" w:rsidRPr="00754963">
        <w:rPr>
          <w:rFonts w:asciiTheme="majorBidi" w:hAnsiTheme="majorBidi" w:cstheme="majorBidi"/>
          <w:i/>
          <w:iCs/>
          <w:color w:val="000000"/>
          <w:sz w:val="24"/>
          <w:szCs w:val="24"/>
        </w:rPr>
        <w:t>Upjohn</w:t>
      </w:r>
      <w:proofErr w:type="spellEnd"/>
      <w:r w:rsidR="00071C41" w:rsidRPr="00754963">
        <w:rPr>
          <w:rFonts w:asciiTheme="majorBidi" w:hAnsiTheme="majorBidi" w:cstheme="majorBidi"/>
          <w:i/>
          <w:iCs/>
          <w:color w:val="000000"/>
          <w:sz w:val="24"/>
          <w:szCs w:val="24"/>
        </w:rPr>
        <w:t xml:space="preserve"> SA</w:t>
      </w:r>
      <w:r w:rsidR="00071C41" w:rsidRPr="00754963">
        <w:rPr>
          <w:rFonts w:asciiTheme="majorBidi" w:hAnsiTheme="majorBidi" w:cstheme="majorBidi"/>
          <w:color w:val="000000"/>
          <w:sz w:val="24"/>
          <w:szCs w:val="24"/>
        </w:rPr>
        <w:t xml:space="preserve">, </w:t>
      </w:r>
      <w:r w:rsidRPr="00754963">
        <w:rPr>
          <w:rFonts w:asciiTheme="majorBidi" w:hAnsiTheme="majorBidi" w:cstheme="majorBidi"/>
          <w:color w:val="000000"/>
          <w:sz w:val="24"/>
          <w:szCs w:val="24"/>
        </w:rPr>
        <w:t>C-379/97. Nurodytoje byloje ESTT</w:t>
      </w:r>
      <w:r w:rsidRPr="00334EEA">
        <w:rPr>
          <w:rFonts w:asciiTheme="majorBidi" w:hAnsiTheme="majorBidi" w:cstheme="majorBidi"/>
          <w:color w:val="000000"/>
          <w:sz w:val="24"/>
          <w:szCs w:val="24"/>
        </w:rPr>
        <w:t xml:space="preserve"> konstatavo, kad objektyvi būtinybė pervadinti lygiagrečiai importuojamus vaistus gali būti pateisinama arba teisinėmis, arba praktinėmis kliūtimis lygiagrečiai importuojamiems vaistams be pervadinimo patekti į Lietuvos rinką.</w:t>
      </w:r>
    </w:p>
    <w:p w14:paraId="7EB281D4" w14:textId="2997F201" w:rsidR="003335F0" w:rsidRDefault="00954D49" w:rsidP="003335F0">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954D49">
        <w:rPr>
          <w:rFonts w:asciiTheme="majorBidi" w:hAnsiTheme="majorBidi" w:cstheme="majorBidi"/>
          <w:sz w:val="24"/>
          <w:szCs w:val="24"/>
        </w:rPr>
        <w:t>ESTT praktika ne</w:t>
      </w:r>
      <w:r w:rsidR="00640AE6">
        <w:rPr>
          <w:rFonts w:asciiTheme="majorBidi" w:hAnsiTheme="majorBidi" w:cstheme="majorBidi"/>
          <w:sz w:val="24"/>
          <w:szCs w:val="24"/>
        </w:rPr>
        <w:t>įtvirtina</w:t>
      </w:r>
      <w:r w:rsidRPr="00954D49">
        <w:rPr>
          <w:rFonts w:asciiTheme="majorBidi" w:hAnsiTheme="majorBidi" w:cstheme="majorBidi"/>
          <w:sz w:val="24"/>
          <w:szCs w:val="24"/>
        </w:rPr>
        <w:t xml:space="preserve"> pareigos nustatyti aplinkybes dėl skirtingo to paties vaistinio preparato ženklinimo skirtingose valstybėse, todėl apeliacinės instancijos teismas proceso teisės normų nepažeidė ir nuo Lietuvos Aukščiausiojo Teismo praktikos nenukrypo. ESTT sprendimai ir </w:t>
      </w:r>
      <w:r w:rsidR="00640AE6">
        <w:rPr>
          <w:rFonts w:asciiTheme="majorBidi" w:hAnsiTheme="majorBidi" w:cstheme="majorBidi"/>
          <w:sz w:val="24"/>
          <w:szCs w:val="24"/>
        </w:rPr>
        <w:t>g</w:t>
      </w:r>
      <w:r w:rsidRPr="00954D49">
        <w:rPr>
          <w:rFonts w:asciiTheme="majorBidi" w:hAnsiTheme="majorBidi" w:cstheme="majorBidi"/>
          <w:sz w:val="24"/>
          <w:szCs w:val="24"/>
        </w:rPr>
        <w:t xml:space="preserve">eneralinio advokato nuomonė, kuriuos </w:t>
      </w:r>
      <w:r w:rsidR="00640AE6">
        <w:rPr>
          <w:rFonts w:asciiTheme="majorBidi" w:hAnsiTheme="majorBidi" w:cstheme="majorBidi"/>
          <w:sz w:val="24"/>
          <w:szCs w:val="24"/>
        </w:rPr>
        <w:t>nurodo</w:t>
      </w:r>
      <w:r w:rsidRPr="00954D49">
        <w:rPr>
          <w:rFonts w:asciiTheme="majorBidi" w:hAnsiTheme="majorBidi" w:cstheme="majorBidi"/>
          <w:sz w:val="24"/>
          <w:szCs w:val="24"/>
        </w:rPr>
        <w:t xml:space="preserve"> </w:t>
      </w:r>
      <w:r>
        <w:rPr>
          <w:rFonts w:asciiTheme="majorBidi" w:hAnsiTheme="majorBidi" w:cstheme="majorBidi"/>
          <w:sz w:val="24"/>
          <w:szCs w:val="24"/>
        </w:rPr>
        <w:t>a</w:t>
      </w:r>
      <w:r w:rsidRPr="00954D49">
        <w:rPr>
          <w:rFonts w:asciiTheme="majorBidi" w:hAnsiTheme="majorBidi" w:cstheme="majorBidi"/>
          <w:sz w:val="24"/>
          <w:szCs w:val="24"/>
        </w:rPr>
        <w:t>tsakov</w:t>
      </w:r>
      <w:r>
        <w:rPr>
          <w:rFonts w:asciiTheme="majorBidi" w:hAnsiTheme="majorBidi" w:cstheme="majorBidi"/>
          <w:sz w:val="24"/>
          <w:szCs w:val="24"/>
        </w:rPr>
        <w:t>ė,</w:t>
      </w:r>
      <w:r w:rsidRPr="00954D49">
        <w:rPr>
          <w:rFonts w:asciiTheme="majorBidi" w:hAnsiTheme="majorBidi" w:cstheme="majorBidi"/>
          <w:sz w:val="24"/>
          <w:szCs w:val="24"/>
        </w:rPr>
        <w:t xml:space="preserve"> teigdama, kad ESTT praktika nustato pareigą nacionaliniams teismams nustatyti aplinkybes dėl skirtingo </w:t>
      </w:r>
      <w:r w:rsidRPr="00954D49">
        <w:rPr>
          <w:rFonts w:asciiTheme="majorBidi" w:hAnsiTheme="majorBidi" w:cstheme="majorBidi"/>
          <w:sz w:val="24"/>
          <w:szCs w:val="24"/>
        </w:rPr>
        <w:lastRenderedPageBreak/>
        <w:t>to paties vaistinio preparato ženklinimo skirtingose valstybėse, buvo priimti 1977</w:t>
      </w:r>
      <w:r>
        <w:rPr>
          <w:rFonts w:asciiTheme="majorBidi" w:hAnsiTheme="majorBidi" w:cstheme="majorBidi"/>
          <w:sz w:val="24"/>
          <w:szCs w:val="24"/>
        </w:rPr>
        <w:t>–</w:t>
      </w:r>
      <w:r w:rsidRPr="00954D49">
        <w:rPr>
          <w:rFonts w:asciiTheme="majorBidi" w:hAnsiTheme="majorBidi" w:cstheme="majorBidi"/>
          <w:sz w:val="24"/>
          <w:szCs w:val="24"/>
        </w:rPr>
        <w:t xml:space="preserve">1978 m. Tačiau </w:t>
      </w:r>
      <w:r>
        <w:rPr>
          <w:rFonts w:asciiTheme="majorBidi" w:hAnsiTheme="majorBidi" w:cstheme="majorBidi"/>
          <w:sz w:val="24"/>
          <w:szCs w:val="24"/>
        </w:rPr>
        <w:t>a</w:t>
      </w:r>
      <w:r w:rsidRPr="00954D49">
        <w:rPr>
          <w:rFonts w:asciiTheme="majorBidi" w:hAnsiTheme="majorBidi" w:cstheme="majorBidi"/>
          <w:sz w:val="24"/>
          <w:szCs w:val="24"/>
        </w:rPr>
        <w:t>tsakov</w:t>
      </w:r>
      <w:r>
        <w:rPr>
          <w:rFonts w:asciiTheme="majorBidi" w:hAnsiTheme="majorBidi" w:cstheme="majorBidi"/>
          <w:sz w:val="24"/>
          <w:szCs w:val="24"/>
        </w:rPr>
        <w:t>ė</w:t>
      </w:r>
      <w:r w:rsidRPr="00954D49">
        <w:rPr>
          <w:rFonts w:asciiTheme="majorBidi" w:hAnsiTheme="majorBidi" w:cstheme="majorBidi"/>
          <w:sz w:val="24"/>
          <w:szCs w:val="24"/>
        </w:rPr>
        <w:t xml:space="preserve"> ignoruoja vėlesnę ESTT praktiką, kurioje atsakant į </w:t>
      </w:r>
      <w:proofErr w:type="spellStart"/>
      <w:r w:rsidRPr="00954D49">
        <w:rPr>
          <w:rFonts w:asciiTheme="majorBidi" w:hAnsiTheme="majorBidi" w:cstheme="majorBidi"/>
          <w:sz w:val="24"/>
          <w:szCs w:val="24"/>
        </w:rPr>
        <w:t>prejudicinį</w:t>
      </w:r>
      <w:proofErr w:type="spellEnd"/>
      <w:r w:rsidRPr="00954D49">
        <w:rPr>
          <w:rFonts w:asciiTheme="majorBidi" w:hAnsiTheme="majorBidi" w:cstheme="majorBidi"/>
          <w:sz w:val="24"/>
          <w:szCs w:val="24"/>
        </w:rPr>
        <w:t xml:space="preserve"> klausimą, susijusį būtent su </w:t>
      </w:r>
      <w:r>
        <w:rPr>
          <w:rFonts w:asciiTheme="majorBidi" w:hAnsiTheme="majorBidi" w:cstheme="majorBidi"/>
          <w:sz w:val="24"/>
          <w:szCs w:val="24"/>
        </w:rPr>
        <w:t>a</w:t>
      </w:r>
      <w:r w:rsidRPr="00954D49">
        <w:rPr>
          <w:rFonts w:asciiTheme="majorBidi" w:hAnsiTheme="majorBidi" w:cstheme="majorBidi"/>
          <w:sz w:val="24"/>
          <w:szCs w:val="24"/>
        </w:rPr>
        <w:t>tsakov</w:t>
      </w:r>
      <w:r>
        <w:rPr>
          <w:rFonts w:asciiTheme="majorBidi" w:hAnsiTheme="majorBidi" w:cstheme="majorBidi"/>
          <w:sz w:val="24"/>
          <w:szCs w:val="24"/>
        </w:rPr>
        <w:t>ės</w:t>
      </w:r>
      <w:r w:rsidRPr="00954D49">
        <w:rPr>
          <w:rFonts w:asciiTheme="majorBidi" w:hAnsiTheme="majorBidi" w:cstheme="majorBidi"/>
          <w:sz w:val="24"/>
          <w:szCs w:val="24"/>
        </w:rPr>
        <w:t xml:space="preserve"> </w:t>
      </w:r>
      <w:r>
        <w:rPr>
          <w:rFonts w:asciiTheme="majorBidi" w:hAnsiTheme="majorBidi" w:cstheme="majorBidi"/>
          <w:sz w:val="24"/>
          <w:szCs w:val="24"/>
        </w:rPr>
        <w:t>nurodomu</w:t>
      </w:r>
      <w:r w:rsidRPr="00954D49">
        <w:rPr>
          <w:rFonts w:asciiTheme="majorBidi" w:hAnsiTheme="majorBidi" w:cstheme="majorBidi"/>
          <w:sz w:val="24"/>
          <w:szCs w:val="24"/>
        </w:rPr>
        <w:t xml:space="preserve"> ESTT 1978</w:t>
      </w:r>
      <w:r>
        <w:rPr>
          <w:rFonts w:asciiTheme="majorBidi" w:hAnsiTheme="majorBidi" w:cstheme="majorBidi"/>
          <w:sz w:val="24"/>
          <w:szCs w:val="24"/>
        </w:rPr>
        <w:t xml:space="preserve"> m. spalio </w:t>
      </w:r>
      <w:r w:rsidRPr="00954D49">
        <w:rPr>
          <w:rFonts w:asciiTheme="majorBidi" w:hAnsiTheme="majorBidi" w:cstheme="majorBidi"/>
          <w:sz w:val="24"/>
          <w:szCs w:val="24"/>
        </w:rPr>
        <w:t>11</w:t>
      </w:r>
      <w:r>
        <w:rPr>
          <w:rFonts w:asciiTheme="majorBidi" w:hAnsiTheme="majorBidi" w:cstheme="majorBidi"/>
          <w:sz w:val="24"/>
          <w:szCs w:val="24"/>
        </w:rPr>
        <w:t xml:space="preserve"> d.</w:t>
      </w:r>
      <w:r w:rsidRPr="00954D49">
        <w:rPr>
          <w:rFonts w:asciiTheme="majorBidi" w:hAnsiTheme="majorBidi" w:cstheme="majorBidi"/>
          <w:sz w:val="24"/>
          <w:szCs w:val="24"/>
        </w:rPr>
        <w:t xml:space="preserve"> sprendimu byloje </w:t>
      </w:r>
      <w:proofErr w:type="spellStart"/>
      <w:r w:rsidR="00071C41" w:rsidRPr="00071C41">
        <w:rPr>
          <w:rFonts w:asciiTheme="majorBidi" w:hAnsiTheme="majorBidi" w:cstheme="majorBidi"/>
          <w:i/>
          <w:iCs/>
          <w:sz w:val="24"/>
          <w:szCs w:val="24"/>
        </w:rPr>
        <w:t>Centrafarm</w:t>
      </w:r>
      <w:proofErr w:type="spellEnd"/>
      <w:r w:rsidR="00071C41" w:rsidRPr="00071C41">
        <w:rPr>
          <w:rFonts w:asciiTheme="majorBidi" w:hAnsiTheme="majorBidi" w:cstheme="majorBidi"/>
          <w:i/>
          <w:iCs/>
          <w:sz w:val="24"/>
          <w:szCs w:val="24"/>
        </w:rPr>
        <w:t xml:space="preserve"> prieš American </w:t>
      </w:r>
      <w:proofErr w:type="spellStart"/>
      <w:r w:rsidR="00071C41" w:rsidRPr="00071C41">
        <w:rPr>
          <w:rFonts w:asciiTheme="majorBidi" w:hAnsiTheme="majorBidi" w:cstheme="majorBidi"/>
          <w:i/>
          <w:iCs/>
          <w:sz w:val="24"/>
          <w:szCs w:val="24"/>
        </w:rPr>
        <w:t>Home</w:t>
      </w:r>
      <w:proofErr w:type="spellEnd"/>
      <w:r w:rsidR="00071C41" w:rsidRPr="00071C41">
        <w:rPr>
          <w:rFonts w:asciiTheme="majorBidi" w:hAnsiTheme="majorBidi" w:cstheme="majorBidi"/>
          <w:i/>
          <w:iCs/>
          <w:sz w:val="24"/>
          <w:szCs w:val="24"/>
        </w:rPr>
        <w:t xml:space="preserve"> </w:t>
      </w:r>
      <w:proofErr w:type="spellStart"/>
      <w:r w:rsidR="00071C41" w:rsidRPr="00071C41">
        <w:rPr>
          <w:rFonts w:asciiTheme="majorBidi" w:hAnsiTheme="majorBidi" w:cstheme="majorBidi"/>
          <w:i/>
          <w:iCs/>
          <w:sz w:val="24"/>
          <w:szCs w:val="24"/>
        </w:rPr>
        <w:t>Products</w:t>
      </w:r>
      <w:proofErr w:type="spellEnd"/>
      <w:r w:rsidR="00071C41" w:rsidRPr="00071C41">
        <w:rPr>
          <w:rFonts w:asciiTheme="majorBidi" w:hAnsiTheme="majorBidi" w:cstheme="majorBidi"/>
          <w:i/>
          <w:iCs/>
          <w:sz w:val="24"/>
          <w:szCs w:val="24"/>
        </w:rPr>
        <w:t xml:space="preserve"> </w:t>
      </w:r>
      <w:proofErr w:type="spellStart"/>
      <w:r w:rsidR="00071C41" w:rsidRPr="00071C41">
        <w:rPr>
          <w:rFonts w:asciiTheme="majorBidi" w:hAnsiTheme="majorBidi" w:cstheme="majorBidi"/>
          <w:i/>
          <w:iCs/>
          <w:sz w:val="24"/>
          <w:szCs w:val="24"/>
        </w:rPr>
        <w:t>Corporation</w:t>
      </w:r>
      <w:proofErr w:type="spellEnd"/>
      <w:r w:rsidR="00071C41">
        <w:rPr>
          <w:rFonts w:asciiTheme="majorBidi" w:hAnsiTheme="majorBidi" w:cstheme="majorBidi"/>
          <w:sz w:val="24"/>
          <w:szCs w:val="24"/>
        </w:rPr>
        <w:t xml:space="preserve">, </w:t>
      </w:r>
      <w:r>
        <w:rPr>
          <w:rFonts w:asciiTheme="majorBidi" w:hAnsiTheme="majorBidi" w:cstheme="majorBidi"/>
          <w:sz w:val="24"/>
          <w:szCs w:val="24"/>
        </w:rPr>
        <w:t>C-</w:t>
      </w:r>
      <w:r w:rsidRPr="00954D49">
        <w:rPr>
          <w:rFonts w:asciiTheme="majorBidi" w:hAnsiTheme="majorBidi" w:cstheme="majorBidi"/>
          <w:sz w:val="24"/>
          <w:szCs w:val="24"/>
        </w:rPr>
        <w:t xml:space="preserve">3/78, yra išaiškinta, </w:t>
      </w:r>
      <w:r w:rsidRPr="00192A41">
        <w:rPr>
          <w:rFonts w:asciiTheme="majorBidi" w:hAnsiTheme="majorBidi" w:cstheme="majorBidi"/>
          <w:sz w:val="24"/>
          <w:szCs w:val="24"/>
        </w:rPr>
        <w:t>jog nustat</w:t>
      </w:r>
      <w:r w:rsidR="00640AE6">
        <w:rPr>
          <w:rFonts w:asciiTheme="majorBidi" w:hAnsiTheme="majorBidi" w:cstheme="majorBidi"/>
          <w:sz w:val="24"/>
          <w:szCs w:val="24"/>
        </w:rPr>
        <w:t>ydami</w:t>
      </w:r>
      <w:r w:rsidRPr="00192A41">
        <w:rPr>
          <w:rFonts w:asciiTheme="majorBidi" w:hAnsiTheme="majorBidi" w:cstheme="majorBidi"/>
          <w:sz w:val="24"/>
          <w:szCs w:val="24"/>
        </w:rPr>
        <w:t xml:space="preserve"> pirmąją sąlygą nacionaliniai teismai neprivalo nustatyti aplinkybių dėl skirtingo to paties vaistinio preparato ženklinimo skirtingose valstybėse (lot. </w:t>
      </w:r>
      <w:proofErr w:type="spellStart"/>
      <w:r w:rsidRPr="00192A41">
        <w:rPr>
          <w:rFonts w:asciiTheme="majorBidi" w:hAnsiTheme="majorBidi" w:cstheme="majorBidi"/>
          <w:i/>
          <w:iCs/>
          <w:sz w:val="24"/>
          <w:szCs w:val="24"/>
        </w:rPr>
        <w:t>lex</w:t>
      </w:r>
      <w:proofErr w:type="spellEnd"/>
      <w:r w:rsidRPr="00192A41">
        <w:rPr>
          <w:rFonts w:asciiTheme="majorBidi" w:hAnsiTheme="majorBidi" w:cstheme="majorBidi"/>
          <w:i/>
          <w:iCs/>
          <w:sz w:val="24"/>
          <w:szCs w:val="24"/>
        </w:rPr>
        <w:t xml:space="preserve"> </w:t>
      </w:r>
      <w:proofErr w:type="spellStart"/>
      <w:r w:rsidRPr="00192A41">
        <w:rPr>
          <w:rFonts w:asciiTheme="majorBidi" w:hAnsiTheme="majorBidi" w:cstheme="majorBidi"/>
          <w:i/>
          <w:iCs/>
          <w:sz w:val="24"/>
          <w:szCs w:val="24"/>
        </w:rPr>
        <w:t>posterior</w:t>
      </w:r>
      <w:proofErr w:type="spellEnd"/>
      <w:r w:rsidRPr="00192A41">
        <w:rPr>
          <w:rFonts w:asciiTheme="majorBidi" w:hAnsiTheme="majorBidi" w:cstheme="majorBidi"/>
          <w:i/>
          <w:iCs/>
          <w:sz w:val="24"/>
          <w:szCs w:val="24"/>
        </w:rPr>
        <w:t xml:space="preserve"> </w:t>
      </w:r>
      <w:proofErr w:type="spellStart"/>
      <w:r w:rsidRPr="00192A41">
        <w:rPr>
          <w:rFonts w:asciiTheme="majorBidi" w:hAnsiTheme="majorBidi" w:cstheme="majorBidi"/>
          <w:i/>
          <w:iCs/>
          <w:sz w:val="24"/>
          <w:szCs w:val="24"/>
        </w:rPr>
        <w:t>derogat</w:t>
      </w:r>
      <w:proofErr w:type="spellEnd"/>
      <w:r w:rsidRPr="00192A41">
        <w:rPr>
          <w:rFonts w:asciiTheme="majorBidi" w:hAnsiTheme="majorBidi" w:cstheme="majorBidi"/>
          <w:i/>
          <w:iCs/>
          <w:sz w:val="24"/>
          <w:szCs w:val="24"/>
        </w:rPr>
        <w:t xml:space="preserve"> </w:t>
      </w:r>
      <w:proofErr w:type="spellStart"/>
      <w:r w:rsidRPr="00192A41">
        <w:rPr>
          <w:rFonts w:asciiTheme="majorBidi" w:hAnsiTheme="majorBidi" w:cstheme="majorBidi"/>
          <w:i/>
          <w:iCs/>
          <w:sz w:val="24"/>
          <w:szCs w:val="24"/>
        </w:rPr>
        <w:t>legi</w:t>
      </w:r>
      <w:proofErr w:type="spellEnd"/>
      <w:r w:rsidRPr="00192A41">
        <w:rPr>
          <w:rFonts w:asciiTheme="majorBidi" w:hAnsiTheme="majorBidi" w:cstheme="majorBidi"/>
          <w:i/>
          <w:iCs/>
          <w:sz w:val="24"/>
          <w:szCs w:val="24"/>
        </w:rPr>
        <w:t xml:space="preserve"> </w:t>
      </w:r>
      <w:proofErr w:type="spellStart"/>
      <w:r w:rsidRPr="00192A41">
        <w:rPr>
          <w:rFonts w:asciiTheme="majorBidi" w:hAnsiTheme="majorBidi" w:cstheme="majorBidi"/>
          <w:i/>
          <w:iCs/>
          <w:sz w:val="24"/>
          <w:szCs w:val="24"/>
        </w:rPr>
        <w:t>priori</w:t>
      </w:r>
      <w:proofErr w:type="spellEnd"/>
      <w:r w:rsidRPr="00192A41">
        <w:rPr>
          <w:rFonts w:asciiTheme="majorBidi" w:hAnsiTheme="majorBidi" w:cstheme="majorBidi"/>
          <w:sz w:val="24"/>
          <w:szCs w:val="24"/>
        </w:rPr>
        <w:t>).</w:t>
      </w:r>
    </w:p>
    <w:p w14:paraId="11E4BA83" w14:textId="765652BD" w:rsidR="003335F0" w:rsidRDefault="003335F0" w:rsidP="003335F0">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3335F0">
        <w:rPr>
          <w:rFonts w:asciiTheme="majorBidi" w:hAnsiTheme="majorBidi" w:cstheme="majorBidi"/>
          <w:sz w:val="24"/>
          <w:szCs w:val="24"/>
        </w:rPr>
        <w:t xml:space="preserve">Pagal ESTT praktiką, siekis dirbtinai skaidyti rinką negali būti preziumuojamas prekių ženklo savininko teisių pažeidimo atvejais, kaip nagrinėjamu atveju, kai lygiagretus importuotojas pakeičia ketinamo lygiagrečiai importuoti vaisto pavadinimą ir sukuria naują pakuotę, tačiau neįrodo objektyvios šių veiksmų </w:t>
      </w:r>
      <w:r w:rsidRPr="00192A41">
        <w:rPr>
          <w:rFonts w:asciiTheme="majorBidi" w:hAnsiTheme="majorBidi" w:cstheme="majorBidi"/>
          <w:sz w:val="24"/>
          <w:szCs w:val="24"/>
        </w:rPr>
        <w:t>būtinybės. Tik nustačius objektyvių priežasčių pervadinti vaistą buvimą konstatuojama, jog prekių ženklo savininko prieštaravimas vaistų pervadinimui gali būti požymi</w:t>
      </w:r>
      <w:r w:rsidR="00640AE6">
        <w:rPr>
          <w:rFonts w:asciiTheme="majorBidi" w:hAnsiTheme="majorBidi" w:cstheme="majorBidi"/>
          <w:sz w:val="24"/>
          <w:szCs w:val="24"/>
        </w:rPr>
        <w:t>s</w:t>
      </w:r>
      <w:r w:rsidRPr="00192A41">
        <w:rPr>
          <w:rFonts w:asciiTheme="majorBidi" w:hAnsiTheme="majorBidi" w:cstheme="majorBidi"/>
          <w:sz w:val="24"/>
          <w:szCs w:val="24"/>
        </w:rPr>
        <w:t>, kad prekių ženklo savininkas siekia dirbtinai skaidyti rinką. Tuo tarpu faktas, kad vaisto gamintojas naudoja skirtingus pavadinimus tam pačiam vaistui skirtingose Europos Sąjungos valstybėse narėse, jokios teisinės reikšmės tokio pobūdžio bylose neturi.</w:t>
      </w:r>
    </w:p>
    <w:p w14:paraId="45ED11B6" w14:textId="4160A37B" w:rsidR="003A5221" w:rsidRDefault="003335F0" w:rsidP="003A5221">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3335F0">
        <w:rPr>
          <w:rFonts w:asciiTheme="majorBidi" w:hAnsiTheme="majorBidi" w:cstheme="majorBidi"/>
          <w:sz w:val="24"/>
          <w:szCs w:val="24"/>
        </w:rPr>
        <w:t>Be to, skirtingi pavadinimai Vengrijoje ir Lietuvoje buvo pradėti naudoti 1990–1993 m., kai nei Lietuva, nei Vengrija nebuvo ES šalys (jos Europos Sąjungos šalimis tapo tik 2004 m.) ir ieškov</w:t>
      </w:r>
      <w:r w:rsidR="00071C41">
        <w:rPr>
          <w:rFonts w:asciiTheme="majorBidi" w:hAnsiTheme="majorBidi" w:cstheme="majorBidi"/>
          <w:sz w:val="24"/>
          <w:szCs w:val="24"/>
        </w:rPr>
        <w:t>ė</w:t>
      </w:r>
      <w:r w:rsidRPr="003335F0">
        <w:rPr>
          <w:rFonts w:asciiTheme="majorBidi" w:hAnsiTheme="majorBidi" w:cstheme="majorBidi"/>
          <w:sz w:val="24"/>
          <w:szCs w:val="24"/>
        </w:rPr>
        <w:t xml:space="preserve"> net teoriškai negalėjo turėti atsakovės dirbtinai iškelto tikslo skaidyti Europos Sąjungos rinką. Atsakov</w:t>
      </w:r>
      <w:r>
        <w:rPr>
          <w:rFonts w:asciiTheme="majorBidi" w:hAnsiTheme="majorBidi" w:cstheme="majorBidi"/>
          <w:sz w:val="24"/>
          <w:szCs w:val="24"/>
        </w:rPr>
        <w:t>ės</w:t>
      </w:r>
      <w:r w:rsidRPr="003335F0">
        <w:rPr>
          <w:rFonts w:asciiTheme="majorBidi" w:hAnsiTheme="majorBidi" w:cstheme="majorBidi"/>
          <w:sz w:val="24"/>
          <w:szCs w:val="24"/>
        </w:rPr>
        <w:t xml:space="preserve"> nuomonė apie tariamą </w:t>
      </w:r>
      <w:r>
        <w:rPr>
          <w:rFonts w:asciiTheme="majorBidi" w:hAnsiTheme="majorBidi" w:cstheme="majorBidi"/>
          <w:sz w:val="24"/>
          <w:szCs w:val="24"/>
        </w:rPr>
        <w:t>i</w:t>
      </w:r>
      <w:r w:rsidRPr="003335F0">
        <w:rPr>
          <w:rFonts w:asciiTheme="majorBidi" w:hAnsiTheme="majorBidi" w:cstheme="majorBidi"/>
          <w:sz w:val="24"/>
          <w:szCs w:val="24"/>
        </w:rPr>
        <w:t>eškov</w:t>
      </w:r>
      <w:r w:rsidR="00071C41">
        <w:rPr>
          <w:rFonts w:asciiTheme="majorBidi" w:hAnsiTheme="majorBidi" w:cstheme="majorBidi"/>
          <w:sz w:val="24"/>
          <w:szCs w:val="24"/>
        </w:rPr>
        <w:t>ės</w:t>
      </w:r>
      <w:r w:rsidRPr="003335F0">
        <w:rPr>
          <w:rFonts w:asciiTheme="majorBidi" w:hAnsiTheme="majorBidi" w:cstheme="majorBidi"/>
          <w:sz w:val="24"/>
          <w:szCs w:val="24"/>
        </w:rPr>
        <w:t xml:space="preserve"> nesąžiningumą ir siekį skaidyti rinką remiantis aplinkybe, jog </w:t>
      </w:r>
      <w:r>
        <w:rPr>
          <w:rFonts w:asciiTheme="majorBidi" w:hAnsiTheme="majorBidi" w:cstheme="majorBidi"/>
          <w:sz w:val="24"/>
          <w:szCs w:val="24"/>
        </w:rPr>
        <w:t>i</w:t>
      </w:r>
      <w:r w:rsidRPr="003335F0">
        <w:rPr>
          <w:rFonts w:asciiTheme="majorBidi" w:hAnsiTheme="majorBidi" w:cstheme="majorBidi"/>
          <w:sz w:val="24"/>
          <w:szCs w:val="24"/>
        </w:rPr>
        <w:t>eškov</w:t>
      </w:r>
      <w:r w:rsidR="00071C41">
        <w:rPr>
          <w:rFonts w:asciiTheme="majorBidi" w:hAnsiTheme="majorBidi" w:cstheme="majorBidi"/>
          <w:sz w:val="24"/>
          <w:szCs w:val="24"/>
        </w:rPr>
        <w:t>ė</w:t>
      </w:r>
      <w:r w:rsidRPr="003335F0">
        <w:rPr>
          <w:rFonts w:asciiTheme="majorBidi" w:hAnsiTheme="majorBidi" w:cstheme="majorBidi"/>
          <w:sz w:val="24"/>
          <w:szCs w:val="24"/>
        </w:rPr>
        <w:t xml:space="preserve"> šalia prieš daug metų Lietuvoje įregistruoto prekių ženklo „</w:t>
      </w:r>
      <w:proofErr w:type="spellStart"/>
      <w:r w:rsidRPr="003335F0">
        <w:rPr>
          <w:rFonts w:asciiTheme="majorBidi" w:hAnsiTheme="majorBidi" w:cstheme="majorBidi"/>
          <w:sz w:val="24"/>
          <w:szCs w:val="24"/>
        </w:rPr>
        <w:t>Letrox</w:t>
      </w:r>
      <w:proofErr w:type="spellEnd"/>
      <w:r w:rsidRPr="003335F0">
        <w:rPr>
          <w:rFonts w:asciiTheme="majorBidi" w:hAnsiTheme="majorBidi" w:cstheme="majorBidi"/>
          <w:sz w:val="24"/>
          <w:szCs w:val="24"/>
        </w:rPr>
        <w:t xml:space="preserve">“ įregistravo prekių ženklą „LETROX“, yra teisiškai nereikšminga ir paminėta tik </w:t>
      </w:r>
      <w:r w:rsidR="00BC25A9">
        <w:rPr>
          <w:rFonts w:asciiTheme="majorBidi" w:hAnsiTheme="majorBidi" w:cstheme="majorBidi"/>
          <w:sz w:val="24"/>
          <w:szCs w:val="24"/>
        </w:rPr>
        <w:t>turint</w:t>
      </w:r>
      <w:r w:rsidRPr="003335F0">
        <w:rPr>
          <w:rFonts w:asciiTheme="majorBidi" w:hAnsiTheme="majorBidi" w:cstheme="majorBidi"/>
          <w:sz w:val="24"/>
          <w:szCs w:val="24"/>
        </w:rPr>
        <w:t xml:space="preserve"> tiksl</w:t>
      </w:r>
      <w:r w:rsidR="00BC25A9">
        <w:rPr>
          <w:rFonts w:asciiTheme="majorBidi" w:hAnsiTheme="majorBidi" w:cstheme="majorBidi"/>
          <w:sz w:val="24"/>
          <w:szCs w:val="24"/>
        </w:rPr>
        <w:t>ą</w:t>
      </w:r>
      <w:r w:rsidRPr="003335F0">
        <w:rPr>
          <w:rFonts w:asciiTheme="majorBidi" w:hAnsiTheme="majorBidi" w:cstheme="majorBidi"/>
          <w:sz w:val="24"/>
          <w:szCs w:val="24"/>
        </w:rPr>
        <w:t xml:space="preserve"> diskredituoti </w:t>
      </w:r>
      <w:r>
        <w:rPr>
          <w:rFonts w:asciiTheme="majorBidi" w:hAnsiTheme="majorBidi" w:cstheme="majorBidi"/>
          <w:sz w:val="24"/>
          <w:szCs w:val="24"/>
        </w:rPr>
        <w:t>i</w:t>
      </w:r>
      <w:r w:rsidRPr="003335F0">
        <w:rPr>
          <w:rFonts w:asciiTheme="majorBidi" w:hAnsiTheme="majorBidi" w:cstheme="majorBidi"/>
          <w:sz w:val="24"/>
          <w:szCs w:val="24"/>
        </w:rPr>
        <w:t>eškov</w:t>
      </w:r>
      <w:r w:rsidR="00071C41">
        <w:rPr>
          <w:rFonts w:asciiTheme="majorBidi" w:hAnsiTheme="majorBidi" w:cstheme="majorBidi"/>
          <w:sz w:val="24"/>
          <w:szCs w:val="24"/>
        </w:rPr>
        <w:t>ę</w:t>
      </w:r>
      <w:r>
        <w:rPr>
          <w:rFonts w:asciiTheme="majorBidi" w:hAnsiTheme="majorBidi" w:cstheme="majorBidi"/>
          <w:sz w:val="24"/>
          <w:szCs w:val="24"/>
        </w:rPr>
        <w:t>.</w:t>
      </w:r>
    </w:p>
    <w:p w14:paraId="7311C963" w14:textId="7FB3667D" w:rsidR="003A5221" w:rsidRDefault="003A5221" w:rsidP="003A5221">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3A5221">
        <w:rPr>
          <w:rFonts w:asciiTheme="majorBidi" w:hAnsiTheme="majorBidi" w:cstheme="majorBidi"/>
          <w:sz w:val="24"/>
          <w:szCs w:val="24"/>
        </w:rPr>
        <w:t>Atsakov</w:t>
      </w:r>
      <w:r w:rsidR="002E0EB2">
        <w:rPr>
          <w:rFonts w:asciiTheme="majorBidi" w:hAnsiTheme="majorBidi" w:cstheme="majorBidi"/>
          <w:sz w:val="24"/>
          <w:szCs w:val="24"/>
        </w:rPr>
        <w:t>ės</w:t>
      </w:r>
      <w:r w:rsidRPr="003A5221">
        <w:rPr>
          <w:rFonts w:asciiTheme="majorBidi" w:hAnsiTheme="majorBidi" w:cstheme="majorBidi"/>
          <w:sz w:val="24"/>
          <w:szCs w:val="24"/>
        </w:rPr>
        <w:t xml:space="preserve"> </w:t>
      </w:r>
      <w:r w:rsidRPr="00192A41">
        <w:rPr>
          <w:rFonts w:asciiTheme="majorBidi" w:hAnsiTheme="majorBidi" w:cstheme="majorBidi"/>
          <w:sz w:val="24"/>
          <w:szCs w:val="24"/>
        </w:rPr>
        <w:t>teiginiai apie ieškov</w:t>
      </w:r>
      <w:r w:rsidR="00B17A5F" w:rsidRPr="00192A41">
        <w:rPr>
          <w:rFonts w:asciiTheme="majorBidi" w:hAnsiTheme="majorBidi" w:cstheme="majorBidi"/>
          <w:sz w:val="24"/>
          <w:szCs w:val="24"/>
        </w:rPr>
        <w:t>ės</w:t>
      </w:r>
      <w:r w:rsidRPr="00192A41">
        <w:rPr>
          <w:rFonts w:asciiTheme="majorBidi" w:hAnsiTheme="majorBidi" w:cstheme="majorBidi"/>
          <w:sz w:val="24"/>
          <w:szCs w:val="24"/>
        </w:rPr>
        <w:t xml:space="preserve"> tariamą dirbtinį rinkos skaidymą dėl </w:t>
      </w:r>
      <w:r w:rsidR="00B17A5F" w:rsidRPr="00192A41">
        <w:rPr>
          <w:rFonts w:asciiTheme="majorBidi" w:hAnsiTheme="majorBidi" w:cstheme="majorBidi"/>
          <w:sz w:val="24"/>
          <w:szCs w:val="24"/>
        </w:rPr>
        <w:t>jos</w:t>
      </w:r>
      <w:r w:rsidRPr="00192A41">
        <w:rPr>
          <w:rFonts w:asciiTheme="majorBidi" w:hAnsiTheme="majorBidi" w:cstheme="majorBidi"/>
          <w:sz w:val="24"/>
          <w:szCs w:val="24"/>
        </w:rPr>
        <w:t xml:space="preserve"> taikomos skirtingos kainodaros tapatiems vaistams skirtingose ES valstybėse narėse yra teisiškai nereikšming</w:t>
      </w:r>
      <w:r w:rsidR="00071C41" w:rsidRPr="00192A41">
        <w:rPr>
          <w:rFonts w:asciiTheme="majorBidi" w:hAnsiTheme="majorBidi" w:cstheme="majorBidi"/>
          <w:sz w:val="24"/>
          <w:szCs w:val="24"/>
        </w:rPr>
        <w:t>i</w:t>
      </w:r>
      <w:r w:rsidRPr="00192A41">
        <w:rPr>
          <w:rFonts w:asciiTheme="majorBidi" w:hAnsiTheme="majorBidi" w:cstheme="majorBidi"/>
          <w:sz w:val="24"/>
          <w:szCs w:val="24"/>
        </w:rPr>
        <w:t>, nes: i) tai nėra aplinkybė, kuri turi reikšmės vertinant siekį dirbtinai skaidyti rinką bylose dėl prekių ženklo savininko teisių pažeidimo lygiagrečiam importuotojui keičiant importuojamo vaisto pavadinimą (prekių ženklą); ii) kainų skirtumai tarp valstybių narių yra d</w:t>
      </w:r>
      <w:r w:rsidR="002E0EB2">
        <w:rPr>
          <w:rFonts w:asciiTheme="majorBidi" w:hAnsiTheme="majorBidi" w:cstheme="majorBidi"/>
          <w:sz w:val="24"/>
          <w:szCs w:val="24"/>
        </w:rPr>
        <w:t>augiausia</w:t>
      </w:r>
      <w:r w:rsidRPr="00192A41">
        <w:rPr>
          <w:rFonts w:asciiTheme="majorBidi" w:hAnsiTheme="majorBidi" w:cstheme="majorBidi"/>
          <w:sz w:val="24"/>
          <w:szCs w:val="24"/>
        </w:rPr>
        <w:t xml:space="preserve"> nulemti specifinio farmacijos sektoriaus reguliavimo. Lygiagretus importas būtent ir egzistuoja dėl skirtingų kainų tam pačiam vaistui skirtingose Europos Sąjungos valstybėse narėse buvimo. Kitu atveju importuotojai neturėtų prasmės lygiagrečiai importuoti vaistus.</w:t>
      </w:r>
    </w:p>
    <w:p w14:paraId="53527689" w14:textId="6778ACE7" w:rsidR="003A5221" w:rsidRPr="003A5221" w:rsidRDefault="003A5221" w:rsidP="003A5221">
      <w:pPr>
        <w:pStyle w:val="ListParagraph"/>
        <w:numPr>
          <w:ilvl w:val="1"/>
          <w:numId w:val="1"/>
        </w:numPr>
        <w:shd w:val="clear" w:color="auto" w:fill="FFFFFF"/>
        <w:spacing w:after="120" w:line="240" w:lineRule="auto"/>
        <w:ind w:hanging="650"/>
        <w:contextualSpacing w:val="0"/>
        <w:jc w:val="both"/>
        <w:rPr>
          <w:rFonts w:asciiTheme="majorBidi" w:hAnsiTheme="majorBidi" w:cstheme="majorBidi"/>
          <w:sz w:val="24"/>
          <w:szCs w:val="24"/>
        </w:rPr>
      </w:pPr>
      <w:r w:rsidRPr="003A5221">
        <w:rPr>
          <w:rFonts w:asciiTheme="majorBidi" w:hAnsiTheme="majorBidi" w:cstheme="majorBidi"/>
          <w:sz w:val="24"/>
          <w:szCs w:val="24"/>
        </w:rPr>
        <w:t xml:space="preserve">Aplinkybė, kad </w:t>
      </w:r>
      <w:r w:rsidRPr="00192A41">
        <w:rPr>
          <w:rFonts w:asciiTheme="majorBidi" w:hAnsiTheme="majorBidi" w:cstheme="majorBidi"/>
          <w:sz w:val="24"/>
          <w:szCs w:val="24"/>
        </w:rPr>
        <w:t xml:space="preserve">apeliacinės instancijos teismas, aiškindamas sąlygą dėl dirbtinio rinkos skaidymo (pirmosios sąlygos), vadovavosi neaktualia ESTT praktika, kurios </w:t>
      </w:r>
      <w:proofErr w:type="spellStart"/>
      <w:r w:rsidRPr="00192A41">
        <w:rPr>
          <w:rFonts w:asciiTheme="majorBidi" w:hAnsiTheme="majorBidi" w:cstheme="majorBidi"/>
          <w:i/>
          <w:iCs/>
          <w:sz w:val="24"/>
          <w:szCs w:val="24"/>
        </w:rPr>
        <w:t>ratio</w:t>
      </w:r>
      <w:proofErr w:type="spellEnd"/>
      <w:r w:rsidRPr="00192A41">
        <w:rPr>
          <w:rFonts w:asciiTheme="majorBidi" w:hAnsiTheme="majorBidi" w:cstheme="majorBidi"/>
          <w:i/>
          <w:iCs/>
          <w:sz w:val="24"/>
          <w:szCs w:val="24"/>
        </w:rPr>
        <w:t xml:space="preserve"> </w:t>
      </w:r>
      <w:proofErr w:type="spellStart"/>
      <w:r w:rsidRPr="00192A41">
        <w:rPr>
          <w:rFonts w:asciiTheme="majorBidi" w:hAnsiTheme="majorBidi" w:cstheme="majorBidi"/>
          <w:i/>
          <w:iCs/>
          <w:sz w:val="24"/>
          <w:szCs w:val="24"/>
        </w:rPr>
        <w:t>decidendi</w:t>
      </w:r>
      <w:proofErr w:type="spellEnd"/>
      <w:r w:rsidRPr="00192A41">
        <w:rPr>
          <w:rFonts w:asciiTheme="majorBidi" w:hAnsiTheme="majorBidi" w:cstheme="majorBidi"/>
          <w:sz w:val="24"/>
          <w:szCs w:val="24"/>
        </w:rPr>
        <w:t xml:space="preserve"> nesutampa su nagrinėjama byla, yra teisiškai nereikšminga, nes ji neturėjo esminės reikšmės skundžiamo sprendimo teisėtumui ir pagrįstumui.</w:t>
      </w:r>
      <w:r w:rsidRPr="003A5221">
        <w:rPr>
          <w:rFonts w:asciiTheme="majorBidi" w:hAnsiTheme="majorBidi" w:cstheme="majorBidi"/>
          <w:sz w:val="24"/>
          <w:szCs w:val="24"/>
        </w:rPr>
        <w:t xml:space="preserve"> Apeliacinės instancijos teismas vertino, ar egzistuoja teisinės kliūtys lygiagrečiai importuojamiems ginčo vaistams be pervadinimo bei perpakavimo į naują pakuotę patekti į Lietuvos rinką</w:t>
      </w:r>
      <w:r w:rsidR="00E6290A">
        <w:rPr>
          <w:rFonts w:asciiTheme="majorBidi" w:hAnsiTheme="majorBidi" w:cstheme="majorBidi"/>
          <w:sz w:val="24"/>
          <w:szCs w:val="24"/>
        </w:rPr>
        <w:t>,</w:t>
      </w:r>
      <w:r w:rsidRPr="003A5221">
        <w:rPr>
          <w:rFonts w:asciiTheme="majorBidi" w:hAnsiTheme="majorBidi" w:cstheme="majorBidi"/>
          <w:sz w:val="24"/>
          <w:szCs w:val="24"/>
        </w:rPr>
        <w:t xml:space="preserve"> </w:t>
      </w:r>
      <w:r w:rsidR="00E6290A">
        <w:rPr>
          <w:rFonts w:asciiTheme="majorBidi" w:hAnsiTheme="majorBidi" w:cstheme="majorBidi"/>
          <w:sz w:val="24"/>
          <w:szCs w:val="24"/>
        </w:rPr>
        <w:t>i</w:t>
      </w:r>
      <w:r w:rsidRPr="003A5221">
        <w:rPr>
          <w:rFonts w:asciiTheme="majorBidi" w:hAnsiTheme="majorBidi" w:cstheme="majorBidi"/>
          <w:sz w:val="24"/>
          <w:szCs w:val="24"/>
        </w:rPr>
        <w:t>r konstatavo, kad jų nėra. Taip pat teismas vertino, ar egzistuoja praktinės kliūtys lygiagrečiai importuojamiems ginčo vaistams be pervadinimo bei perpakavimo į naują pakuotę patekti į Lietuvos rinką</w:t>
      </w:r>
      <w:r w:rsidR="00E6290A">
        <w:rPr>
          <w:rFonts w:asciiTheme="majorBidi" w:hAnsiTheme="majorBidi" w:cstheme="majorBidi"/>
          <w:sz w:val="24"/>
          <w:szCs w:val="24"/>
        </w:rPr>
        <w:t>,</w:t>
      </w:r>
      <w:r w:rsidR="00B17A5F">
        <w:rPr>
          <w:rFonts w:asciiTheme="majorBidi" w:hAnsiTheme="majorBidi" w:cstheme="majorBidi"/>
          <w:sz w:val="24"/>
          <w:szCs w:val="24"/>
        </w:rPr>
        <w:t xml:space="preserve"> i</w:t>
      </w:r>
      <w:r w:rsidRPr="003A5221">
        <w:rPr>
          <w:rFonts w:asciiTheme="majorBidi" w:hAnsiTheme="majorBidi" w:cstheme="majorBidi"/>
          <w:sz w:val="24"/>
          <w:szCs w:val="24"/>
        </w:rPr>
        <w:t xml:space="preserve">r konstatavo, kad jų taip pat nėra. Tokį vertinimą apeliacinės instancijos teismas atliko </w:t>
      </w:r>
      <w:r w:rsidR="00E6290A">
        <w:rPr>
          <w:rFonts w:asciiTheme="majorBidi" w:hAnsiTheme="majorBidi" w:cstheme="majorBidi"/>
          <w:sz w:val="24"/>
          <w:szCs w:val="24"/>
        </w:rPr>
        <w:t>aiškindamasis</w:t>
      </w:r>
      <w:r w:rsidRPr="003A5221">
        <w:rPr>
          <w:rFonts w:asciiTheme="majorBidi" w:hAnsiTheme="majorBidi" w:cstheme="majorBidi"/>
          <w:sz w:val="24"/>
          <w:szCs w:val="24"/>
        </w:rPr>
        <w:t xml:space="preserve">, ar egzistuoja galimybė ginčo vaistiniams preparatams patekti į ribotą Lietuvos rinkos dalį. Tačiau tai nepaneigia fakto, </w:t>
      </w:r>
      <w:r>
        <w:rPr>
          <w:rFonts w:asciiTheme="majorBidi" w:hAnsiTheme="majorBidi" w:cstheme="majorBidi"/>
          <w:sz w:val="24"/>
          <w:szCs w:val="24"/>
        </w:rPr>
        <w:t>kad</w:t>
      </w:r>
      <w:r w:rsidRPr="003A5221">
        <w:rPr>
          <w:rFonts w:asciiTheme="majorBidi" w:hAnsiTheme="majorBidi" w:cstheme="majorBidi"/>
          <w:sz w:val="24"/>
          <w:szCs w:val="24"/>
        </w:rPr>
        <w:t xml:space="preserve"> buvo įvertintos būtent tos aplinkybės, kurios ir turėjo būti įvertintos remiantis bylai aktualia ESTT praktika</w:t>
      </w:r>
      <w:r w:rsidR="00B17A5F">
        <w:rPr>
          <w:rFonts w:asciiTheme="majorBidi" w:hAnsiTheme="majorBidi" w:cstheme="majorBidi"/>
          <w:sz w:val="24"/>
          <w:szCs w:val="24"/>
        </w:rPr>
        <w:t>.</w:t>
      </w:r>
    </w:p>
    <w:p w14:paraId="6AFE9E8B" w14:textId="109FDB8F" w:rsidR="00334EEA" w:rsidRPr="0094538E" w:rsidRDefault="00334EEA" w:rsidP="0094538E">
      <w:pPr>
        <w:pStyle w:val="ListParagraph"/>
        <w:numPr>
          <w:ilvl w:val="1"/>
          <w:numId w:val="1"/>
        </w:numPr>
        <w:shd w:val="clear" w:color="auto" w:fill="FFFFFF"/>
        <w:autoSpaceDE w:val="0"/>
        <w:autoSpaceDN w:val="0"/>
        <w:adjustRightInd w:val="0"/>
        <w:spacing w:after="120" w:line="240" w:lineRule="auto"/>
        <w:ind w:hanging="650"/>
        <w:contextualSpacing w:val="0"/>
        <w:jc w:val="both"/>
        <w:rPr>
          <w:rFonts w:asciiTheme="majorBidi" w:hAnsiTheme="majorBidi" w:cstheme="majorBidi"/>
          <w:color w:val="000000"/>
          <w:sz w:val="24"/>
          <w:szCs w:val="24"/>
        </w:rPr>
      </w:pPr>
      <w:r w:rsidRPr="00334EEA">
        <w:rPr>
          <w:rFonts w:asciiTheme="majorBidi" w:hAnsiTheme="majorBidi" w:cstheme="majorBidi"/>
          <w:color w:val="000000"/>
          <w:sz w:val="24"/>
          <w:szCs w:val="24"/>
        </w:rPr>
        <w:t>Vien tai, kad apeliacinės instancijos teismas sprendime nepasisakė dėl atsakovės kasaciniame skunde nurodytų įrodymų, nereiškia, kad apeliacinės instancijos teismas jų apskritai nevertino, nes sprendime nebūtina pasisakyti dėl kiekvieno įrodymo. Aplinkybė, jog apeliacinės instancijos teismo sprendimas yra nepalankus atsakovei, nereiškia, jog sprendimas priimtas neįvertinus įrodymų visumos. Apeliacinės instancijos teismas tinkamai įvertino faktinių aplinkybių ir įrodymų visumą. Atsakovė</w:t>
      </w:r>
      <w:r w:rsidR="00E6290A">
        <w:rPr>
          <w:rFonts w:asciiTheme="majorBidi" w:hAnsiTheme="majorBidi" w:cstheme="majorBidi"/>
          <w:color w:val="000000"/>
          <w:sz w:val="24"/>
          <w:szCs w:val="24"/>
        </w:rPr>
        <w:t>,</w:t>
      </w:r>
      <w:r w:rsidRPr="00334EEA">
        <w:rPr>
          <w:rFonts w:asciiTheme="majorBidi" w:hAnsiTheme="majorBidi" w:cstheme="majorBidi"/>
          <w:color w:val="000000"/>
          <w:sz w:val="24"/>
          <w:szCs w:val="24"/>
        </w:rPr>
        <w:t xml:space="preserve"> </w:t>
      </w:r>
      <w:r w:rsidR="00E6290A">
        <w:rPr>
          <w:rFonts w:asciiTheme="majorBidi" w:hAnsiTheme="majorBidi" w:cstheme="majorBidi"/>
          <w:color w:val="000000"/>
          <w:sz w:val="24"/>
          <w:szCs w:val="24"/>
        </w:rPr>
        <w:t>pasinaudodama tuo</w:t>
      </w:r>
      <w:r w:rsidRPr="00334EEA">
        <w:rPr>
          <w:rFonts w:asciiTheme="majorBidi" w:hAnsiTheme="majorBidi" w:cstheme="majorBidi"/>
          <w:color w:val="000000"/>
          <w:sz w:val="24"/>
          <w:szCs w:val="24"/>
        </w:rPr>
        <w:t xml:space="preserve">, kad </w:t>
      </w:r>
      <w:r w:rsidRPr="00334EEA">
        <w:rPr>
          <w:rFonts w:asciiTheme="majorBidi" w:hAnsiTheme="majorBidi" w:cstheme="majorBidi"/>
          <w:color w:val="000000"/>
          <w:sz w:val="24"/>
          <w:szCs w:val="24"/>
        </w:rPr>
        <w:lastRenderedPageBreak/>
        <w:t>apeliacinės instancijos teismas neatsižvelgė į dalį įrodymų, kelia ne teisės aiškinimo ar taikymo, o fakto klausimus.</w:t>
      </w:r>
    </w:p>
    <w:p w14:paraId="0CFA8DDC" w14:textId="1A647BE6" w:rsidR="00696341" w:rsidRPr="00484D1A" w:rsidRDefault="00A80C8A" w:rsidP="00432269">
      <w:pPr>
        <w:shd w:val="clear" w:color="auto" w:fill="FFFFFF"/>
        <w:spacing w:before="480" w:after="480"/>
        <w:ind w:right="17" w:firstLine="720"/>
        <w:jc w:val="both"/>
      </w:pPr>
      <w:r w:rsidRPr="00484D1A">
        <w:t>Teisėjų kolegija</w:t>
      </w:r>
    </w:p>
    <w:p w14:paraId="1F9C3217" w14:textId="74EA998E" w:rsidR="00696341" w:rsidRPr="00484D1A" w:rsidRDefault="00A80C8A" w:rsidP="00696341">
      <w:pPr>
        <w:spacing w:before="120" w:after="120"/>
      </w:pPr>
      <w:r w:rsidRPr="00484D1A">
        <w:t>k o n s t a t u o j a :</w:t>
      </w:r>
    </w:p>
    <w:p w14:paraId="4A935353" w14:textId="6711D49E" w:rsidR="00696341" w:rsidRPr="00484D1A" w:rsidRDefault="00A80C8A" w:rsidP="00432269">
      <w:pPr>
        <w:pStyle w:val="ListParagraph"/>
        <w:spacing w:before="480" w:after="480" w:line="240" w:lineRule="auto"/>
        <w:ind w:left="0"/>
        <w:contextualSpacing w:val="0"/>
        <w:jc w:val="center"/>
        <w:rPr>
          <w:rFonts w:ascii="Times New Roman" w:hAnsi="Times New Roman"/>
          <w:sz w:val="24"/>
          <w:szCs w:val="24"/>
        </w:rPr>
      </w:pPr>
      <w:r w:rsidRPr="00484D1A">
        <w:rPr>
          <w:rFonts w:ascii="Times New Roman" w:hAnsi="Times New Roman"/>
          <w:sz w:val="24"/>
          <w:szCs w:val="24"/>
        </w:rPr>
        <w:t>IV. Kasacinio teismo argumentai ir išaiškinimai</w:t>
      </w:r>
    </w:p>
    <w:p w14:paraId="555F25EC" w14:textId="77777777" w:rsidR="00754963" w:rsidRPr="00484D1A" w:rsidRDefault="00754963" w:rsidP="00754963">
      <w:pPr>
        <w:pStyle w:val="ListParagraph"/>
        <w:spacing w:before="120" w:after="480" w:line="240" w:lineRule="auto"/>
        <w:ind w:left="0" w:firstLine="709"/>
        <w:contextualSpacing w:val="0"/>
        <w:rPr>
          <w:rFonts w:ascii="Times New Roman" w:hAnsi="Times New Roman"/>
          <w:i/>
          <w:iCs/>
          <w:sz w:val="24"/>
          <w:szCs w:val="24"/>
        </w:rPr>
      </w:pPr>
      <w:bookmarkStart w:id="9" w:name="_Hlk95289801"/>
      <w:r w:rsidRPr="00484D1A">
        <w:rPr>
          <w:rFonts w:ascii="Times New Roman" w:hAnsi="Times New Roman"/>
          <w:i/>
          <w:iCs/>
          <w:sz w:val="24"/>
          <w:szCs w:val="24"/>
        </w:rPr>
        <w:t xml:space="preserve">Dėl </w:t>
      </w:r>
      <w:r>
        <w:rPr>
          <w:rFonts w:ascii="Times New Roman" w:hAnsi="Times New Roman"/>
          <w:i/>
          <w:iCs/>
          <w:sz w:val="24"/>
          <w:szCs w:val="24"/>
        </w:rPr>
        <w:t>bylos nagrinėjimo kasaciniame teisme ribų</w:t>
      </w:r>
    </w:p>
    <w:p w14:paraId="3E3EC0C7" w14:textId="613D837B" w:rsidR="00754963" w:rsidRPr="006519E5"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sidRPr="00A36F6A">
        <w:rPr>
          <w:rFonts w:ascii="Times New Roman" w:hAnsi="Times New Roman"/>
          <w:color w:val="000000"/>
          <w:sz w:val="24"/>
          <w:szCs w:val="24"/>
          <w:shd w:val="clear" w:color="auto" w:fill="FFFFFF"/>
        </w:rPr>
        <w:t xml:space="preserve">Bylos nagrinėjimo kasaciniame teisme ribas apibrėžia CPK 353 straipsnis. Pagal šio straipsnio </w:t>
      </w:r>
      <w:r>
        <w:rPr>
          <w:rFonts w:ascii="Times New Roman" w:hAnsi="Times New Roman"/>
          <w:color w:val="000000"/>
          <w:sz w:val="24"/>
          <w:szCs w:val="24"/>
          <w:shd w:val="clear" w:color="auto" w:fill="FFFFFF"/>
        </w:rPr>
        <w:t>1 </w:t>
      </w:r>
      <w:r w:rsidRPr="00A36F6A">
        <w:rPr>
          <w:rFonts w:ascii="Times New Roman" w:hAnsi="Times New Roman"/>
          <w:color w:val="000000"/>
          <w:sz w:val="24"/>
          <w:szCs w:val="24"/>
          <w:shd w:val="clear" w:color="auto" w:fill="FFFFFF"/>
        </w:rPr>
        <w:t>dalį</w:t>
      </w:r>
      <w:r w:rsidR="00374F2A">
        <w:rPr>
          <w:rFonts w:ascii="Times New Roman" w:hAnsi="Times New Roman"/>
          <w:color w:val="000000"/>
          <w:sz w:val="24"/>
          <w:szCs w:val="24"/>
          <w:shd w:val="clear" w:color="auto" w:fill="FFFFFF"/>
        </w:rPr>
        <w:t>,</w:t>
      </w:r>
      <w:r w:rsidRPr="00A36F6A">
        <w:rPr>
          <w:rFonts w:ascii="Times New Roman" w:hAnsi="Times New Roman"/>
          <w:color w:val="000000"/>
          <w:sz w:val="24"/>
          <w:szCs w:val="24"/>
          <w:shd w:val="clear" w:color="auto" w:fill="FFFFFF"/>
        </w:rPr>
        <w:t xml:space="preserve">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w:t>
      </w:r>
      <w:r w:rsidR="001A437D">
        <w:rPr>
          <w:rFonts w:ascii="Times New Roman" w:hAnsi="Times New Roman"/>
          <w:color w:val="000000"/>
          <w:sz w:val="24"/>
          <w:szCs w:val="24"/>
          <w:shd w:val="clear" w:color="auto" w:fill="FFFFFF"/>
        </w:rPr>
        <w:t> </w:t>
      </w:r>
      <w:r w:rsidRPr="00A36F6A">
        <w:rPr>
          <w:rFonts w:ascii="Times New Roman" w:hAnsi="Times New Roman"/>
          <w:color w:val="000000"/>
          <w:sz w:val="24"/>
          <w:szCs w:val="24"/>
          <w:shd w:val="clear" w:color="auto" w:fill="FFFFFF"/>
        </w:rPr>
        <w:t>e3K-3-2-684/2021, 19</w:t>
      </w:r>
      <w:r>
        <w:rPr>
          <w:rFonts w:ascii="Times New Roman" w:hAnsi="Times New Roman"/>
          <w:color w:val="000000"/>
          <w:sz w:val="24"/>
          <w:szCs w:val="24"/>
          <w:shd w:val="clear" w:color="auto" w:fill="FFFFFF"/>
        </w:rPr>
        <w:t> </w:t>
      </w:r>
      <w:r w:rsidRPr="00A36F6A">
        <w:rPr>
          <w:rFonts w:ascii="Times New Roman" w:hAnsi="Times New Roman"/>
          <w:color w:val="000000"/>
          <w:sz w:val="24"/>
          <w:szCs w:val="24"/>
          <w:shd w:val="clear" w:color="auto" w:fill="FFFFFF"/>
        </w:rPr>
        <w:t>punktas).</w:t>
      </w:r>
    </w:p>
    <w:p w14:paraId="0876574E" w14:textId="546994BC" w:rsidR="00754963" w:rsidRPr="004A259A"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color w:val="000000"/>
          <w:sz w:val="24"/>
          <w:szCs w:val="24"/>
          <w:shd w:val="clear" w:color="auto" w:fill="FFFFFF"/>
        </w:rPr>
        <w:t xml:space="preserve">Šioje byloje tarp ieškovės ir atsakovės kilęs ginčas dėl atsakovės teisės perpakuoti lygiagrečiai iš Vengrijos į Lietuvą importuojamus ieškovės pagamintus ir į rinką išleistus </w:t>
      </w:r>
      <w:r>
        <w:rPr>
          <w:rFonts w:ascii="Times New Roman" w:hAnsi="Times New Roman"/>
          <w:sz w:val="24"/>
          <w:szCs w:val="24"/>
          <w:lang w:eastAsia="en-GB"/>
        </w:rPr>
        <w:t xml:space="preserve">vaistinius preparatus su veikliąja medžiaga </w:t>
      </w:r>
      <w:proofErr w:type="spellStart"/>
      <w:r>
        <w:rPr>
          <w:rFonts w:ascii="Times New Roman" w:hAnsi="Times New Roman"/>
          <w:sz w:val="24"/>
          <w:szCs w:val="24"/>
          <w:lang w:eastAsia="en-GB"/>
        </w:rPr>
        <w:t>levotiroksino</w:t>
      </w:r>
      <w:proofErr w:type="spellEnd"/>
      <w:r>
        <w:rPr>
          <w:rFonts w:ascii="Times New Roman" w:hAnsi="Times New Roman"/>
          <w:sz w:val="24"/>
          <w:szCs w:val="24"/>
          <w:lang w:eastAsia="en-GB"/>
        </w:rPr>
        <w:t xml:space="preserve"> natrio druska, skirta skydliaukės hormono </w:t>
      </w:r>
      <w:proofErr w:type="spellStart"/>
      <w:r>
        <w:rPr>
          <w:rFonts w:ascii="Times New Roman" w:hAnsi="Times New Roman"/>
          <w:sz w:val="24"/>
          <w:szCs w:val="24"/>
          <w:lang w:eastAsia="en-GB"/>
        </w:rPr>
        <w:t>levotiroksino</w:t>
      </w:r>
      <w:proofErr w:type="spellEnd"/>
      <w:r>
        <w:rPr>
          <w:rFonts w:ascii="Times New Roman" w:hAnsi="Times New Roman"/>
          <w:sz w:val="24"/>
          <w:szCs w:val="24"/>
          <w:lang w:eastAsia="en-GB"/>
        </w:rPr>
        <w:t xml:space="preserve"> trūkum</w:t>
      </w:r>
      <w:r w:rsidR="00374F2A">
        <w:rPr>
          <w:rFonts w:ascii="Times New Roman" w:hAnsi="Times New Roman"/>
          <w:sz w:val="24"/>
          <w:szCs w:val="24"/>
          <w:lang w:eastAsia="en-GB"/>
        </w:rPr>
        <w:t xml:space="preserve">ui </w:t>
      </w:r>
      <w:r w:rsidR="00E52D29">
        <w:rPr>
          <w:rFonts w:ascii="Times New Roman" w:hAnsi="Times New Roman"/>
          <w:sz w:val="24"/>
          <w:szCs w:val="24"/>
          <w:lang w:eastAsia="en-GB"/>
        </w:rPr>
        <w:t xml:space="preserve">panaikinti </w:t>
      </w:r>
      <w:r>
        <w:rPr>
          <w:rFonts w:ascii="Times New Roman" w:hAnsi="Times New Roman"/>
          <w:sz w:val="24"/>
          <w:szCs w:val="24"/>
          <w:lang w:eastAsia="en-GB"/>
        </w:rPr>
        <w:t>ir (arba) skydliaukės veiklos įtamp</w:t>
      </w:r>
      <w:r w:rsidR="00374F2A">
        <w:rPr>
          <w:rFonts w:ascii="Times New Roman" w:hAnsi="Times New Roman"/>
          <w:sz w:val="24"/>
          <w:szCs w:val="24"/>
          <w:lang w:eastAsia="en-GB"/>
        </w:rPr>
        <w:t>ai sumažinti</w:t>
      </w:r>
      <w:r>
        <w:rPr>
          <w:rFonts w:ascii="Times New Roman" w:hAnsi="Times New Roman"/>
          <w:sz w:val="24"/>
          <w:szCs w:val="24"/>
          <w:lang w:eastAsia="en-GB"/>
        </w:rPr>
        <w:t>. Teismų nustatyta, kad šiuos vaistinius preparatus ieškovė pardavinėja Vengrijoje ir Lietuvoje skirtingais pavadinimais.</w:t>
      </w:r>
    </w:p>
    <w:p w14:paraId="3F0009FA" w14:textId="2CE79C46" w:rsidR="00754963" w:rsidRPr="004A259A"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heme="majorBidi" w:hAnsiTheme="majorBidi" w:cstheme="majorBidi"/>
          <w:iCs/>
          <w:sz w:val="24"/>
          <w:szCs w:val="24"/>
        </w:rPr>
        <w:t>Europos Sąjungos Teisingumo Teismas</w:t>
      </w:r>
      <w:r w:rsidRPr="004A259A">
        <w:rPr>
          <w:rFonts w:asciiTheme="majorBidi" w:hAnsiTheme="majorBidi" w:cstheme="majorBidi"/>
          <w:iCs/>
          <w:sz w:val="24"/>
          <w:szCs w:val="24"/>
        </w:rPr>
        <w:t xml:space="preserve"> savo praktikoje yra suformulavęs principus, susijusius su prekių ženklo suteikiamos teisės pasibaigimu paralelinio vaistų importo atveju (1996 m. liepos 11 d. </w:t>
      </w:r>
      <w:r>
        <w:rPr>
          <w:rFonts w:asciiTheme="majorBidi" w:hAnsiTheme="majorBidi" w:cstheme="majorBidi"/>
          <w:iCs/>
          <w:sz w:val="24"/>
          <w:szCs w:val="24"/>
        </w:rPr>
        <w:t>s</w:t>
      </w:r>
      <w:r w:rsidRPr="004A259A">
        <w:rPr>
          <w:rFonts w:asciiTheme="majorBidi" w:hAnsiTheme="majorBidi" w:cstheme="majorBidi"/>
          <w:iCs/>
          <w:sz w:val="24"/>
          <w:szCs w:val="24"/>
        </w:rPr>
        <w:t>prendim</w:t>
      </w:r>
      <w:r w:rsidR="00374F2A">
        <w:rPr>
          <w:rFonts w:asciiTheme="majorBidi" w:hAnsiTheme="majorBidi" w:cstheme="majorBidi"/>
          <w:iCs/>
          <w:sz w:val="24"/>
          <w:szCs w:val="24"/>
        </w:rPr>
        <w:t>as</w:t>
      </w:r>
      <w:r w:rsidRPr="004A259A">
        <w:rPr>
          <w:rFonts w:asciiTheme="majorBidi" w:hAnsiTheme="majorBidi" w:cstheme="majorBidi"/>
          <w:iCs/>
          <w:sz w:val="24"/>
          <w:szCs w:val="24"/>
        </w:rPr>
        <w:t xml:space="preserve"> </w:t>
      </w:r>
      <w:proofErr w:type="spellStart"/>
      <w:r w:rsidRPr="00F45722">
        <w:rPr>
          <w:rFonts w:asciiTheme="majorBidi" w:hAnsiTheme="majorBidi" w:cstheme="majorBidi"/>
          <w:i/>
          <w:sz w:val="24"/>
          <w:szCs w:val="24"/>
        </w:rPr>
        <w:t>Bristol-Myers</w:t>
      </w:r>
      <w:proofErr w:type="spellEnd"/>
      <w:r w:rsidRPr="00F45722">
        <w:rPr>
          <w:rFonts w:asciiTheme="majorBidi" w:hAnsiTheme="majorBidi" w:cstheme="majorBidi"/>
          <w:i/>
          <w:sz w:val="24"/>
          <w:szCs w:val="24"/>
        </w:rPr>
        <w:t xml:space="preserve"> </w:t>
      </w:r>
      <w:proofErr w:type="spellStart"/>
      <w:r w:rsidRPr="00F45722">
        <w:rPr>
          <w:rFonts w:asciiTheme="majorBidi" w:hAnsiTheme="majorBidi" w:cstheme="majorBidi"/>
          <w:i/>
          <w:sz w:val="24"/>
          <w:szCs w:val="24"/>
        </w:rPr>
        <w:t>Squibb</w:t>
      </w:r>
      <w:proofErr w:type="spellEnd"/>
      <w:r w:rsidRPr="00F45722">
        <w:rPr>
          <w:rFonts w:asciiTheme="majorBidi" w:hAnsiTheme="majorBidi" w:cstheme="majorBidi"/>
          <w:i/>
          <w:sz w:val="24"/>
          <w:szCs w:val="24"/>
        </w:rPr>
        <w:t xml:space="preserve"> ir kt.</w:t>
      </w:r>
      <w:r w:rsidRPr="004A259A">
        <w:rPr>
          <w:rFonts w:asciiTheme="majorBidi" w:hAnsiTheme="majorBidi" w:cstheme="majorBidi"/>
          <w:iCs/>
          <w:sz w:val="24"/>
          <w:szCs w:val="24"/>
        </w:rPr>
        <w:t>, C‑427/93, C‑429/93 ir C‑436/93, 79</w:t>
      </w:r>
      <w:r w:rsidR="001A437D">
        <w:rPr>
          <w:rFonts w:asciiTheme="majorBidi" w:hAnsiTheme="majorBidi" w:cstheme="majorBidi"/>
          <w:iCs/>
          <w:sz w:val="24"/>
          <w:szCs w:val="24"/>
        </w:rPr>
        <w:t> </w:t>
      </w:r>
      <w:r w:rsidRPr="004A259A">
        <w:rPr>
          <w:rFonts w:asciiTheme="majorBidi" w:hAnsiTheme="majorBidi" w:cstheme="majorBidi"/>
          <w:iCs/>
          <w:sz w:val="24"/>
          <w:szCs w:val="24"/>
        </w:rPr>
        <w:t>punktas</w:t>
      </w:r>
      <w:r w:rsidR="00374F2A">
        <w:rPr>
          <w:rFonts w:asciiTheme="majorBidi" w:hAnsiTheme="majorBidi" w:cstheme="majorBidi"/>
          <w:iCs/>
          <w:sz w:val="24"/>
          <w:szCs w:val="24"/>
        </w:rPr>
        <w:t>,</w:t>
      </w:r>
      <w:r w:rsidRPr="004A259A">
        <w:rPr>
          <w:rFonts w:asciiTheme="majorBidi" w:hAnsiTheme="majorBidi" w:cstheme="majorBidi"/>
          <w:iCs/>
          <w:sz w:val="24"/>
          <w:szCs w:val="24"/>
        </w:rPr>
        <w:t xml:space="preserve"> ir 2007 m. balandžio 26 d. </w:t>
      </w:r>
      <w:r>
        <w:rPr>
          <w:rFonts w:asciiTheme="majorBidi" w:hAnsiTheme="majorBidi" w:cstheme="majorBidi"/>
          <w:iCs/>
          <w:sz w:val="24"/>
          <w:szCs w:val="24"/>
        </w:rPr>
        <w:t>s</w:t>
      </w:r>
      <w:r w:rsidRPr="004A259A">
        <w:rPr>
          <w:rFonts w:asciiTheme="majorBidi" w:hAnsiTheme="majorBidi" w:cstheme="majorBidi"/>
          <w:iCs/>
          <w:sz w:val="24"/>
          <w:szCs w:val="24"/>
        </w:rPr>
        <w:t>prendim</w:t>
      </w:r>
      <w:r w:rsidR="00374F2A">
        <w:rPr>
          <w:rFonts w:asciiTheme="majorBidi" w:hAnsiTheme="majorBidi" w:cstheme="majorBidi"/>
          <w:iCs/>
          <w:sz w:val="24"/>
          <w:szCs w:val="24"/>
        </w:rPr>
        <w:t>as</w:t>
      </w:r>
      <w:r w:rsidRPr="004A259A">
        <w:rPr>
          <w:rFonts w:asciiTheme="majorBidi" w:hAnsiTheme="majorBidi" w:cstheme="majorBidi"/>
          <w:iCs/>
          <w:sz w:val="24"/>
          <w:szCs w:val="24"/>
        </w:rPr>
        <w:t xml:space="preserve"> </w:t>
      </w:r>
      <w:proofErr w:type="spellStart"/>
      <w:r w:rsidRPr="00F45722">
        <w:rPr>
          <w:rFonts w:asciiTheme="majorBidi" w:hAnsiTheme="majorBidi" w:cstheme="majorBidi"/>
          <w:i/>
          <w:sz w:val="24"/>
          <w:szCs w:val="24"/>
        </w:rPr>
        <w:t>Boehringer</w:t>
      </w:r>
      <w:proofErr w:type="spellEnd"/>
      <w:r w:rsidRPr="00F45722">
        <w:rPr>
          <w:rFonts w:asciiTheme="majorBidi" w:hAnsiTheme="majorBidi" w:cstheme="majorBidi"/>
          <w:i/>
          <w:sz w:val="24"/>
          <w:szCs w:val="24"/>
        </w:rPr>
        <w:t xml:space="preserve"> </w:t>
      </w:r>
      <w:proofErr w:type="spellStart"/>
      <w:r w:rsidRPr="00F45722">
        <w:rPr>
          <w:rFonts w:asciiTheme="majorBidi" w:hAnsiTheme="majorBidi" w:cstheme="majorBidi"/>
          <w:i/>
          <w:sz w:val="24"/>
          <w:szCs w:val="24"/>
        </w:rPr>
        <w:t>Ingelheim</w:t>
      </w:r>
      <w:proofErr w:type="spellEnd"/>
      <w:r w:rsidRPr="00F45722">
        <w:rPr>
          <w:rFonts w:asciiTheme="majorBidi" w:hAnsiTheme="majorBidi" w:cstheme="majorBidi"/>
          <w:i/>
          <w:sz w:val="24"/>
          <w:szCs w:val="24"/>
        </w:rPr>
        <w:t xml:space="preserve"> ir kt.</w:t>
      </w:r>
      <w:r w:rsidRPr="004A259A">
        <w:rPr>
          <w:rFonts w:asciiTheme="majorBidi" w:hAnsiTheme="majorBidi" w:cstheme="majorBidi"/>
          <w:iCs/>
          <w:sz w:val="24"/>
          <w:szCs w:val="24"/>
        </w:rPr>
        <w:t>, C‑348/04, 32</w:t>
      </w:r>
      <w:r w:rsidR="001A437D">
        <w:rPr>
          <w:rFonts w:asciiTheme="majorBidi" w:hAnsiTheme="majorBidi" w:cstheme="majorBidi"/>
          <w:iCs/>
          <w:sz w:val="24"/>
          <w:szCs w:val="24"/>
        </w:rPr>
        <w:t> </w:t>
      </w:r>
      <w:r w:rsidRPr="004A259A">
        <w:rPr>
          <w:rFonts w:asciiTheme="majorBidi" w:hAnsiTheme="majorBidi" w:cstheme="majorBidi"/>
          <w:iCs/>
          <w:sz w:val="24"/>
          <w:szCs w:val="24"/>
        </w:rPr>
        <w:t xml:space="preserve">punktas). </w:t>
      </w:r>
      <w:bookmarkStart w:id="10" w:name="_Hlk155772813"/>
      <w:r w:rsidRPr="004A259A">
        <w:rPr>
          <w:rFonts w:asciiTheme="majorBidi" w:hAnsiTheme="majorBidi" w:cstheme="majorBidi"/>
          <w:iCs/>
          <w:sz w:val="24"/>
          <w:szCs w:val="24"/>
        </w:rPr>
        <w:t xml:space="preserve">Remiantis šia jurisprudencija, prekių ženklo savininkas gali teisėtai užprotestuoti tolimesnę prekybą valstybėje narėje vaistiniu preparatu, importuotu iš kitos valstybės narės, jei importuotojas prekę perpakavo ir ją iš naujo paženklino prekių ženklu, nebent: </w:t>
      </w:r>
      <w:r w:rsidRPr="004A259A">
        <w:rPr>
          <w:rFonts w:asciiTheme="majorBidi" w:hAnsiTheme="majorBidi" w:cstheme="majorBidi"/>
          <w:i/>
          <w:sz w:val="24"/>
          <w:szCs w:val="24"/>
        </w:rPr>
        <w:t>pirma</w:t>
      </w:r>
      <w:r w:rsidRPr="004A259A">
        <w:rPr>
          <w:rFonts w:asciiTheme="majorBidi" w:hAnsiTheme="majorBidi" w:cstheme="majorBidi"/>
          <w:iCs/>
          <w:sz w:val="24"/>
          <w:szCs w:val="24"/>
        </w:rPr>
        <w:t xml:space="preserve">, įrodoma, jog prekių ženklo savininko naudojimasis prekių ženklo suteiktomis teisėmis tam, kad užprotestuotų prekybą perpakuotomis šiuo prekių ženklu pažymėtomis prekėmis, prisidėtų prie dirbtinio valstybių narių rinkų atskyrimo; </w:t>
      </w:r>
      <w:r w:rsidRPr="004A259A">
        <w:rPr>
          <w:rFonts w:asciiTheme="majorBidi" w:hAnsiTheme="majorBidi" w:cstheme="majorBidi"/>
          <w:i/>
          <w:sz w:val="24"/>
          <w:szCs w:val="24"/>
        </w:rPr>
        <w:t>antra</w:t>
      </w:r>
      <w:r w:rsidRPr="004A259A">
        <w:rPr>
          <w:rFonts w:asciiTheme="majorBidi" w:hAnsiTheme="majorBidi" w:cstheme="majorBidi"/>
          <w:iCs/>
          <w:sz w:val="24"/>
          <w:szCs w:val="24"/>
        </w:rPr>
        <w:t xml:space="preserve">, įrodoma, jog perpakavimas negali paveikti originalios pakuotėje esančios prekės būklės; </w:t>
      </w:r>
      <w:r w:rsidRPr="004A259A">
        <w:rPr>
          <w:rFonts w:asciiTheme="majorBidi" w:hAnsiTheme="majorBidi" w:cstheme="majorBidi"/>
          <w:i/>
          <w:sz w:val="24"/>
          <w:szCs w:val="24"/>
        </w:rPr>
        <w:t>trečia</w:t>
      </w:r>
      <w:r w:rsidRPr="004A259A">
        <w:rPr>
          <w:rFonts w:asciiTheme="majorBidi" w:hAnsiTheme="majorBidi" w:cstheme="majorBidi"/>
          <w:iCs/>
          <w:sz w:val="24"/>
          <w:szCs w:val="24"/>
        </w:rPr>
        <w:t xml:space="preserve">, ant pakuotės aiškiai nurodomas prekės </w:t>
      </w:r>
      <w:proofErr w:type="spellStart"/>
      <w:r w:rsidRPr="004A259A">
        <w:rPr>
          <w:rFonts w:asciiTheme="majorBidi" w:hAnsiTheme="majorBidi" w:cstheme="majorBidi"/>
          <w:iCs/>
          <w:sz w:val="24"/>
          <w:szCs w:val="24"/>
        </w:rPr>
        <w:t>perpakuotojas</w:t>
      </w:r>
      <w:proofErr w:type="spellEnd"/>
      <w:r w:rsidRPr="004A259A">
        <w:rPr>
          <w:rFonts w:asciiTheme="majorBidi" w:hAnsiTheme="majorBidi" w:cstheme="majorBidi"/>
          <w:iCs/>
          <w:sz w:val="24"/>
          <w:szCs w:val="24"/>
        </w:rPr>
        <w:t xml:space="preserve"> ir jos gamintojas; </w:t>
      </w:r>
      <w:r w:rsidRPr="004A259A">
        <w:rPr>
          <w:rFonts w:asciiTheme="majorBidi" w:hAnsiTheme="majorBidi" w:cstheme="majorBidi"/>
          <w:i/>
          <w:sz w:val="24"/>
          <w:szCs w:val="24"/>
        </w:rPr>
        <w:t>ketvirta</w:t>
      </w:r>
      <w:r w:rsidRPr="004A259A">
        <w:rPr>
          <w:rFonts w:asciiTheme="majorBidi" w:hAnsiTheme="majorBidi" w:cstheme="majorBidi"/>
          <w:iCs/>
          <w:sz w:val="24"/>
          <w:szCs w:val="24"/>
        </w:rPr>
        <w:t xml:space="preserve">, perpakuotos prekės pateikimas neturi būti toks, kad pakenktų prekių ženklo ir jo savininko geram vardui; taigi etiketė negali turėti trūkumų, būti prastos kokybės ar netvarkinga, </w:t>
      </w:r>
      <w:r w:rsidRPr="004A259A">
        <w:rPr>
          <w:rFonts w:asciiTheme="majorBidi" w:hAnsiTheme="majorBidi" w:cstheme="majorBidi"/>
          <w:i/>
          <w:sz w:val="24"/>
          <w:szCs w:val="24"/>
        </w:rPr>
        <w:t>penkta</w:t>
      </w:r>
      <w:r w:rsidRPr="004A259A">
        <w:rPr>
          <w:rFonts w:asciiTheme="majorBidi" w:hAnsiTheme="majorBidi" w:cstheme="majorBidi"/>
          <w:iCs/>
          <w:sz w:val="24"/>
          <w:szCs w:val="24"/>
        </w:rPr>
        <w:t xml:space="preserve">, prieš pateikdamas perpakuotas prekes į rinką importuotojas turi įspėti prekių ženklo savininką ir jo prašymu turi jam pateikti tokios prekės pavyzdį. Šios nurodytos penkios sąlygos, trukdančios, jei yra įvykdytos, prekių ženklo savininkui teisėtai užprotestuoti tolimesnę prekybą atitinkama preke, taikomos tik tada, jei importuotojas perpakavo prekę </w:t>
      </w:r>
      <w:bookmarkEnd w:id="10"/>
      <w:r w:rsidRPr="004A259A">
        <w:rPr>
          <w:rFonts w:asciiTheme="majorBidi" w:hAnsiTheme="majorBidi" w:cstheme="majorBidi"/>
          <w:iCs/>
          <w:sz w:val="24"/>
          <w:szCs w:val="24"/>
        </w:rPr>
        <w:t>(</w:t>
      </w:r>
      <w:r>
        <w:rPr>
          <w:rFonts w:asciiTheme="majorBidi" w:hAnsiTheme="majorBidi" w:cstheme="majorBidi"/>
          <w:iCs/>
          <w:sz w:val="24"/>
          <w:szCs w:val="24"/>
        </w:rPr>
        <w:t xml:space="preserve">ESTT </w:t>
      </w:r>
      <w:r w:rsidRPr="004A259A">
        <w:rPr>
          <w:rFonts w:asciiTheme="majorBidi" w:hAnsiTheme="majorBidi" w:cstheme="majorBidi"/>
          <w:iCs/>
          <w:sz w:val="24"/>
          <w:szCs w:val="24"/>
        </w:rPr>
        <w:t xml:space="preserve">2018 m. gegužės 17 d. </w:t>
      </w:r>
      <w:proofErr w:type="spellStart"/>
      <w:r w:rsidRPr="004A259A">
        <w:rPr>
          <w:rFonts w:asciiTheme="majorBidi" w:hAnsiTheme="majorBidi" w:cstheme="majorBidi"/>
          <w:iCs/>
          <w:sz w:val="24"/>
          <w:szCs w:val="24"/>
        </w:rPr>
        <w:t>prejudicini</w:t>
      </w:r>
      <w:r w:rsidR="00421AE7">
        <w:rPr>
          <w:rFonts w:asciiTheme="majorBidi" w:hAnsiTheme="majorBidi" w:cstheme="majorBidi"/>
          <w:iCs/>
          <w:sz w:val="24"/>
          <w:szCs w:val="24"/>
        </w:rPr>
        <w:t>s</w:t>
      </w:r>
      <w:proofErr w:type="spellEnd"/>
      <w:r w:rsidRPr="004A259A">
        <w:rPr>
          <w:rFonts w:asciiTheme="majorBidi" w:hAnsiTheme="majorBidi" w:cstheme="majorBidi"/>
          <w:iCs/>
          <w:sz w:val="24"/>
          <w:szCs w:val="24"/>
        </w:rPr>
        <w:t xml:space="preserve"> sprendim</w:t>
      </w:r>
      <w:r w:rsidR="00421AE7">
        <w:rPr>
          <w:rFonts w:asciiTheme="majorBidi" w:hAnsiTheme="majorBidi" w:cstheme="majorBidi"/>
          <w:iCs/>
          <w:sz w:val="24"/>
          <w:szCs w:val="24"/>
        </w:rPr>
        <w:t>as</w:t>
      </w:r>
      <w:r w:rsidRPr="004A259A">
        <w:rPr>
          <w:rFonts w:asciiTheme="majorBidi" w:hAnsiTheme="majorBidi" w:cstheme="majorBidi"/>
          <w:iCs/>
          <w:sz w:val="24"/>
          <w:szCs w:val="24"/>
        </w:rPr>
        <w:t xml:space="preserve"> </w:t>
      </w:r>
      <w:r>
        <w:rPr>
          <w:rFonts w:asciiTheme="majorBidi" w:hAnsiTheme="majorBidi" w:cstheme="majorBidi"/>
          <w:iCs/>
          <w:sz w:val="24"/>
          <w:szCs w:val="24"/>
        </w:rPr>
        <w:t xml:space="preserve">byloje </w:t>
      </w:r>
      <w:proofErr w:type="spellStart"/>
      <w:r w:rsidRPr="00637453">
        <w:rPr>
          <w:rFonts w:asciiTheme="majorBidi" w:hAnsiTheme="majorBidi" w:cstheme="majorBidi"/>
          <w:i/>
          <w:sz w:val="24"/>
          <w:szCs w:val="24"/>
        </w:rPr>
        <w:t>Junek</w:t>
      </w:r>
      <w:proofErr w:type="spellEnd"/>
      <w:r w:rsidRPr="00637453">
        <w:rPr>
          <w:rFonts w:asciiTheme="majorBidi" w:hAnsiTheme="majorBidi" w:cstheme="majorBidi"/>
          <w:i/>
          <w:sz w:val="24"/>
          <w:szCs w:val="24"/>
        </w:rPr>
        <w:t xml:space="preserve"> </w:t>
      </w:r>
      <w:proofErr w:type="spellStart"/>
      <w:r w:rsidRPr="00637453">
        <w:rPr>
          <w:rFonts w:asciiTheme="majorBidi" w:hAnsiTheme="majorBidi" w:cstheme="majorBidi"/>
          <w:i/>
          <w:sz w:val="24"/>
          <w:szCs w:val="24"/>
        </w:rPr>
        <w:t>Europ-Vertrieb</w:t>
      </w:r>
      <w:proofErr w:type="spellEnd"/>
      <w:r w:rsidRPr="00637453">
        <w:rPr>
          <w:rFonts w:asciiTheme="majorBidi" w:hAnsiTheme="majorBidi" w:cstheme="majorBidi"/>
          <w:i/>
          <w:sz w:val="24"/>
          <w:szCs w:val="24"/>
        </w:rPr>
        <w:t xml:space="preserve"> </w:t>
      </w:r>
      <w:proofErr w:type="spellStart"/>
      <w:r w:rsidRPr="00637453">
        <w:rPr>
          <w:rFonts w:asciiTheme="majorBidi" w:hAnsiTheme="majorBidi" w:cstheme="majorBidi"/>
          <w:i/>
          <w:sz w:val="24"/>
          <w:szCs w:val="24"/>
        </w:rPr>
        <w:t>GmbH</w:t>
      </w:r>
      <w:proofErr w:type="spellEnd"/>
      <w:r w:rsidRPr="00637453">
        <w:rPr>
          <w:rFonts w:asciiTheme="majorBidi" w:hAnsiTheme="majorBidi" w:cstheme="majorBidi"/>
          <w:i/>
          <w:sz w:val="24"/>
          <w:szCs w:val="24"/>
        </w:rPr>
        <w:t xml:space="preserve"> prieš </w:t>
      </w:r>
      <w:proofErr w:type="spellStart"/>
      <w:r w:rsidRPr="00637453">
        <w:rPr>
          <w:rFonts w:asciiTheme="majorBidi" w:hAnsiTheme="majorBidi" w:cstheme="majorBidi"/>
          <w:i/>
          <w:sz w:val="24"/>
          <w:szCs w:val="24"/>
        </w:rPr>
        <w:t>Lohmann</w:t>
      </w:r>
      <w:proofErr w:type="spellEnd"/>
      <w:r w:rsidRPr="00637453">
        <w:rPr>
          <w:rFonts w:asciiTheme="majorBidi" w:hAnsiTheme="majorBidi" w:cstheme="majorBidi"/>
          <w:i/>
          <w:sz w:val="24"/>
          <w:szCs w:val="24"/>
        </w:rPr>
        <w:t xml:space="preserve"> &amp; </w:t>
      </w:r>
      <w:proofErr w:type="spellStart"/>
      <w:r w:rsidRPr="00637453">
        <w:rPr>
          <w:rFonts w:asciiTheme="majorBidi" w:hAnsiTheme="majorBidi" w:cstheme="majorBidi"/>
          <w:i/>
          <w:sz w:val="24"/>
          <w:szCs w:val="24"/>
        </w:rPr>
        <w:t>Rauscher</w:t>
      </w:r>
      <w:proofErr w:type="spellEnd"/>
      <w:r w:rsidRPr="00637453">
        <w:rPr>
          <w:rFonts w:asciiTheme="majorBidi" w:hAnsiTheme="majorBidi" w:cstheme="majorBidi"/>
          <w:i/>
          <w:sz w:val="24"/>
          <w:szCs w:val="24"/>
        </w:rPr>
        <w:t xml:space="preserve"> International </w:t>
      </w:r>
      <w:proofErr w:type="spellStart"/>
      <w:r w:rsidRPr="00637453">
        <w:rPr>
          <w:rFonts w:asciiTheme="majorBidi" w:hAnsiTheme="majorBidi" w:cstheme="majorBidi"/>
          <w:i/>
          <w:sz w:val="24"/>
          <w:szCs w:val="24"/>
        </w:rPr>
        <w:t>GmbH</w:t>
      </w:r>
      <w:proofErr w:type="spellEnd"/>
      <w:r w:rsidRPr="00637453">
        <w:rPr>
          <w:rFonts w:asciiTheme="majorBidi" w:hAnsiTheme="majorBidi" w:cstheme="majorBidi"/>
          <w:i/>
          <w:sz w:val="24"/>
          <w:szCs w:val="24"/>
        </w:rPr>
        <w:t xml:space="preserve"> &amp; </w:t>
      </w:r>
      <w:proofErr w:type="spellStart"/>
      <w:r w:rsidRPr="00637453">
        <w:rPr>
          <w:rFonts w:asciiTheme="majorBidi" w:hAnsiTheme="majorBidi" w:cstheme="majorBidi"/>
          <w:i/>
          <w:sz w:val="24"/>
          <w:szCs w:val="24"/>
        </w:rPr>
        <w:t>Co</w:t>
      </w:r>
      <w:proofErr w:type="spellEnd"/>
      <w:r w:rsidRPr="00637453">
        <w:rPr>
          <w:rFonts w:asciiTheme="majorBidi" w:hAnsiTheme="majorBidi" w:cstheme="majorBidi"/>
          <w:i/>
          <w:sz w:val="24"/>
          <w:szCs w:val="24"/>
        </w:rPr>
        <w:t>. KG</w:t>
      </w:r>
      <w:r w:rsidRPr="004A259A">
        <w:rPr>
          <w:rFonts w:asciiTheme="majorBidi" w:hAnsiTheme="majorBidi" w:cstheme="majorBidi"/>
          <w:iCs/>
          <w:sz w:val="24"/>
          <w:szCs w:val="24"/>
        </w:rPr>
        <w:t>, C-642/16, 27</w:t>
      </w:r>
      <w:r w:rsidR="00421AE7">
        <w:rPr>
          <w:rFonts w:asciiTheme="majorBidi" w:hAnsiTheme="majorBidi" w:cstheme="majorBidi"/>
          <w:iCs/>
          <w:sz w:val="24"/>
          <w:szCs w:val="24"/>
        </w:rPr>
        <w:t>–</w:t>
      </w:r>
      <w:r w:rsidRPr="004A259A">
        <w:rPr>
          <w:rFonts w:asciiTheme="majorBidi" w:hAnsiTheme="majorBidi" w:cstheme="majorBidi"/>
          <w:iCs/>
          <w:sz w:val="24"/>
          <w:szCs w:val="24"/>
        </w:rPr>
        <w:t>28</w:t>
      </w:r>
      <w:r>
        <w:rPr>
          <w:rFonts w:asciiTheme="majorBidi" w:hAnsiTheme="majorBidi" w:cstheme="majorBidi"/>
          <w:iCs/>
          <w:sz w:val="24"/>
          <w:szCs w:val="24"/>
        </w:rPr>
        <w:t xml:space="preserve"> punktai</w:t>
      </w:r>
      <w:r w:rsidRPr="004A259A">
        <w:rPr>
          <w:rFonts w:asciiTheme="majorBidi" w:hAnsiTheme="majorBidi" w:cstheme="majorBidi"/>
          <w:iCs/>
          <w:sz w:val="24"/>
          <w:szCs w:val="24"/>
        </w:rPr>
        <w:t>).</w:t>
      </w:r>
    </w:p>
    <w:p w14:paraId="7F8B8FF6" w14:textId="7B0697DB" w:rsidR="00754963" w:rsidRPr="007F7DCD"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7F7DCD">
        <w:rPr>
          <w:rFonts w:asciiTheme="majorBidi" w:hAnsiTheme="majorBidi" w:cstheme="majorBidi"/>
          <w:iCs/>
          <w:sz w:val="24"/>
          <w:szCs w:val="24"/>
        </w:rPr>
        <w:t>Nagrinėjamu atveju teismų nustatyta ir šalių neginčijama, kad atsakovė pagrindė antrosios</w:t>
      </w:r>
      <w:r w:rsidR="00421AE7">
        <w:rPr>
          <w:rFonts w:asciiTheme="majorBidi" w:hAnsiTheme="majorBidi" w:cstheme="majorBidi"/>
          <w:iCs/>
          <w:sz w:val="24"/>
          <w:szCs w:val="24"/>
        </w:rPr>
        <w:t>–</w:t>
      </w:r>
      <w:r w:rsidRPr="007F7DCD">
        <w:rPr>
          <w:rFonts w:asciiTheme="majorBidi" w:hAnsiTheme="majorBidi" w:cstheme="majorBidi"/>
          <w:iCs/>
          <w:sz w:val="24"/>
          <w:szCs w:val="24"/>
        </w:rPr>
        <w:t xml:space="preserve">penktosios sąlygų, kurioms esant galimas vaistinio preparato, lygiagrečiai importuoto iš kitos </w:t>
      </w:r>
      <w:r w:rsidRPr="007F7DCD">
        <w:rPr>
          <w:rFonts w:asciiTheme="majorBidi" w:hAnsiTheme="majorBidi" w:cstheme="majorBidi"/>
          <w:iCs/>
          <w:sz w:val="24"/>
          <w:szCs w:val="24"/>
        </w:rPr>
        <w:lastRenderedPageBreak/>
        <w:t>valstybės narės, perpakavimas, buvimą. Byloje išsiskyrė šalių ir teismų pozicijos dėl pirmosios sąlygos – prekių ženklo savininko naudojimosi prekių ženklo suteiktomis teisėmis tam, kad užprotestuotų prekybą perpakuotomis šiuo prekių ženklu pažymėtomis prekėmis, prisidedant prie dirbtinio valstybių narių rinkų atskyrimo</w:t>
      </w:r>
      <w:r w:rsidR="00421AE7">
        <w:rPr>
          <w:rFonts w:asciiTheme="majorBidi" w:hAnsiTheme="majorBidi" w:cstheme="majorBidi"/>
          <w:iCs/>
          <w:sz w:val="24"/>
          <w:szCs w:val="24"/>
        </w:rPr>
        <w:t>,</w:t>
      </w:r>
      <w:r w:rsidRPr="007F7DCD">
        <w:rPr>
          <w:rFonts w:asciiTheme="majorBidi" w:hAnsiTheme="majorBidi" w:cstheme="majorBidi"/>
          <w:iCs/>
          <w:sz w:val="24"/>
          <w:szCs w:val="24"/>
        </w:rPr>
        <w:t xml:space="preserve"> – vertinimo. Atsižvelg</w:t>
      </w:r>
      <w:r w:rsidR="00421AE7">
        <w:rPr>
          <w:rFonts w:asciiTheme="majorBidi" w:hAnsiTheme="majorBidi" w:cstheme="majorBidi"/>
          <w:iCs/>
          <w:sz w:val="24"/>
          <w:szCs w:val="24"/>
        </w:rPr>
        <w:t>dama</w:t>
      </w:r>
      <w:r w:rsidRPr="007F7DCD">
        <w:rPr>
          <w:rFonts w:asciiTheme="majorBidi" w:hAnsiTheme="majorBidi" w:cstheme="majorBidi"/>
          <w:iCs/>
          <w:sz w:val="24"/>
          <w:szCs w:val="24"/>
        </w:rPr>
        <w:t xml:space="preserve"> į tai, teisėjų kolegija konstatuo</w:t>
      </w:r>
      <w:r>
        <w:rPr>
          <w:rFonts w:asciiTheme="majorBidi" w:hAnsiTheme="majorBidi" w:cstheme="majorBidi"/>
          <w:iCs/>
          <w:sz w:val="24"/>
          <w:szCs w:val="24"/>
        </w:rPr>
        <w:t>j</w:t>
      </w:r>
      <w:r w:rsidRPr="007F7DCD">
        <w:rPr>
          <w:rFonts w:asciiTheme="majorBidi" w:hAnsiTheme="majorBidi" w:cstheme="majorBidi"/>
          <w:iCs/>
          <w:sz w:val="24"/>
          <w:szCs w:val="24"/>
        </w:rPr>
        <w:t>a, kad bylos nagrinėjimo kasacine tvarka ribas sudaro tik pirmiau nurodytos pirmosios sąlygos</w:t>
      </w:r>
      <w:r>
        <w:rPr>
          <w:rFonts w:asciiTheme="majorBidi" w:hAnsiTheme="majorBidi" w:cstheme="majorBidi"/>
          <w:iCs/>
          <w:sz w:val="24"/>
          <w:szCs w:val="24"/>
        </w:rPr>
        <w:t xml:space="preserve"> </w:t>
      </w:r>
      <w:r w:rsidRPr="007F7DCD">
        <w:rPr>
          <w:rFonts w:asciiTheme="majorBidi" w:hAnsiTheme="majorBidi" w:cstheme="majorBidi"/>
          <w:iCs/>
          <w:sz w:val="24"/>
          <w:szCs w:val="24"/>
        </w:rPr>
        <w:t>vertinimas.</w:t>
      </w:r>
    </w:p>
    <w:p w14:paraId="281ECFE6" w14:textId="77777777" w:rsidR="00754963" w:rsidRPr="00411179" w:rsidRDefault="00754963" w:rsidP="00754963">
      <w:pPr>
        <w:pStyle w:val="ListParagraph"/>
        <w:spacing w:before="480" w:after="480" w:line="240" w:lineRule="auto"/>
        <w:ind w:left="0" w:firstLine="709"/>
        <w:contextualSpacing w:val="0"/>
        <w:jc w:val="both"/>
        <w:rPr>
          <w:rFonts w:ascii="Times New Roman" w:hAnsi="Times New Roman"/>
          <w:i/>
          <w:iCs/>
          <w:sz w:val="24"/>
          <w:szCs w:val="24"/>
        </w:rPr>
      </w:pPr>
      <w:r w:rsidRPr="00235143">
        <w:rPr>
          <w:rFonts w:ascii="Times New Roman" w:hAnsi="Times New Roman"/>
          <w:i/>
          <w:iCs/>
          <w:sz w:val="24"/>
          <w:szCs w:val="24"/>
        </w:rPr>
        <w:t xml:space="preserve">Dėl </w:t>
      </w:r>
      <w:bookmarkEnd w:id="9"/>
      <w:r w:rsidRPr="00235143">
        <w:rPr>
          <w:rFonts w:ascii="Times New Roman" w:hAnsi="Times New Roman"/>
          <w:i/>
          <w:iCs/>
          <w:sz w:val="24"/>
          <w:szCs w:val="24"/>
        </w:rPr>
        <w:t>būtinybės perpakuoti lygiagrečiai importuojamus vaistinius preparatus vertinimo ir teismo vaidmens tokio ginčo įrodinėjimo procese</w:t>
      </w:r>
    </w:p>
    <w:p w14:paraId="411A6406" w14:textId="77777777" w:rsidR="00754963"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Byloje kilo klausimas, ar nagrinėjamu atveju ieškovės, kaip </w:t>
      </w:r>
      <w:r w:rsidRPr="00104881">
        <w:rPr>
          <w:rFonts w:ascii="Times New Roman" w:hAnsi="Times New Roman"/>
          <w:iCs/>
          <w:sz w:val="24"/>
          <w:szCs w:val="24"/>
        </w:rPr>
        <w:t>prekių ženklo savinink</w:t>
      </w:r>
      <w:r>
        <w:rPr>
          <w:rFonts w:ascii="Times New Roman" w:hAnsi="Times New Roman"/>
          <w:iCs/>
          <w:sz w:val="24"/>
          <w:szCs w:val="24"/>
        </w:rPr>
        <w:t>ės,</w:t>
      </w:r>
      <w:r w:rsidRPr="00104881">
        <w:rPr>
          <w:rFonts w:ascii="Times New Roman" w:hAnsi="Times New Roman"/>
          <w:iCs/>
          <w:sz w:val="24"/>
          <w:szCs w:val="24"/>
        </w:rPr>
        <w:t xml:space="preserve"> naudoj</w:t>
      </w:r>
      <w:r>
        <w:rPr>
          <w:rFonts w:ascii="Times New Roman" w:hAnsi="Times New Roman"/>
          <w:iCs/>
          <w:sz w:val="24"/>
          <w:szCs w:val="24"/>
        </w:rPr>
        <w:t>imasis</w:t>
      </w:r>
      <w:r w:rsidRPr="00104881">
        <w:rPr>
          <w:rFonts w:ascii="Times New Roman" w:hAnsi="Times New Roman"/>
          <w:iCs/>
          <w:sz w:val="24"/>
          <w:szCs w:val="24"/>
        </w:rPr>
        <w:t xml:space="preserve"> prekių ženklo suteiktomis teisėmis tam, kad užprotestuotų prekybą perpakuotomis šiuo prekių ženklu pažymėtomis prekėmis, prisid</w:t>
      </w:r>
      <w:r>
        <w:rPr>
          <w:rFonts w:ascii="Times New Roman" w:hAnsi="Times New Roman"/>
          <w:iCs/>
          <w:sz w:val="24"/>
          <w:szCs w:val="24"/>
        </w:rPr>
        <w:t>eda</w:t>
      </w:r>
      <w:r w:rsidRPr="00104881">
        <w:rPr>
          <w:rFonts w:ascii="Times New Roman" w:hAnsi="Times New Roman"/>
          <w:iCs/>
          <w:sz w:val="24"/>
          <w:szCs w:val="24"/>
        </w:rPr>
        <w:t xml:space="preserve"> prie dirbtinio valstybių narių rinkų atskyrimo</w:t>
      </w:r>
      <w:r>
        <w:rPr>
          <w:rFonts w:ascii="Times New Roman" w:hAnsi="Times New Roman"/>
          <w:iCs/>
          <w:sz w:val="24"/>
          <w:szCs w:val="24"/>
        </w:rPr>
        <w:t xml:space="preserve"> ir ar atsakovei egzistavo objektyvus būtinumas perpakuoti ir pervadinti lygiagrečiai iš Vengrijos į Lietuvą importuojamą tą patį vaistinį preparatą.</w:t>
      </w:r>
    </w:p>
    <w:p w14:paraId="2C7C203C" w14:textId="3340B149" w:rsidR="00754963" w:rsidRPr="00D43D10" w:rsidRDefault="00754963" w:rsidP="00754963">
      <w:pPr>
        <w:pStyle w:val="ListParagraph"/>
        <w:numPr>
          <w:ilvl w:val="0"/>
          <w:numId w:val="3"/>
        </w:numPr>
        <w:spacing w:before="120" w:after="120" w:line="240" w:lineRule="auto"/>
        <w:ind w:left="357" w:hanging="357"/>
        <w:contextualSpacing w:val="0"/>
        <w:jc w:val="both"/>
        <w:rPr>
          <w:rFonts w:asciiTheme="majorBidi" w:hAnsiTheme="majorBidi" w:cstheme="majorBidi"/>
          <w:iCs/>
          <w:sz w:val="24"/>
          <w:szCs w:val="24"/>
        </w:rPr>
      </w:pPr>
      <w:r w:rsidRPr="00D43D10">
        <w:rPr>
          <w:rFonts w:asciiTheme="majorBidi" w:hAnsiTheme="majorBidi" w:cstheme="majorBidi"/>
          <w:iCs/>
          <w:sz w:val="24"/>
          <w:szCs w:val="24"/>
        </w:rPr>
        <w:t>Europos Parlamento ir Tarybos 2015 m. gruodžio 16 d. direktyvos 2015/2436 valstybių narių teisės aktams, susijusiems su prekių ženklais, suderinti (nauja redakcija) (toliau – Prekių ženklų direktyva 2015/2436) 15 straipsnyje reglamentuojamas prekių ženklo suteikiamų teisių pasibaigimas. Pagal šio straipsnio 1 dalį</w:t>
      </w:r>
      <w:r w:rsidR="00421AE7">
        <w:rPr>
          <w:rFonts w:asciiTheme="majorBidi" w:hAnsiTheme="majorBidi" w:cstheme="majorBidi"/>
          <w:iCs/>
          <w:sz w:val="24"/>
          <w:szCs w:val="24"/>
        </w:rPr>
        <w:t>,</w:t>
      </w:r>
      <w:r w:rsidRPr="00D43D10">
        <w:rPr>
          <w:rFonts w:asciiTheme="majorBidi" w:hAnsiTheme="majorBidi" w:cstheme="majorBidi"/>
          <w:iCs/>
          <w:sz w:val="24"/>
          <w:szCs w:val="24"/>
        </w:rPr>
        <w:t xml:space="preserve"> prekių ženklas nesuteikia jo savininkui teisės uždrausti juo žymėti prekes, kurios paties ženklo savininko arba su savininko sutikimu buvo su tuo ženklu išleistos į Sąjungos rinką. Tai netaikoma, jeigu savininkas turi teisėtų priežasčių prieštarauti tolesniam prekių </w:t>
      </w:r>
      <w:proofErr w:type="spellStart"/>
      <w:r w:rsidRPr="00D43D10">
        <w:rPr>
          <w:rFonts w:asciiTheme="majorBidi" w:hAnsiTheme="majorBidi" w:cstheme="majorBidi"/>
          <w:iCs/>
          <w:sz w:val="24"/>
          <w:szCs w:val="24"/>
        </w:rPr>
        <w:t>komercializavimui</w:t>
      </w:r>
      <w:proofErr w:type="spellEnd"/>
      <w:r w:rsidRPr="00D43D10">
        <w:rPr>
          <w:rFonts w:asciiTheme="majorBidi" w:hAnsiTheme="majorBidi" w:cstheme="majorBidi"/>
          <w:iCs/>
          <w:sz w:val="24"/>
          <w:szCs w:val="24"/>
        </w:rPr>
        <w:t xml:space="preserve">, ypač jei po išleidimo į rinką pasikeitė ar pablogėjo prekių būklė (Prekių ženklų direktyvos 2015/2436 15 straipsnio 2 dalis). </w:t>
      </w:r>
      <w:r w:rsidR="00EF5E80" w:rsidRPr="00D43D10">
        <w:rPr>
          <w:rFonts w:asciiTheme="majorBidi" w:hAnsiTheme="majorBidi" w:cstheme="majorBidi"/>
          <w:iCs/>
          <w:sz w:val="24"/>
          <w:szCs w:val="24"/>
        </w:rPr>
        <w:t xml:space="preserve">Iš esmės analogiškos taisyklės įtvirtintos </w:t>
      </w:r>
      <w:r w:rsidR="00EF5E80">
        <w:rPr>
          <w:rFonts w:asciiTheme="majorBidi" w:hAnsiTheme="majorBidi" w:cstheme="majorBidi"/>
          <w:iCs/>
          <w:sz w:val="24"/>
          <w:szCs w:val="24"/>
        </w:rPr>
        <w:t>2017 m. birželio 14 d. Europos Parlamento ir Tarybos reglamento (ES) 2017/1001 dėl Europos Sąjungos prekių ženklo (kodifikuota redakcija) (toliau – Reglamentas 2017/1001) 15 straipsnyje</w:t>
      </w:r>
      <w:r w:rsidRPr="00D43D10">
        <w:rPr>
          <w:rFonts w:asciiTheme="majorBidi" w:hAnsiTheme="majorBidi" w:cstheme="majorBidi"/>
          <w:iCs/>
          <w:sz w:val="24"/>
          <w:szCs w:val="24"/>
        </w:rPr>
        <w:t>.</w:t>
      </w:r>
    </w:p>
    <w:p w14:paraId="30ED6069" w14:textId="38BD8073" w:rsidR="00754963" w:rsidRPr="00A5619C"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D43D10">
        <w:rPr>
          <w:rFonts w:asciiTheme="majorBidi" w:hAnsiTheme="majorBidi" w:cstheme="majorBidi"/>
          <w:iCs/>
          <w:sz w:val="24"/>
          <w:szCs w:val="24"/>
        </w:rPr>
        <w:t>Prekių ženklų direktyv</w:t>
      </w:r>
      <w:r>
        <w:rPr>
          <w:rFonts w:asciiTheme="majorBidi" w:hAnsiTheme="majorBidi" w:cstheme="majorBidi"/>
          <w:iCs/>
          <w:sz w:val="24"/>
          <w:szCs w:val="24"/>
        </w:rPr>
        <w:t>os</w:t>
      </w:r>
      <w:r w:rsidRPr="00D43D10">
        <w:rPr>
          <w:rFonts w:asciiTheme="majorBidi" w:hAnsiTheme="majorBidi" w:cstheme="majorBidi"/>
          <w:iCs/>
          <w:sz w:val="24"/>
          <w:szCs w:val="24"/>
        </w:rPr>
        <w:t xml:space="preserve"> 2015/2436</w:t>
      </w:r>
      <w:r>
        <w:rPr>
          <w:rFonts w:asciiTheme="majorBidi" w:hAnsiTheme="majorBidi" w:cstheme="majorBidi"/>
          <w:iCs/>
          <w:sz w:val="24"/>
          <w:szCs w:val="24"/>
        </w:rPr>
        <w:t xml:space="preserve"> 15 straipsnyje nustatytos taisyklės perkeltos į nacionalinę teisę ir yra įtvirtintos </w:t>
      </w:r>
      <w:r w:rsidRPr="00A5619C">
        <w:rPr>
          <w:rFonts w:asciiTheme="majorBidi" w:hAnsiTheme="majorBidi" w:cstheme="majorBidi"/>
          <w:iCs/>
          <w:sz w:val="24"/>
          <w:szCs w:val="24"/>
        </w:rPr>
        <w:t>PŽĮ 19 straipsn</w:t>
      </w:r>
      <w:r>
        <w:rPr>
          <w:rFonts w:asciiTheme="majorBidi" w:hAnsiTheme="majorBidi" w:cstheme="majorBidi"/>
          <w:iCs/>
          <w:sz w:val="24"/>
          <w:szCs w:val="24"/>
        </w:rPr>
        <w:t>yje, kurio</w:t>
      </w:r>
      <w:r w:rsidRPr="00A5619C">
        <w:rPr>
          <w:rFonts w:asciiTheme="majorBidi" w:hAnsiTheme="majorBidi" w:cstheme="majorBidi"/>
          <w:iCs/>
          <w:sz w:val="24"/>
          <w:szCs w:val="24"/>
        </w:rPr>
        <w:t xml:space="preserve"> 1 dalyje nustatyta, kad ženklo savininkas neturi teisės uždrausti ženklu žymėti prekių, kurios paties ženklo savininko arba </w:t>
      </w:r>
      <w:r w:rsidR="00282280">
        <w:rPr>
          <w:rFonts w:asciiTheme="majorBidi" w:hAnsiTheme="majorBidi" w:cstheme="majorBidi"/>
          <w:iCs/>
          <w:sz w:val="24"/>
          <w:szCs w:val="24"/>
        </w:rPr>
        <w:t xml:space="preserve">su </w:t>
      </w:r>
      <w:r w:rsidRPr="00A5619C">
        <w:rPr>
          <w:rFonts w:asciiTheme="majorBidi" w:hAnsiTheme="majorBidi" w:cstheme="majorBidi"/>
          <w:iCs/>
          <w:sz w:val="24"/>
          <w:szCs w:val="24"/>
        </w:rPr>
        <w:t xml:space="preserve">jo sutikimu buvo su tuo ženklu išleistos į Europos Sąjungos rinką. Šio straipsnio 1 dalis netaikoma, jeigu ženklo savininkas turi pagrįstų priežasčių prieštarauti, kad prekės toliau būtų </w:t>
      </w:r>
      <w:proofErr w:type="spellStart"/>
      <w:r w:rsidRPr="00A5619C">
        <w:rPr>
          <w:rFonts w:asciiTheme="majorBidi" w:hAnsiTheme="majorBidi" w:cstheme="majorBidi"/>
          <w:iCs/>
          <w:sz w:val="24"/>
          <w:szCs w:val="24"/>
        </w:rPr>
        <w:t>komercializuojamos</w:t>
      </w:r>
      <w:proofErr w:type="spellEnd"/>
      <w:r w:rsidRPr="00A5619C">
        <w:rPr>
          <w:rFonts w:asciiTheme="majorBidi" w:hAnsiTheme="majorBidi" w:cstheme="majorBidi"/>
          <w:iCs/>
          <w:sz w:val="24"/>
          <w:szCs w:val="24"/>
        </w:rPr>
        <w:t xml:space="preserve"> (naudojamos siekiant gauti pelną), ypač jeigu po jų išleidimo į rinką pasikeitė ar pablogėjo prekių būklė</w:t>
      </w:r>
      <w:r>
        <w:rPr>
          <w:rFonts w:asciiTheme="majorBidi" w:hAnsiTheme="majorBidi" w:cstheme="majorBidi"/>
          <w:iCs/>
          <w:sz w:val="24"/>
          <w:szCs w:val="24"/>
        </w:rPr>
        <w:t xml:space="preserve"> (PŽĮ 19 straipsnio 2 dalis)</w:t>
      </w:r>
      <w:r w:rsidRPr="00A5619C">
        <w:rPr>
          <w:rFonts w:asciiTheme="majorBidi" w:hAnsiTheme="majorBidi" w:cstheme="majorBidi"/>
          <w:iCs/>
          <w:sz w:val="24"/>
          <w:szCs w:val="24"/>
        </w:rPr>
        <w:t>.</w:t>
      </w:r>
    </w:p>
    <w:p w14:paraId="1D9861FB" w14:textId="7BE17C51" w:rsidR="00754963" w:rsidRPr="00CE2C0B"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sidRPr="00CE2C0B">
        <w:rPr>
          <w:rFonts w:ascii="Times New Roman" w:hAnsi="Times New Roman"/>
          <w:sz w:val="24"/>
          <w:szCs w:val="24"/>
        </w:rPr>
        <w:t>Minėta Prekių ženklų įstatymo 19 straipsnio 1 dalyje įtvirtinta nuostata yra susijusi su laisv</w:t>
      </w:r>
      <w:r w:rsidR="00421AE7">
        <w:rPr>
          <w:rFonts w:ascii="Times New Roman" w:hAnsi="Times New Roman"/>
          <w:sz w:val="24"/>
          <w:szCs w:val="24"/>
        </w:rPr>
        <w:t>u</w:t>
      </w:r>
      <w:r w:rsidRPr="00CE2C0B">
        <w:rPr>
          <w:rFonts w:ascii="Times New Roman" w:hAnsi="Times New Roman"/>
          <w:sz w:val="24"/>
          <w:szCs w:val="24"/>
        </w:rPr>
        <w:t xml:space="preserve"> prekių judėjim</w:t>
      </w:r>
      <w:r>
        <w:rPr>
          <w:rFonts w:ascii="Times New Roman" w:hAnsi="Times New Roman"/>
          <w:sz w:val="24"/>
          <w:szCs w:val="24"/>
        </w:rPr>
        <w:t>u</w:t>
      </w:r>
      <w:r w:rsidRPr="00CE2C0B">
        <w:rPr>
          <w:rFonts w:ascii="Times New Roman" w:hAnsi="Times New Roman"/>
          <w:sz w:val="24"/>
          <w:szCs w:val="24"/>
        </w:rPr>
        <w:t>, kaip vienu iš esminių Europos Sąjungos principų, kuriant ir plėtojant vidaus rinką. Šis principas reiškia, kad valstybėse narėse turi būti pašalintos visos kliūtys (tokios kaip muito mokesčiai, kiekybiniai prekybos apribojimai, lygiaverčio poveikio priemonių panaikinimas), kad būtų sukurta Europos Sąjungos vidaus rinka, kurioje prekės galėtų judėti taip pat laisvai, kaip jos juda nacionalinėje rinkoje (Sutarties dėl Europos sąjungos veikimo 34</w:t>
      </w:r>
      <w:r w:rsidR="00421AE7">
        <w:rPr>
          <w:rFonts w:ascii="Times New Roman" w:hAnsi="Times New Roman"/>
          <w:sz w:val="24"/>
          <w:szCs w:val="24"/>
        </w:rPr>
        <w:t>–</w:t>
      </w:r>
      <w:r w:rsidRPr="00CE2C0B">
        <w:rPr>
          <w:rFonts w:ascii="Times New Roman" w:hAnsi="Times New Roman"/>
          <w:sz w:val="24"/>
          <w:szCs w:val="24"/>
        </w:rPr>
        <w:t>35 straipsniai</w:t>
      </w:r>
      <w:r>
        <w:rPr>
          <w:rFonts w:ascii="Times New Roman" w:hAnsi="Times New Roman"/>
          <w:sz w:val="24"/>
          <w:szCs w:val="24"/>
        </w:rPr>
        <w:t>,</w:t>
      </w:r>
      <w:r w:rsidRPr="00CE2C0B">
        <w:rPr>
          <w:rFonts w:ascii="Times New Roman" w:hAnsi="Times New Roman"/>
          <w:sz w:val="24"/>
          <w:szCs w:val="24"/>
        </w:rPr>
        <w:t xml:space="preserve"> taip pat Grigienė, J.</w:t>
      </w:r>
      <w:r w:rsidR="00421AE7">
        <w:rPr>
          <w:rFonts w:ascii="Times New Roman" w:hAnsi="Times New Roman"/>
          <w:sz w:val="24"/>
          <w:szCs w:val="24"/>
        </w:rPr>
        <w:t>,</w:t>
      </w:r>
      <w:r w:rsidRPr="00CE2C0B">
        <w:rPr>
          <w:rFonts w:ascii="Times New Roman" w:hAnsi="Times New Roman"/>
          <w:sz w:val="24"/>
          <w:szCs w:val="24"/>
        </w:rPr>
        <w:t xml:space="preserve"> </w:t>
      </w:r>
      <w:r w:rsidR="00421AE7" w:rsidRPr="00E52D29">
        <w:rPr>
          <w:rFonts w:ascii="Times New Roman" w:hAnsi="Times New Roman"/>
          <w:i/>
          <w:iCs/>
          <w:sz w:val="24"/>
          <w:szCs w:val="24"/>
        </w:rPr>
        <w:t>ir kiti</w:t>
      </w:r>
      <w:r w:rsidRPr="00CE2C0B">
        <w:rPr>
          <w:rFonts w:ascii="Times New Roman" w:hAnsi="Times New Roman"/>
          <w:sz w:val="24"/>
          <w:szCs w:val="24"/>
        </w:rPr>
        <w:t xml:space="preserve">. </w:t>
      </w:r>
      <w:r w:rsidRPr="00E52D29">
        <w:rPr>
          <w:rFonts w:ascii="Times New Roman" w:hAnsi="Times New Roman"/>
          <w:iCs/>
          <w:sz w:val="24"/>
          <w:szCs w:val="24"/>
        </w:rPr>
        <w:t>Prekės ženklo apsauga, vykdant vaistinių preparatų lygiagretų importą</w:t>
      </w:r>
      <w:r w:rsidRPr="00421AE7">
        <w:rPr>
          <w:rFonts w:ascii="Times New Roman" w:hAnsi="Times New Roman"/>
          <w:iCs/>
          <w:sz w:val="24"/>
          <w:szCs w:val="24"/>
        </w:rPr>
        <w:t>.</w:t>
      </w:r>
      <w:r w:rsidRPr="00CE2C0B">
        <w:rPr>
          <w:rFonts w:ascii="Times New Roman" w:hAnsi="Times New Roman"/>
          <w:sz w:val="24"/>
          <w:szCs w:val="24"/>
        </w:rPr>
        <w:t xml:space="preserve"> Vytauto Didžiojo universitetas. </w:t>
      </w:r>
      <w:r w:rsidRPr="00E52D29">
        <w:rPr>
          <w:rFonts w:ascii="Times New Roman" w:hAnsi="Times New Roman"/>
          <w:i/>
          <w:iCs/>
          <w:sz w:val="24"/>
          <w:szCs w:val="24"/>
        </w:rPr>
        <w:t>Teisės apžvalga</w:t>
      </w:r>
      <w:r w:rsidRPr="00CE2C0B">
        <w:rPr>
          <w:rFonts w:ascii="Times New Roman" w:hAnsi="Times New Roman"/>
          <w:sz w:val="24"/>
          <w:szCs w:val="24"/>
        </w:rPr>
        <w:t xml:space="preserve"> </w:t>
      </w:r>
      <w:r w:rsidRPr="00E52D29">
        <w:rPr>
          <w:rFonts w:ascii="Times New Roman" w:hAnsi="Times New Roman"/>
          <w:i/>
          <w:iCs/>
          <w:sz w:val="24"/>
          <w:szCs w:val="24"/>
        </w:rPr>
        <w:t>(</w:t>
      </w:r>
      <w:proofErr w:type="spellStart"/>
      <w:r w:rsidRPr="00E52D29">
        <w:rPr>
          <w:rFonts w:ascii="Times New Roman" w:hAnsi="Times New Roman"/>
          <w:i/>
          <w:iCs/>
          <w:sz w:val="24"/>
          <w:szCs w:val="24"/>
        </w:rPr>
        <w:t>Law</w:t>
      </w:r>
      <w:proofErr w:type="spellEnd"/>
      <w:r w:rsidRPr="00E52D29">
        <w:rPr>
          <w:rFonts w:ascii="Times New Roman" w:hAnsi="Times New Roman"/>
          <w:i/>
          <w:iCs/>
          <w:sz w:val="24"/>
          <w:szCs w:val="24"/>
        </w:rPr>
        <w:t xml:space="preserve"> </w:t>
      </w:r>
      <w:proofErr w:type="spellStart"/>
      <w:r w:rsidRPr="00E52D29">
        <w:rPr>
          <w:rFonts w:ascii="Times New Roman" w:hAnsi="Times New Roman"/>
          <w:i/>
          <w:iCs/>
          <w:sz w:val="24"/>
          <w:szCs w:val="24"/>
        </w:rPr>
        <w:t>review</w:t>
      </w:r>
      <w:proofErr w:type="spellEnd"/>
      <w:r w:rsidRPr="00E52D29">
        <w:rPr>
          <w:rFonts w:ascii="Times New Roman" w:hAnsi="Times New Roman"/>
          <w:i/>
          <w:iCs/>
          <w:sz w:val="24"/>
          <w:szCs w:val="24"/>
        </w:rPr>
        <w:t>)</w:t>
      </w:r>
      <w:r w:rsidRPr="00CE2C0B">
        <w:rPr>
          <w:rFonts w:ascii="Times New Roman" w:hAnsi="Times New Roman"/>
          <w:sz w:val="24"/>
          <w:szCs w:val="24"/>
        </w:rPr>
        <w:t xml:space="preserve"> 2 (24), 2021, p. 37).</w:t>
      </w:r>
    </w:p>
    <w:p w14:paraId="79F398BF" w14:textId="6DA3DF8C" w:rsidR="00754963" w:rsidRPr="00936915"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sz w:val="24"/>
          <w:szCs w:val="24"/>
        </w:rPr>
        <w:t>T</w:t>
      </w:r>
      <w:r w:rsidRPr="00CE2C0B">
        <w:rPr>
          <w:rFonts w:ascii="Times New Roman" w:hAnsi="Times New Roman"/>
          <w:sz w:val="24"/>
          <w:szCs w:val="24"/>
        </w:rPr>
        <w:t>eisės doktrinoje</w:t>
      </w:r>
      <w:r>
        <w:rPr>
          <w:rFonts w:ascii="Times New Roman" w:hAnsi="Times New Roman"/>
          <w:sz w:val="24"/>
          <w:szCs w:val="24"/>
        </w:rPr>
        <w:t xml:space="preserve"> pažymima, kad</w:t>
      </w:r>
      <w:r w:rsidRPr="00CE2C0B">
        <w:rPr>
          <w:rFonts w:ascii="Times New Roman" w:hAnsi="Times New Roman"/>
          <w:sz w:val="24"/>
          <w:szCs w:val="24"/>
        </w:rPr>
        <w:t xml:space="preserve"> laisvo prekių judėjimo principu yra grindžiama lygiagretaus importo veikla. Vaistinių preparatų lygiagretus importas vyksta dėl skirtingų vaistų kainų skirtingose valstybėse, t. y. lygiagretus importuotojas įsigyja vaistinį preparatą valstybėje narėje, kurioje produktas pardavinėjamas mažesne kaina</w:t>
      </w:r>
      <w:r w:rsidR="000C3AC0">
        <w:rPr>
          <w:rFonts w:ascii="Times New Roman" w:hAnsi="Times New Roman"/>
          <w:sz w:val="24"/>
          <w:szCs w:val="24"/>
        </w:rPr>
        <w:t>,</w:t>
      </w:r>
      <w:r w:rsidRPr="00CE2C0B">
        <w:rPr>
          <w:rFonts w:ascii="Times New Roman" w:hAnsi="Times New Roman"/>
          <w:sz w:val="24"/>
          <w:szCs w:val="24"/>
        </w:rPr>
        <w:t xml:space="preserve"> ir importuoja į valstybę narę, kurioje tas pats vaistinis preparatas pardavinėjamas didesne kaina. Lygiagrečiai importuojant vaistinius preparatus į importuojančias valstybes nares, lygiagrečiam importuotojui kyla poreikis pakoreguoti vaistinio preparato pakuotes, pritaikant jį importuojančios valstybės nacionalinei </w:t>
      </w:r>
      <w:r w:rsidRPr="00317384">
        <w:rPr>
          <w:rFonts w:ascii="Times New Roman" w:hAnsi="Times New Roman"/>
          <w:sz w:val="24"/>
          <w:szCs w:val="24"/>
        </w:rPr>
        <w:lastRenderedPageBreak/>
        <w:t>rinkai, pavyzdžiui, dėl vaistinių preparatų pakuočių ženklinimui taikomų nacionalinės kalbos reikalavimų (Grigienė, J.</w:t>
      </w:r>
      <w:r w:rsidR="00421AE7" w:rsidRPr="00317384">
        <w:rPr>
          <w:rFonts w:ascii="Times New Roman" w:hAnsi="Times New Roman"/>
          <w:sz w:val="24"/>
          <w:szCs w:val="24"/>
        </w:rPr>
        <w:t>,</w:t>
      </w:r>
      <w:r w:rsidRPr="00317384">
        <w:rPr>
          <w:rFonts w:ascii="Times New Roman" w:hAnsi="Times New Roman"/>
          <w:sz w:val="24"/>
          <w:szCs w:val="24"/>
        </w:rPr>
        <w:t xml:space="preserve"> </w:t>
      </w:r>
      <w:r w:rsidR="00421AE7" w:rsidRPr="00317384">
        <w:rPr>
          <w:rFonts w:ascii="Times New Roman" w:hAnsi="Times New Roman"/>
          <w:i/>
          <w:iCs/>
          <w:sz w:val="24"/>
          <w:szCs w:val="24"/>
        </w:rPr>
        <w:t>ir kiti</w:t>
      </w:r>
      <w:r w:rsidRPr="00317384">
        <w:rPr>
          <w:rFonts w:ascii="Times New Roman" w:hAnsi="Times New Roman"/>
          <w:sz w:val="24"/>
          <w:szCs w:val="24"/>
        </w:rPr>
        <w:t xml:space="preserve">. Prekės ženklo apsauga, vykdant vaistinių preparatų lygiagretų importą. Vytauto Didžiojo universitetas. </w:t>
      </w:r>
      <w:r w:rsidRPr="00317384">
        <w:rPr>
          <w:rFonts w:ascii="Times New Roman" w:hAnsi="Times New Roman"/>
          <w:i/>
          <w:iCs/>
          <w:sz w:val="24"/>
          <w:szCs w:val="24"/>
        </w:rPr>
        <w:t>Teisės apžvalga</w:t>
      </w:r>
      <w:r w:rsidRPr="00317384">
        <w:rPr>
          <w:rFonts w:ascii="Times New Roman" w:hAnsi="Times New Roman"/>
          <w:sz w:val="24"/>
          <w:szCs w:val="24"/>
        </w:rPr>
        <w:t xml:space="preserve"> </w:t>
      </w:r>
      <w:r w:rsidRPr="00317384">
        <w:rPr>
          <w:rFonts w:ascii="Times New Roman" w:hAnsi="Times New Roman"/>
          <w:i/>
          <w:iCs/>
          <w:sz w:val="24"/>
          <w:szCs w:val="24"/>
        </w:rPr>
        <w:t>(</w:t>
      </w:r>
      <w:proofErr w:type="spellStart"/>
      <w:r w:rsidRPr="00317384">
        <w:rPr>
          <w:rFonts w:ascii="Times New Roman" w:hAnsi="Times New Roman"/>
          <w:i/>
          <w:iCs/>
          <w:sz w:val="24"/>
          <w:szCs w:val="24"/>
        </w:rPr>
        <w:t>Law</w:t>
      </w:r>
      <w:proofErr w:type="spellEnd"/>
      <w:r w:rsidRPr="00317384">
        <w:rPr>
          <w:rFonts w:ascii="Times New Roman" w:hAnsi="Times New Roman"/>
          <w:i/>
          <w:iCs/>
          <w:sz w:val="24"/>
          <w:szCs w:val="24"/>
        </w:rPr>
        <w:t xml:space="preserve"> </w:t>
      </w:r>
      <w:proofErr w:type="spellStart"/>
      <w:r w:rsidRPr="00317384">
        <w:rPr>
          <w:rFonts w:ascii="Times New Roman" w:hAnsi="Times New Roman"/>
          <w:i/>
          <w:iCs/>
          <w:sz w:val="24"/>
          <w:szCs w:val="24"/>
        </w:rPr>
        <w:t>review</w:t>
      </w:r>
      <w:proofErr w:type="spellEnd"/>
      <w:r w:rsidRPr="00317384">
        <w:rPr>
          <w:rFonts w:ascii="Times New Roman" w:hAnsi="Times New Roman"/>
          <w:i/>
          <w:iCs/>
          <w:sz w:val="24"/>
          <w:szCs w:val="24"/>
        </w:rPr>
        <w:t>)</w:t>
      </w:r>
      <w:r w:rsidRPr="00317384">
        <w:rPr>
          <w:rFonts w:ascii="Times New Roman" w:hAnsi="Times New Roman"/>
          <w:sz w:val="24"/>
          <w:szCs w:val="24"/>
        </w:rPr>
        <w:t xml:space="preserve"> 2 (24), 2021, p. </w:t>
      </w:r>
      <w:r w:rsidR="00EF5E80" w:rsidRPr="00317384">
        <w:rPr>
          <w:rFonts w:ascii="Times New Roman" w:hAnsi="Times New Roman"/>
          <w:sz w:val="24"/>
          <w:szCs w:val="24"/>
        </w:rPr>
        <w:t>37–</w:t>
      </w:r>
      <w:r w:rsidRPr="00317384">
        <w:rPr>
          <w:rFonts w:ascii="Times New Roman" w:hAnsi="Times New Roman"/>
          <w:sz w:val="24"/>
          <w:szCs w:val="24"/>
        </w:rPr>
        <w:t>38). Vykdant lygiagretų vaistinių preparatų importą turi būti užtikrinama ne tik balansas tarp laisvo prekių judėjimo ir prekių ženklo savininko teisių apsaugos, bet ir vertinamas pacientų saugumas bei visuomenės sveikatos užtikrinimas (Grigienė, J.</w:t>
      </w:r>
      <w:r w:rsidR="000C3AC0" w:rsidRPr="00317384">
        <w:rPr>
          <w:rFonts w:ascii="Times New Roman" w:hAnsi="Times New Roman"/>
          <w:sz w:val="24"/>
          <w:szCs w:val="24"/>
        </w:rPr>
        <w:t>,</w:t>
      </w:r>
      <w:r w:rsidRPr="00317384">
        <w:rPr>
          <w:rFonts w:ascii="Times New Roman" w:hAnsi="Times New Roman"/>
          <w:sz w:val="24"/>
          <w:szCs w:val="24"/>
        </w:rPr>
        <w:t xml:space="preserve"> </w:t>
      </w:r>
      <w:r w:rsidR="000C3AC0" w:rsidRPr="00317384">
        <w:rPr>
          <w:rFonts w:ascii="Times New Roman" w:hAnsi="Times New Roman"/>
          <w:i/>
          <w:iCs/>
          <w:sz w:val="24"/>
          <w:szCs w:val="24"/>
        </w:rPr>
        <w:t>ir kiti</w:t>
      </w:r>
      <w:r w:rsidRPr="00317384">
        <w:rPr>
          <w:rFonts w:ascii="Times New Roman" w:hAnsi="Times New Roman"/>
          <w:sz w:val="24"/>
          <w:szCs w:val="24"/>
        </w:rPr>
        <w:t xml:space="preserve">. Prekės ženklo apsauga, vykdant vaistinių preparatų lygiagretų importą. Vytauto Didžiojo universitetas. </w:t>
      </w:r>
      <w:r w:rsidRPr="00317384">
        <w:rPr>
          <w:rFonts w:ascii="Times New Roman" w:hAnsi="Times New Roman"/>
          <w:i/>
          <w:iCs/>
          <w:sz w:val="24"/>
          <w:szCs w:val="24"/>
        </w:rPr>
        <w:t>Teisės apžvalga</w:t>
      </w:r>
      <w:r w:rsidRPr="00317384">
        <w:rPr>
          <w:rFonts w:ascii="Times New Roman" w:hAnsi="Times New Roman"/>
          <w:sz w:val="24"/>
          <w:szCs w:val="24"/>
        </w:rPr>
        <w:t xml:space="preserve"> </w:t>
      </w:r>
      <w:r w:rsidRPr="00317384">
        <w:rPr>
          <w:rFonts w:ascii="Times New Roman" w:hAnsi="Times New Roman"/>
          <w:i/>
          <w:iCs/>
          <w:sz w:val="24"/>
          <w:szCs w:val="24"/>
        </w:rPr>
        <w:t>(</w:t>
      </w:r>
      <w:proofErr w:type="spellStart"/>
      <w:r w:rsidRPr="00317384">
        <w:rPr>
          <w:rFonts w:ascii="Times New Roman" w:hAnsi="Times New Roman"/>
          <w:i/>
          <w:iCs/>
          <w:sz w:val="24"/>
          <w:szCs w:val="24"/>
        </w:rPr>
        <w:t>Law</w:t>
      </w:r>
      <w:proofErr w:type="spellEnd"/>
      <w:r w:rsidRPr="00317384">
        <w:rPr>
          <w:rFonts w:ascii="Times New Roman" w:hAnsi="Times New Roman"/>
          <w:sz w:val="24"/>
          <w:szCs w:val="24"/>
        </w:rPr>
        <w:t xml:space="preserve"> </w:t>
      </w:r>
      <w:proofErr w:type="spellStart"/>
      <w:r w:rsidRPr="00317384">
        <w:rPr>
          <w:rFonts w:ascii="Times New Roman" w:hAnsi="Times New Roman"/>
          <w:i/>
          <w:iCs/>
          <w:sz w:val="24"/>
          <w:szCs w:val="24"/>
        </w:rPr>
        <w:t>review</w:t>
      </w:r>
      <w:proofErr w:type="spellEnd"/>
      <w:r w:rsidRPr="00317384">
        <w:rPr>
          <w:rFonts w:ascii="Times New Roman" w:hAnsi="Times New Roman"/>
          <w:i/>
          <w:iCs/>
          <w:sz w:val="24"/>
          <w:szCs w:val="24"/>
        </w:rPr>
        <w:t>)</w:t>
      </w:r>
      <w:r w:rsidRPr="00317384">
        <w:rPr>
          <w:rFonts w:ascii="Times New Roman" w:hAnsi="Times New Roman"/>
          <w:sz w:val="24"/>
          <w:szCs w:val="24"/>
        </w:rPr>
        <w:t>, 2 (24), 2021,</w:t>
      </w:r>
      <w:r w:rsidRPr="00CE2C0B">
        <w:rPr>
          <w:rFonts w:ascii="Times New Roman" w:hAnsi="Times New Roman"/>
          <w:sz w:val="24"/>
          <w:szCs w:val="24"/>
        </w:rPr>
        <w:t xml:space="preserve"> p. 54).</w:t>
      </w:r>
    </w:p>
    <w:p w14:paraId="1137CAEE" w14:textId="77777777" w:rsidR="00754963" w:rsidRPr="00936915" w:rsidRDefault="00754963" w:rsidP="00754963">
      <w:pPr>
        <w:pStyle w:val="ListParagraph"/>
        <w:numPr>
          <w:ilvl w:val="0"/>
          <w:numId w:val="3"/>
        </w:numPr>
        <w:spacing w:before="120" w:after="120" w:line="240" w:lineRule="auto"/>
        <w:ind w:left="357" w:hanging="357"/>
        <w:contextualSpacing w:val="0"/>
        <w:jc w:val="both"/>
        <w:rPr>
          <w:rFonts w:ascii="Times New Roman" w:hAnsi="Times New Roman"/>
          <w:iCs/>
          <w:sz w:val="24"/>
          <w:szCs w:val="24"/>
        </w:rPr>
      </w:pPr>
      <w:r w:rsidRPr="006D3067">
        <w:rPr>
          <w:rFonts w:asciiTheme="majorBidi" w:hAnsiTheme="majorBidi" w:cstheme="majorBidi"/>
          <w:iCs/>
          <w:sz w:val="24"/>
          <w:szCs w:val="24"/>
        </w:rPr>
        <w:t xml:space="preserve">Kasacinio teismo praktikoje pripažinta, kad lygiagretus vaistų importas svarbus dėl kelių itin reikšmingų priežasčių. Pirma, lygiagretus importas gali suteikti daugiau galimybių vartotojams, kuriems reikalingi vaistai, šių įsigyti už prieinamą kainą: importuodami vaistus iš šalių, kuriose jie yra pigesni, lygiagretūs importuotojai gali juos parduoti už mažesnę kainą, todėl vaistai tampa </w:t>
      </w:r>
      <w:proofErr w:type="spellStart"/>
      <w:r w:rsidRPr="006D3067">
        <w:rPr>
          <w:rFonts w:asciiTheme="majorBidi" w:hAnsiTheme="majorBidi" w:cstheme="majorBidi"/>
          <w:iCs/>
          <w:sz w:val="24"/>
          <w:szCs w:val="24"/>
        </w:rPr>
        <w:t>prieinamesni</w:t>
      </w:r>
      <w:proofErr w:type="spellEnd"/>
      <w:r w:rsidRPr="006D3067">
        <w:rPr>
          <w:rFonts w:asciiTheme="majorBidi" w:hAnsiTheme="majorBidi" w:cstheme="majorBidi"/>
          <w:iCs/>
          <w:sz w:val="24"/>
          <w:szCs w:val="24"/>
        </w:rPr>
        <w:t xml:space="preserve"> asmenims, kurie kitu atveju turėtų sunkumų juos įsigyjant, ypač įsigyjant brangių vaistų, taip pat vaistų tose šalyse, kuriose vaistų kaina yra didelė arba kuriose tam tikrų vaistų tiekimas yra ribotas. Antra, lygiagretus importas didina konkurenciją vaistų rinkoje, taip pat skatina vaistų gamintojus ir pagrindiniame tiekimo kanale veikiančius subjektus didinti savo prekių konkurencingumą. Didesnė konkurencija taip pat gali paskatinti farmacijos įmones diegti naujoves ir kurti naujus produktus, tobulinti esamus preparatus. Trečia, lygiagretus importas stiprina ir diversifikuoja tiekimo grandinę, tokiu būdu sumažina tiekimo grandinės sutrikimų riziką ir užtikrina stabilesnį ir patikimesnį vaistų tiekimą (Lietuvos Aukščiausiojo Teismo 2023</w:t>
      </w:r>
      <w:r>
        <w:rPr>
          <w:rFonts w:asciiTheme="majorBidi" w:hAnsiTheme="majorBidi" w:cstheme="majorBidi"/>
          <w:iCs/>
          <w:sz w:val="24"/>
          <w:szCs w:val="24"/>
        </w:rPr>
        <w:t> </w:t>
      </w:r>
      <w:r w:rsidRPr="006D3067">
        <w:rPr>
          <w:rFonts w:asciiTheme="majorBidi" w:hAnsiTheme="majorBidi" w:cstheme="majorBidi"/>
          <w:iCs/>
          <w:sz w:val="24"/>
          <w:szCs w:val="24"/>
        </w:rPr>
        <w:t xml:space="preserve">m. kovo 31 d. nutartis civilinėje byloje Nr. e3K-3-84-969/2023, </w:t>
      </w:r>
      <w:r w:rsidRPr="00235143">
        <w:rPr>
          <w:rFonts w:asciiTheme="majorBidi" w:hAnsiTheme="majorBidi" w:cstheme="majorBidi"/>
          <w:iCs/>
          <w:sz w:val="24"/>
          <w:szCs w:val="24"/>
        </w:rPr>
        <w:t>103 punktas).</w:t>
      </w:r>
    </w:p>
    <w:p w14:paraId="2470C389" w14:textId="357399CC" w:rsidR="00754963" w:rsidRPr="00F32E0A"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bookmarkStart w:id="11" w:name="_Hlk155772912"/>
      <w:r w:rsidRPr="00F32E0A">
        <w:rPr>
          <w:rFonts w:ascii="Times New Roman" w:hAnsi="Times New Roman"/>
          <w:iCs/>
          <w:sz w:val="24"/>
          <w:szCs w:val="24"/>
        </w:rPr>
        <w:t>Teisėjų kolegija pažymi, kad nors ieškovė į teismą kreipėsi dėl jos, kaip prek</w:t>
      </w:r>
      <w:r w:rsidR="00282280">
        <w:rPr>
          <w:rFonts w:ascii="Times New Roman" w:hAnsi="Times New Roman"/>
          <w:iCs/>
          <w:sz w:val="24"/>
          <w:szCs w:val="24"/>
        </w:rPr>
        <w:t>ių</w:t>
      </w:r>
      <w:r w:rsidRPr="00F32E0A">
        <w:rPr>
          <w:rFonts w:ascii="Times New Roman" w:hAnsi="Times New Roman"/>
          <w:iCs/>
          <w:sz w:val="24"/>
          <w:szCs w:val="24"/>
        </w:rPr>
        <w:t xml:space="preserve"> ženklo savininkės</w:t>
      </w:r>
      <w:r>
        <w:rPr>
          <w:rFonts w:ascii="Times New Roman" w:hAnsi="Times New Roman"/>
          <w:iCs/>
          <w:sz w:val="24"/>
          <w:szCs w:val="24"/>
        </w:rPr>
        <w:t>,</w:t>
      </w:r>
      <w:r w:rsidRPr="00F32E0A">
        <w:rPr>
          <w:rFonts w:ascii="Times New Roman" w:hAnsi="Times New Roman"/>
          <w:iCs/>
          <w:sz w:val="24"/>
          <w:szCs w:val="24"/>
        </w:rPr>
        <w:t xml:space="preserve"> teisių į jai priklausantį prek</w:t>
      </w:r>
      <w:r w:rsidR="00282280">
        <w:rPr>
          <w:rFonts w:ascii="Times New Roman" w:hAnsi="Times New Roman"/>
          <w:iCs/>
          <w:sz w:val="24"/>
          <w:szCs w:val="24"/>
        </w:rPr>
        <w:t>ių</w:t>
      </w:r>
      <w:r w:rsidRPr="00F32E0A">
        <w:rPr>
          <w:rFonts w:ascii="Times New Roman" w:hAnsi="Times New Roman"/>
          <w:iCs/>
          <w:sz w:val="24"/>
          <w:szCs w:val="24"/>
        </w:rPr>
        <w:t xml:space="preserve"> ženkl</w:t>
      </w:r>
      <w:r>
        <w:rPr>
          <w:rFonts w:ascii="Times New Roman" w:hAnsi="Times New Roman"/>
          <w:iCs/>
          <w:sz w:val="24"/>
          <w:szCs w:val="24"/>
        </w:rPr>
        <w:t>ą</w:t>
      </w:r>
      <w:r w:rsidRPr="00F32E0A">
        <w:rPr>
          <w:rFonts w:ascii="Times New Roman" w:hAnsi="Times New Roman"/>
          <w:iCs/>
          <w:sz w:val="24"/>
          <w:szCs w:val="24"/>
        </w:rPr>
        <w:t xml:space="preserve"> apsaugos, šioje byloje kilęs ginčas yra susijęs ne tik su prekių ženklo savininko teisių apsauga, bet ir su veiksmingos konkurencijos vaistų rinkoje užtikrinimu.</w:t>
      </w:r>
      <w:bookmarkEnd w:id="11"/>
    </w:p>
    <w:p w14:paraId="0806C7D0" w14:textId="77777777" w:rsidR="00EF5E80"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ESTT jurisprudencijoje pažymima, kad </w:t>
      </w:r>
      <w:r w:rsidRPr="008B0C07">
        <w:rPr>
          <w:rFonts w:ascii="Times New Roman" w:hAnsi="Times New Roman"/>
          <w:iCs/>
          <w:sz w:val="24"/>
          <w:szCs w:val="24"/>
        </w:rPr>
        <w:t xml:space="preserve">prie dirbtinio valstybių narių rinkų atskyrimo prisidedama, kai prekių ženklo savininkas, skirtingose valstybėse narėse prekiaujantis tapačiu skirtingu prekių ženklu pažymėtu vaistu (priklausomai nuo to, kokioje valstybėje narėje prekiaujama šiuo vaistu), prieštarauja, </w:t>
      </w:r>
      <w:r>
        <w:rPr>
          <w:rFonts w:ascii="Times New Roman" w:hAnsi="Times New Roman"/>
          <w:iCs/>
          <w:sz w:val="24"/>
          <w:szCs w:val="24"/>
        </w:rPr>
        <w:t>jog</w:t>
      </w:r>
      <w:r w:rsidRPr="008B0C07">
        <w:rPr>
          <w:rFonts w:ascii="Times New Roman" w:hAnsi="Times New Roman"/>
          <w:iCs/>
          <w:sz w:val="24"/>
          <w:szCs w:val="24"/>
        </w:rPr>
        <w:t xml:space="preserve"> prekių ženklas, naudojamas eksporto valstybėje narėje, būtų pakeistas prekių ženklu, kurį šis savininkas naudoja importo valstybėje narėje, jeigu toks pakeitimas yra objektyviai būtinas tam, kad lygiagretus importuotojas galėtų prekiauti tuo vaistu pastarojoje valstybėje narėje (</w:t>
      </w:r>
      <w:r>
        <w:rPr>
          <w:rFonts w:ascii="Times New Roman" w:hAnsi="Times New Roman"/>
          <w:iCs/>
          <w:sz w:val="24"/>
          <w:szCs w:val="24"/>
        </w:rPr>
        <w:t>ESTT</w:t>
      </w:r>
      <w:r w:rsidRPr="008B0C07">
        <w:rPr>
          <w:rFonts w:ascii="Times New Roman" w:hAnsi="Times New Roman"/>
          <w:iCs/>
          <w:sz w:val="24"/>
          <w:szCs w:val="24"/>
        </w:rPr>
        <w:t xml:space="preserve"> 1999 m. spalio 12 d. </w:t>
      </w:r>
      <w:proofErr w:type="spellStart"/>
      <w:r>
        <w:rPr>
          <w:rFonts w:ascii="Times New Roman" w:hAnsi="Times New Roman"/>
          <w:iCs/>
          <w:sz w:val="24"/>
          <w:szCs w:val="24"/>
        </w:rPr>
        <w:t>prejudicini</w:t>
      </w:r>
      <w:r w:rsidR="00282280">
        <w:rPr>
          <w:rFonts w:ascii="Times New Roman" w:hAnsi="Times New Roman"/>
          <w:iCs/>
          <w:sz w:val="24"/>
          <w:szCs w:val="24"/>
        </w:rPr>
        <w:t>s</w:t>
      </w:r>
      <w:proofErr w:type="spellEnd"/>
      <w:r>
        <w:rPr>
          <w:rFonts w:ascii="Times New Roman" w:hAnsi="Times New Roman"/>
          <w:iCs/>
          <w:sz w:val="24"/>
          <w:szCs w:val="24"/>
        </w:rPr>
        <w:t xml:space="preserve"> s</w:t>
      </w:r>
      <w:r w:rsidRPr="008B0C07">
        <w:rPr>
          <w:rFonts w:ascii="Times New Roman" w:hAnsi="Times New Roman"/>
          <w:iCs/>
          <w:sz w:val="24"/>
          <w:szCs w:val="24"/>
        </w:rPr>
        <w:t>prendim</w:t>
      </w:r>
      <w:r w:rsidR="00282280">
        <w:rPr>
          <w:rFonts w:ascii="Times New Roman" w:hAnsi="Times New Roman"/>
          <w:iCs/>
          <w:sz w:val="24"/>
          <w:szCs w:val="24"/>
        </w:rPr>
        <w:t>as</w:t>
      </w:r>
      <w:r>
        <w:rPr>
          <w:rFonts w:ascii="Times New Roman" w:hAnsi="Times New Roman"/>
          <w:iCs/>
          <w:sz w:val="24"/>
          <w:szCs w:val="24"/>
        </w:rPr>
        <w:t xml:space="preserve"> byloje</w:t>
      </w:r>
      <w:r w:rsidRPr="008B0C07">
        <w:rPr>
          <w:rFonts w:ascii="Times New Roman" w:hAnsi="Times New Roman"/>
          <w:iCs/>
          <w:sz w:val="24"/>
          <w:szCs w:val="24"/>
        </w:rPr>
        <w:t xml:space="preserve"> </w:t>
      </w:r>
      <w:proofErr w:type="spellStart"/>
      <w:r w:rsidRPr="008B0C07">
        <w:rPr>
          <w:rFonts w:ascii="Times New Roman" w:hAnsi="Times New Roman"/>
          <w:i/>
          <w:sz w:val="24"/>
          <w:szCs w:val="24"/>
        </w:rPr>
        <w:t>Upjohn</w:t>
      </w:r>
      <w:proofErr w:type="spellEnd"/>
      <w:r w:rsidRPr="008B0C07">
        <w:rPr>
          <w:rFonts w:ascii="Times New Roman" w:hAnsi="Times New Roman"/>
          <w:iCs/>
          <w:sz w:val="24"/>
          <w:szCs w:val="24"/>
        </w:rPr>
        <w:t>, C‑379/97, 19 ir 38–40 punkt</w:t>
      </w:r>
      <w:r>
        <w:rPr>
          <w:rFonts w:ascii="Times New Roman" w:hAnsi="Times New Roman"/>
          <w:iCs/>
          <w:sz w:val="24"/>
          <w:szCs w:val="24"/>
        </w:rPr>
        <w:t>ai</w:t>
      </w:r>
      <w:r w:rsidRPr="008B0C07">
        <w:rPr>
          <w:rFonts w:ascii="Times New Roman" w:hAnsi="Times New Roman"/>
          <w:iCs/>
          <w:sz w:val="24"/>
          <w:szCs w:val="24"/>
        </w:rPr>
        <w:t>).</w:t>
      </w:r>
      <w:r>
        <w:rPr>
          <w:rFonts w:ascii="Times New Roman" w:hAnsi="Times New Roman"/>
          <w:iCs/>
          <w:sz w:val="24"/>
          <w:szCs w:val="24"/>
        </w:rPr>
        <w:t xml:space="preserve"> Taigi, teismas, nagrinėdamas prekių ženklo savininko pareikštą ieškinį dėl galimo jo teisių į tam tikrą prekių ženklą pažeidim</w:t>
      </w:r>
      <w:r w:rsidR="00282280">
        <w:rPr>
          <w:rFonts w:ascii="Times New Roman" w:hAnsi="Times New Roman"/>
          <w:iCs/>
          <w:sz w:val="24"/>
          <w:szCs w:val="24"/>
        </w:rPr>
        <w:t>o</w:t>
      </w:r>
      <w:r>
        <w:rPr>
          <w:rFonts w:ascii="Times New Roman" w:hAnsi="Times New Roman"/>
          <w:iCs/>
          <w:sz w:val="24"/>
          <w:szCs w:val="24"/>
        </w:rPr>
        <w:t>, turi atsižvelgti ir įvertinti, ar prekių ženklo savininko prieštaravimas lygiagrečiam importuotojui perpakuoti tą pačią prekę, kuria prekių ženklo savininkas kitoje valstybėje narėje prekiauja kita pakuote ir pavadinimu, neprieštarauja vienai pagrindinių ES laisvių – laisvam prekių judėjimui</w:t>
      </w:r>
      <w:r w:rsidR="000C3AC0">
        <w:rPr>
          <w:rFonts w:ascii="Times New Roman" w:hAnsi="Times New Roman"/>
          <w:iCs/>
          <w:sz w:val="24"/>
          <w:szCs w:val="24"/>
        </w:rPr>
        <w:t xml:space="preserve"> –</w:t>
      </w:r>
      <w:r>
        <w:rPr>
          <w:rFonts w:ascii="Times New Roman" w:hAnsi="Times New Roman"/>
          <w:iCs/>
          <w:sz w:val="24"/>
          <w:szCs w:val="24"/>
        </w:rPr>
        <w:t xml:space="preserve"> ir taip neiškreipia konkurencijos ES vaistų rinkoje, t. y. ar egzistuoja objektyvus būtinumas lygiagrečiam importuotojui perpakuoti vaistinį preparatą, siekiant veiksmingai įeiti į rinką.</w:t>
      </w:r>
    </w:p>
    <w:p w14:paraId="4CAFAD41" w14:textId="547AA7E3" w:rsidR="00EF5E80" w:rsidRDefault="00EF5E80" w:rsidP="00EF5E80">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Suprantama, tai savaime nereiškia, kad turi būti paneigiamos ieškovės, kaip atitinkamų prekių ženklų savininkės, teisės, kai jomis naudojamasi pagal jų paskirtį. Kaip nurodoma ir teisės doktrinoje, kiekvienas vaistinių preparatų gamintojas sprendžia, ar tą patį produktą skirtingose valstybėse narėse žymėti tuo pačiu prekių ženklu ar skirtingu prekių ženklu (Grigienė, J., </w:t>
      </w:r>
      <w:r w:rsidRPr="00EF5E80">
        <w:rPr>
          <w:rFonts w:ascii="Times New Roman" w:hAnsi="Times New Roman"/>
          <w:i/>
          <w:sz w:val="24"/>
          <w:szCs w:val="24"/>
        </w:rPr>
        <w:t>ir kiti</w:t>
      </w:r>
      <w:r>
        <w:rPr>
          <w:rFonts w:ascii="Times New Roman" w:hAnsi="Times New Roman"/>
          <w:iCs/>
          <w:sz w:val="24"/>
          <w:szCs w:val="24"/>
        </w:rPr>
        <w:t xml:space="preserve">. </w:t>
      </w:r>
      <w:proofErr w:type="spellStart"/>
      <w:r w:rsidRPr="00EF5E80">
        <w:rPr>
          <w:rFonts w:ascii="Times New Roman" w:hAnsi="Times New Roman"/>
          <w:iCs/>
          <w:sz w:val="24"/>
          <w:szCs w:val="24"/>
        </w:rPr>
        <w:t>Can</w:t>
      </w:r>
      <w:proofErr w:type="spellEnd"/>
      <w:r w:rsidRPr="00EF5E80">
        <w:rPr>
          <w:rFonts w:ascii="Times New Roman" w:hAnsi="Times New Roman"/>
          <w:iCs/>
          <w:sz w:val="24"/>
          <w:szCs w:val="24"/>
        </w:rPr>
        <w:t xml:space="preserve"> a </w:t>
      </w:r>
      <w:proofErr w:type="spellStart"/>
      <w:r w:rsidRPr="00EF5E80">
        <w:rPr>
          <w:rFonts w:ascii="Times New Roman" w:hAnsi="Times New Roman"/>
          <w:iCs/>
          <w:sz w:val="24"/>
          <w:szCs w:val="24"/>
        </w:rPr>
        <w:t>Parallel</w:t>
      </w:r>
      <w:proofErr w:type="spellEnd"/>
      <w:r w:rsidRPr="00EF5E80">
        <w:rPr>
          <w:rFonts w:ascii="Times New Roman" w:hAnsi="Times New Roman"/>
          <w:iCs/>
          <w:sz w:val="24"/>
          <w:szCs w:val="24"/>
        </w:rPr>
        <w:t xml:space="preserve"> </w:t>
      </w:r>
      <w:proofErr w:type="spellStart"/>
      <w:r w:rsidRPr="00EF5E80">
        <w:rPr>
          <w:rFonts w:ascii="Times New Roman" w:hAnsi="Times New Roman"/>
          <w:iCs/>
          <w:sz w:val="24"/>
          <w:szCs w:val="24"/>
        </w:rPr>
        <w:t>Importer</w:t>
      </w:r>
      <w:proofErr w:type="spellEnd"/>
      <w:r w:rsidRPr="00EF5E80">
        <w:rPr>
          <w:rFonts w:ascii="Times New Roman" w:hAnsi="Times New Roman"/>
          <w:iCs/>
          <w:sz w:val="24"/>
          <w:szCs w:val="24"/>
        </w:rPr>
        <w:t xml:space="preserve"> </w:t>
      </w:r>
      <w:proofErr w:type="spellStart"/>
      <w:r w:rsidRPr="00EF5E80">
        <w:rPr>
          <w:rFonts w:ascii="Times New Roman" w:hAnsi="Times New Roman"/>
          <w:iCs/>
          <w:sz w:val="24"/>
          <w:szCs w:val="24"/>
        </w:rPr>
        <w:t>Rebrand</w:t>
      </w:r>
      <w:proofErr w:type="spellEnd"/>
      <w:r w:rsidRPr="00EF5E80">
        <w:rPr>
          <w:rFonts w:ascii="Times New Roman" w:hAnsi="Times New Roman"/>
          <w:iCs/>
          <w:sz w:val="24"/>
          <w:szCs w:val="24"/>
        </w:rPr>
        <w:t xml:space="preserve"> </w:t>
      </w:r>
      <w:proofErr w:type="spellStart"/>
      <w:r w:rsidRPr="00EF5E80">
        <w:rPr>
          <w:rFonts w:ascii="Times New Roman" w:hAnsi="Times New Roman"/>
          <w:iCs/>
          <w:sz w:val="24"/>
          <w:szCs w:val="24"/>
        </w:rPr>
        <w:t>Pharmaceutical</w:t>
      </w:r>
      <w:proofErr w:type="spellEnd"/>
      <w:r w:rsidRPr="00EF5E80">
        <w:rPr>
          <w:rFonts w:ascii="Times New Roman" w:hAnsi="Times New Roman"/>
          <w:iCs/>
          <w:sz w:val="24"/>
          <w:szCs w:val="24"/>
        </w:rPr>
        <w:t xml:space="preserve"> </w:t>
      </w:r>
      <w:proofErr w:type="spellStart"/>
      <w:r w:rsidRPr="00EF5E80">
        <w:rPr>
          <w:rFonts w:ascii="Times New Roman" w:hAnsi="Times New Roman"/>
          <w:iCs/>
          <w:sz w:val="24"/>
          <w:szCs w:val="24"/>
        </w:rPr>
        <w:t>Products</w:t>
      </w:r>
      <w:proofErr w:type="spellEnd"/>
      <w:r w:rsidRPr="00EF5E80">
        <w:rPr>
          <w:rFonts w:ascii="Times New Roman" w:hAnsi="Times New Roman"/>
          <w:iCs/>
          <w:sz w:val="24"/>
          <w:szCs w:val="24"/>
        </w:rPr>
        <w:t xml:space="preserve"> </w:t>
      </w:r>
      <w:proofErr w:type="spellStart"/>
      <w:r w:rsidRPr="00EF5E80">
        <w:rPr>
          <w:rFonts w:ascii="Times New Roman" w:hAnsi="Times New Roman"/>
          <w:iCs/>
          <w:sz w:val="24"/>
          <w:szCs w:val="24"/>
        </w:rPr>
        <w:t>in</w:t>
      </w:r>
      <w:proofErr w:type="spellEnd"/>
      <w:r w:rsidRPr="00EF5E80">
        <w:rPr>
          <w:rFonts w:ascii="Times New Roman" w:hAnsi="Times New Roman"/>
          <w:iCs/>
          <w:sz w:val="24"/>
          <w:szCs w:val="24"/>
        </w:rPr>
        <w:t xml:space="preserve"> </w:t>
      </w:r>
      <w:proofErr w:type="spellStart"/>
      <w:r w:rsidRPr="00EF5E80">
        <w:rPr>
          <w:rFonts w:ascii="Times New Roman" w:hAnsi="Times New Roman"/>
          <w:iCs/>
          <w:sz w:val="24"/>
          <w:szCs w:val="24"/>
        </w:rPr>
        <w:t>the</w:t>
      </w:r>
      <w:proofErr w:type="spellEnd"/>
      <w:r w:rsidRPr="00EF5E80">
        <w:rPr>
          <w:rFonts w:ascii="Times New Roman" w:hAnsi="Times New Roman"/>
          <w:iCs/>
          <w:sz w:val="24"/>
          <w:szCs w:val="24"/>
        </w:rPr>
        <w:t xml:space="preserve"> EU</w:t>
      </w:r>
      <w:r>
        <w:rPr>
          <w:rFonts w:ascii="Times New Roman" w:hAnsi="Times New Roman"/>
          <w:iCs/>
          <w:sz w:val="24"/>
          <w:szCs w:val="24"/>
        </w:rPr>
        <w:t>?</w:t>
      </w:r>
      <w:r>
        <w:rPr>
          <w:rFonts w:ascii="Times New Roman" w:hAnsi="Times New Roman"/>
          <w:sz w:val="24"/>
          <w:szCs w:val="24"/>
        </w:rPr>
        <w:t xml:space="preserve"> </w:t>
      </w:r>
      <w:proofErr w:type="spellStart"/>
      <w:r>
        <w:rPr>
          <w:rFonts w:ascii="Times New Roman" w:hAnsi="Times New Roman"/>
          <w:sz w:val="24"/>
          <w:szCs w:val="24"/>
        </w:rPr>
        <w:t>Tallinn</w:t>
      </w:r>
      <w:proofErr w:type="spellEnd"/>
      <w:r>
        <w:rPr>
          <w:rFonts w:ascii="Times New Roman" w:hAnsi="Times New Roman"/>
          <w:sz w:val="24"/>
          <w:szCs w:val="24"/>
        </w:rPr>
        <w:t xml:space="preserve"> University </w:t>
      </w:r>
      <w:proofErr w:type="spellStart"/>
      <w:r>
        <w:rPr>
          <w:rFonts w:ascii="Times New Roman" w:hAnsi="Times New Roman"/>
          <w:sz w:val="24"/>
          <w:szCs w:val="24"/>
        </w:rPr>
        <w:t>of</w:t>
      </w:r>
      <w:proofErr w:type="spellEnd"/>
      <w:r>
        <w:rPr>
          <w:rFonts w:ascii="Times New Roman" w:hAnsi="Times New Roman"/>
          <w:sz w:val="24"/>
          <w:szCs w:val="24"/>
        </w:rPr>
        <w:t xml:space="preserve"> </w:t>
      </w:r>
      <w:proofErr w:type="spellStart"/>
      <w:r>
        <w:rPr>
          <w:rFonts w:ascii="Times New Roman" w:hAnsi="Times New Roman"/>
          <w:sz w:val="24"/>
          <w:szCs w:val="24"/>
        </w:rPr>
        <w:t>Technology</w:t>
      </w:r>
      <w:proofErr w:type="spellEnd"/>
      <w:r>
        <w:rPr>
          <w:rFonts w:ascii="Times New Roman" w:hAnsi="Times New Roman"/>
          <w:sz w:val="24"/>
          <w:szCs w:val="24"/>
        </w:rPr>
        <w:t xml:space="preserve">. </w:t>
      </w:r>
      <w:r w:rsidRPr="00EF5E80">
        <w:rPr>
          <w:rFonts w:ascii="Times New Roman" w:hAnsi="Times New Roman"/>
          <w:i/>
          <w:iCs/>
          <w:sz w:val="24"/>
          <w:szCs w:val="24"/>
        </w:rPr>
        <w:t xml:space="preserve">Baltic </w:t>
      </w:r>
      <w:proofErr w:type="spellStart"/>
      <w:r w:rsidRPr="00EF5E80">
        <w:rPr>
          <w:rFonts w:ascii="Times New Roman" w:hAnsi="Times New Roman"/>
          <w:i/>
          <w:iCs/>
          <w:sz w:val="24"/>
          <w:szCs w:val="24"/>
        </w:rPr>
        <w:t>Journal</w:t>
      </w:r>
      <w:proofErr w:type="spellEnd"/>
      <w:r w:rsidRPr="00EF5E80">
        <w:rPr>
          <w:rFonts w:ascii="Times New Roman" w:hAnsi="Times New Roman"/>
          <w:i/>
          <w:iCs/>
          <w:sz w:val="24"/>
          <w:szCs w:val="24"/>
        </w:rPr>
        <w:t xml:space="preserve"> </w:t>
      </w:r>
      <w:proofErr w:type="spellStart"/>
      <w:r w:rsidRPr="00EF5E80">
        <w:rPr>
          <w:rFonts w:ascii="Times New Roman" w:hAnsi="Times New Roman"/>
          <w:i/>
          <w:iCs/>
          <w:sz w:val="24"/>
          <w:szCs w:val="24"/>
        </w:rPr>
        <w:t>of</w:t>
      </w:r>
      <w:proofErr w:type="spellEnd"/>
      <w:r w:rsidRPr="00EF5E80">
        <w:rPr>
          <w:rFonts w:ascii="Times New Roman" w:hAnsi="Times New Roman"/>
          <w:i/>
          <w:iCs/>
          <w:sz w:val="24"/>
          <w:szCs w:val="24"/>
        </w:rPr>
        <w:t xml:space="preserve"> </w:t>
      </w:r>
      <w:proofErr w:type="spellStart"/>
      <w:r w:rsidRPr="00EF5E80">
        <w:rPr>
          <w:rFonts w:ascii="Times New Roman" w:hAnsi="Times New Roman"/>
          <w:i/>
          <w:iCs/>
          <w:sz w:val="24"/>
          <w:szCs w:val="24"/>
        </w:rPr>
        <w:t>European</w:t>
      </w:r>
      <w:proofErr w:type="spellEnd"/>
      <w:r w:rsidRPr="00EF5E80">
        <w:rPr>
          <w:rFonts w:ascii="Times New Roman" w:hAnsi="Times New Roman"/>
          <w:i/>
          <w:iCs/>
          <w:sz w:val="24"/>
          <w:szCs w:val="24"/>
        </w:rPr>
        <w:t xml:space="preserve"> </w:t>
      </w:r>
      <w:proofErr w:type="spellStart"/>
      <w:r w:rsidRPr="00EF5E80">
        <w:rPr>
          <w:rFonts w:ascii="Times New Roman" w:hAnsi="Times New Roman"/>
          <w:i/>
          <w:iCs/>
          <w:sz w:val="24"/>
          <w:szCs w:val="24"/>
        </w:rPr>
        <w:t>Studies</w:t>
      </w:r>
      <w:proofErr w:type="spellEnd"/>
      <w:r>
        <w:rPr>
          <w:rFonts w:ascii="Times New Roman" w:hAnsi="Times New Roman"/>
          <w:sz w:val="24"/>
          <w:szCs w:val="24"/>
        </w:rPr>
        <w:t>, 9(1)(26), 2019, p. 62).  Tačiau tokiais atvejais, be kita ko, atsižvelgiant į šios nutarties 32 punkte nurodytas sąlygas, būtinas perpakuoti lygiagrečiai importuojamą vaistinį preparatą, svarbu atsakyti į klausimą, ar ieškovės siekiami taikyti (ir apeliacinės instancijos teismo patvirtinti) laisvo prekių judėjimo ribojimai teisinių ir faktinių bylos aplinkybių kontekste yra proporcingi (nes tai tiesiogiai įtakoja konkurenciją), ir jais nėra dirbtinai padalijama rinka tarp valstybių narių.</w:t>
      </w:r>
    </w:p>
    <w:p w14:paraId="41534B10" w14:textId="53E21333" w:rsidR="00754963" w:rsidRPr="001D184F"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1D184F">
        <w:rPr>
          <w:rFonts w:asciiTheme="majorBidi" w:hAnsiTheme="majorBidi" w:cstheme="majorBidi"/>
          <w:iCs/>
          <w:sz w:val="24"/>
          <w:szCs w:val="24"/>
        </w:rPr>
        <w:lastRenderedPageBreak/>
        <w:t xml:space="preserve">Nagrinėjamu atveju </w:t>
      </w:r>
      <w:r>
        <w:rPr>
          <w:rFonts w:asciiTheme="majorBidi" w:hAnsiTheme="majorBidi" w:cstheme="majorBidi"/>
          <w:sz w:val="24"/>
          <w:szCs w:val="24"/>
        </w:rPr>
        <w:t>šalys skirtingai vertina objektyvųjį būtinumą</w:t>
      </w:r>
      <w:r w:rsidRPr="001D184F">
        <w:rPr>
          <w:rFonts w:asciiTheme="majorBidi" w:hAnsiTheme="majorBidi" w:cstheme="majorBidi"/>
          <w:sz w:val="24"/>
          <w:szCs w:val="24"/>
        </w:rPr>
        <w:t xml:space="preserve"> </w:t>
      </w:r>
      <w:r>
        <w:rPr>
          <w:rFonts w:asciiTheme="majorBidi" w:hAnsiTheme="majorBidi" w:cstheme="majorBidi"/>
          <w:sz w:val="24"/>
          <w:szCs w:val="24"/>
        </w:rPr>
        <w:t xml:space="preserve">atsakovei </w:t>
      </w:r>
      <w:r w:rsidRPr="001D184F">
        <w:rPr>
          <w:rFonts w:asciiTheme="majorBidi" w:hAnsiTheme="majorBidi" w:cstheme="majorBidi"/>
          <w:sz w:val="24"/>
          <w:szCs w:val="24"/>
        </w:rPr>
        <w:t>perpak</w:t>
      </w:r>
      <w:r>
        <w:rPr>
          <w:rFonts w:asciiTheme="majorBidi" w:hAnsiTheme="majorBidi" w:cstheme="majorBidi"/>
          <w:sz w:val="24"/>
          <w:szCs w:val="24"/>
        </w:rPr>
        <w:t>uoti ir pervadinti</w:t>
      </w:r>
      <w:r w:rsidRPr="001D184F">
        <w:rPr>
          <w:rFonts w:asciiTheme="majorBidi" w:hAnsiTheme="majorBidi" w:cstheme="majorBidi"/>
          <w:sz w:val="24"/>
          <w:szCs w:val="24"/>
        </w:rPr>
        <w:t xml:space="preserve"> lygiagrečiai iš Vengrijos į Lietuvą importuojam</w:t>
      </w:r>
      <w:r>
        <w:rPr>
          <w:rFonts w:asciiTheme="majorBidi" w:hAnsiTheme="majorBidi" w:cstheme="majorBidi"/>
          <w:sz w:val="24"/>
          <w:szCs w:val="24"/>
        </w:rPr>
        <w:t>ą tą patį vaistinį preparatą, kuriuo Lietuvoje ieškovė prekiauja kitu pavadinimu</w:t>
      </w:r>
      <w:r w:rsidRPr="001D184F">
        <w:rPr>
          <w:rFonts w:asciiTheme="majorBidi" w:hAnsiTheme="majorBidi" w:cstheme="majorBidi"/>
          <w:sz w:val="24"/>
          <w:szCs w:val="24"/>
        </w:rPr>
        <w:t>.</w:t>
      </w:r>
      <w:r>
        <w:rPr>
          <w:rFonts w:asciiTheme="majorBidi" w:hAnsiTheme="majorBidi" w:cstheme="majorBidi"/>
          <w:sz w:val="24"/>
          <w:szCs w:val="24"/>
        </w:rPr>
        <w:t xml:space="preserve"> Ieškovė byloje laikosi pozicijos, kad atsakovė</w:t>
      </w:r>
      <w:r w:rsidR="000C3AC0">
        <w:rPr>
          <w:rFonts w:asciiTheme="majorBidi" w:hAnsiTheme="majorBidi" w:cstheme="majorBidi"/>
          <w:sz w:val="24"/>
          <w:szCs w:val="24"/>
        </w:rPr>
        <w:t>,</w:t>
      </w:r>
      <w:r>
        <w:rPr>
          <w:rFonts w:asciiTheme="majorBidi" w:hAnsiTheme="majorBidi" w:cstheme="majorBidi"/>
          <w:sz w:val="24"/>
          <w:szCs w:val="24"/>
        </w:rPr>
        <w:t xml:space="preserve"> be jos sutikimo perpakuodama ir pervadindama į Lietuvos rinką iš Vengrijos lygiagrečiai importuojamą tą patį vaistinį preparatą, pažeidžia ieškovės, kaip prekių ženklo savininkės, išimtines teises į prek</w:t>
      </w:r>
      <w:r w:rsidR="000C3AC0">
        <w:rPr>
          <w:rFonts w:asciiTheme="majorBidi" w:hAnsiTheme="majorBidi" w:cstheme="majorBidi"/>
          <w:sz w:val="24"/>
          <w:szCs w:val="24"/>
        </w:rPr>
        <w:t>ių</w:t>
      </w:r>
      <w:r>
        <w:rPr>
          <w:rFonts w:asciiTheme="majorBidi" w:hAnsiTheme="majorBidi" w:cstheme="majorBidi"/>
          <w:sz w:val="24"/>
          <w:szCs w:val="24"/>
        </w:rPr>
        <w:t xml:space="preserve"> ženklą, siekdama komercinio pranašumo. Tuo tarpu atsakovė iš esmės laikosi pozicijos, kad ieškovė savo veiksmais </w:t>
      </w:r>
      <w:r>
        <w:rPr>
          <w:rFonts w:ascii="Times New Roman" w:hAnsi="Times New Roman"/>
          <w:sz w:val="24"/>
          <w:szCs w:val="24"/>
        </w:rPr>
        <w:t>siekia skaidyti rinkas, kitiems verslo subjektams leisdama importuoti tuos pačius vaistinius preparatus, kurie jau buvo išleisti į Europos ekonominės erdvės bendrijos rinką tik tuo pavadinimu, kuriuo ieškovė Lietuvoje niekada nesinaudojo ir kuris šioje valstybėje visiškai nežinomas, taip užkirsdama keli</w:t>
      </w:r>
      <w:r w:rsidR="000C3AC0">
        <w:rPr>
          <w:rFonts w:ascii="Times New Roman" w:hAnsi="Times New Roman"/>
          <w:sz w:val="24"/>
          <w:szCs w:val="24"/>
        </w:rPr>
        <w:t>ą</w:t>
      </w:r>
      <w:r>
        <w:rPr>
          <w:rFonts w:ascii="Times New Roman" w:hAnsi="Times New Roman"/>
          <w:sz w:val="24"/>
          <w:szCs w:val="24"/>
        </w:rPr>
        <w:t xml:space="preserve"> lygiagrečiam importuotojui veiksmingai patekti į Lietuvos rinką.</w:t>
      </w:r>
    </w:p>
    <w:p w14:paraId="33738506" w14:textId="12BACA8C" w:rsidR="00754963" w:rsidRPr="002E4339"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bookmarkStart w:id="12" w:name="_Hlk155772565"/>
      <w:r>
        <w:rPr>
          <w:rFonts w:ascii="Times New Roman" w:hAnsi="Times New Roman"/>
          <w:sz w:val="24"/>
          <w:szCs w:val="24"/>
        </w:rPr>
        <w:t xml:space="preserve">Pirmosios instancijos teismas, spręsdamas tarp šalių kilusį ginčą, nusprendė, kad </w:t>
      </w:r>
      <w:r w:rsidRPr="002E26B4">
        <w:rPr>
          <w:rFonts w:ascii="Times New Roman" w:hAnsi="Times New Roman"/>
          <w:sz w:val="24"/>
          <w:szCs w:val="24"/>
          <w:lang w:eastAsia="en-GB"/>
        </w:rPr>
        <w:t xml:space="preserve">ieškovės reikalavimas tiekti į Lietuvos rinką </w:t>
      </w:r>
      <w:proofErr w:type="spellStart"/>
      <w:r w:rsidRPr="002E26B4">
        <w:rPr>
          <w:rFonts w:ascii="Times New Roman" w:hAnsi="Times New Roman"/>
          <w:sz w:val="24"/>
          <w:szCs w:val="24"/>
          <w:lang w:eastAsia="en-GB"/>
        </w:rPr>
        <w:t>levotiroksino</w:t>
      </w:r>
      <w:proofErr w:type="spellEnd"/>
      <w:r w:rsidRPr="002E26B4">
        <w:rPr>
          <w:rFonts w:ascii="Times New Roman" w:hAnsi="Times New Roman"/>
          <w:sz w:val="24"/>
          <w:szCs w:val="24"/>
          <w:lang w:eastAsia="en-GB"/>
        </w:rPr>
        <w:t xml:space="preserve"> vaistus originalia pakuote sudarytų sąlygas galutiniams vaisto vartotojams abejoti vaisto autentiškumu, nes pažeidus pakuotę (tam, kad būtų pakeistas reikalavimus atitinkantis pakuotės lapelis) ant originalios ir jau pažeistos apsaugos priemonės turėtų būti užklijuojama nauja apsaugos priemonė. </w:t>
      </w:r>
      <w:r>
        <w:rPr>
          <w:rFonts w:ascii="Times New Roman" w:hAnsi="Times New Roman"/>
          <w:sz w:val="24"/>
          <w:szCs w:val="24"/>
          <w:lang w:eastAsia="en-GB"/>
        </w:rPr>
        <w:t>Taip pat pirmosios instancijos t</w:t>
      </w:r>
      <w:r w:rsidRPr="002E26B4">
        <w:rPr>
          <w:rFonts w:ascii="Times New Roman" w:hAnsi="Times New Roman"/>
          <w:sz w:val="24"/>
          <w:szCs w:val="24"/>
          <w:lang w:eastAsia="en-GB"/>
        </w:rPr>
        <w:t xml:space="preserve">eismas </w:t>
      </w:r>
      <w:r>
        <w:rPr>
          <w:rFonts w:ascii="Times New Roman" w:hAnsi="Times New Roman"/>
          <w:sz w:val="24"/>
          <w:szCs w:val="24"/>
          <w:lang w:eastAsia="en-GB"/>
        </w:rPr>
        <w:t>atkreipė dėmesį, kad</w:t>
      </w:r>
      <w:r w:rsidRPr="002E26B4">
        <w:rPr>
          <w:rFonts w:ascii="Times New Roman" w:hAnsi="Times New Roman"/>
          <w:sz w:val="24"/>
          <w:szCs w:val="24"/>
          <w:lang w:eastAsia="en-GB"/>
        </w:rPr>
        <w:t xml:space="preserve"> iš Lietuvos rinkos pasitraukė ir buvo išbrauktas iš kompensuojamų</w:t>
      </w:r>
      <w:r w:rsidR="000C3AC0">
        <w:rPr>
          <w:rFonts w:ascii="Times New Roman" w:hAnsi="Times New Roman"/>
          <w:sz w:val="24"/>
          <w:szCs w:val="24"/>
          <w:lang w:eastAsia="en-GB"/>
        </w:rPr>
        <w:t>jų</w:t>
      </w:r>
      <w:r w:rsidRPr="002E26B4">
        <w:rPr>
          <w:rFonts w:ascii="Times New Roman" w:hAnsi="Times New Roman"/>
          <w:sz w:val="24"/>
          <w:szCs w:val="24"/>
          <w:lang w:eastAsia="en-GB"/>
        </w:rPr>
        <w:t xml:space="preserve"> vaistų kainyno kito lygiagretaus importuotojo į Lietuvą tiekiamas vaistas, kurio priemoka kompensuojamų</w:t>
      </w:r>
      <w:r w:rsidR="00282280">
        <w:rPr>
          <w:rFonts w:ascii="Times New Roman" w:hAnsi="Times New Roman"/>
          <w:sz w:val="24"/>
          <w:szCs w:val="24"/>
          <w:lang w:eastAsia="en-GB"/>
        </w:rPr>
        <w:t>jų</w:t>
      </w:r>
      <w:r w:rsidRPr="002E26B4">
        <w:rPr>
          <w:rFonts w:ascii="Times New Roman" w:hAnsi="Times New Roman"/>
          <w:sz w:val="24"/>
          <w:szCs w:val="24"/>
          <w:lang w:eastAsia="en-GB"/>
        </w:rPr>
        <w:t xml:space="preserve"> vaistų kainyne buvo žemiausia, t. y. pacientams vaistinėje jis buvo siūlomas su mažiausia priemoka</w:t>
      </w:r>
      <w:r>
        <w:rPr>
          <w:rFonts w:ascii="Times New Roman" w:hAnsi="Times New Roman"/>
          <w:sz w:val="24"/>
          <w:szCs w:val="24"/>
          <w:lang w:eastAsia="en-GB"/>
        </w:rPr>
        <w:t>.</w:t>
      </w:r>
      <w:bookmarkEnd w:id="12"/>
    </w:p>
    <w:p w14:paraId="71C2F358" w14:textId="3AE8CDA5" w:rsidR="00754963" w:rsidRPr="00181A63"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sz w:val="24"/>
          <w:szCs w:val="24"/>
          <w:lang w:eastAsia="en-GB"/>
        </w:rPr>
        <w:t xml:space="preserve">Tuo tarpu </w:t>
      </w:r>
      <w:bookmarkStart w:id="13" w:name="_Hlk155772938"/>
      <w:r>
        <w:rPr>
          <w:rFonts w:ascii="Times New Roman" w:hAnsi="Times New Roman"/>
          <w:sz w:val="24"/>
          <w:szCs w:val="24"/>
          <w:lang w:eastAsia="en-GB"/>
        </w:rPr>
        <w:t xml:space="preserve">apeliacinės instancijos teismas nusprendė, kad </w:t>
      </w:r>
      <w:r w:rsidRPr="002E4339">
        <w:rPr>
          <w:rFonts w:ascii="Times New Roman" w:hAnsi="Times New Roman"/>
          <w:sz w:val="24"/>
          <w:szCs w:val="24"/>
          <w:lang w:eastAsia="en-GB"/>
        </w:rPr>
        <w:t xml:space="preserve">atsakovės veiksmai galėtų būti pripažinti teisėtais ir pagrįstais tik tada, jeigu atsakovė įrodytų, kad Lietuvoje negalima (draudžiama) </w:t>
      </w:r>
      <w:r w:rsidR="00EF5E80">
        <w:rPr>
          <w:rFonts w:ascii="Times New Roman" w:hAnsi="Times New Roman"/>
          <w:sz w:val="24"/>
          <w:szCs w:val="24"/>
          <w:lang w:eastAsia="en-GB"/>
        </w:rPr>
        <w:t>vaistiniais preparatais</w:t>
      </w:r>
      <w:r w:rsidR="00EF5E80" w:rsidRPr="002E4339">
        <w:rPr>
          <w:rFonts w:ascii="Times New Roman" w:hAnsi="Times New Roman"/>
          <w:sz w:val="24"/>
          <w:szCs w:val="24"/>
          <w:lang w:eastAsia="en-GB"/>
        </w:rPr>
        <w:t xml:space="preserve"> </w:t>
      </w:r>
      <w:r w:rsidRPr="002E4339">
        <w:rPr>
          <w:rFonts w:ascii="Times New Roman" w:hAnsi="Times New Roman"/>
          <w:sz w:val="24"/>
          <w:szCs w:val="24"/>
          <w:lang w:eastAsia="en-GB"/>
        </w:rPr>
        <w:t xml:space="preserve">prekiauti toje pačioje pakuotėje, kokioje jais prekiaujama Vengrijoje, arba </w:t>
      </w:r>
      <w:r w:rsidR="000C3AC0">
        <w:rPr>
          <w:rFonts w:ascii="Times New Roman" w:hAnsi="Times New Roman"/>
          <w:sz w:val="24"/>
          <w:szCs w:val="24"/>
          <w:lang w:eastAsia="en-GB"/>
        </w:rPr>
        <w:t>kad</w:t>
      </w:r>
      <w:r w:rsidRPr="002E4339">
        <w:rPr>
          <w:rFonts w:ascii="Times New Roman" w:hAnsi="Times New Roman"/>
          <w:sz w:val="24"/>
          <w:szCs w:val="24"/>
          <w:lang w:eastAsia="en-GB"/>
        </w:rPr>
        <w:t xml:space="preserve"> prekės neperpakavus ir nepervadinus jos prekyba būtų galima tik ribotoje Lietuvos rinkos dalyje. </w:t>
      </w:r>
      <w:r>
        <w:rPr>
          <w:rFonts w:ascii="Times New Roman" w:hAnsi="Times New Roman"/>
          <w:sz w:val="24"/>
          <w:szCs w:val="24"/>
          <w:lang w:eastAsia="en-GB"/>
        </w:rPr>
        <w:t xml:space="preserve">Apeliacinės instancijos teismo vertinimu, </w:t>
      </w:r>
      <w:r w:rsidRPr="002E4339">
        <w:rPr>
          <w:rFonts w:ascii="Times New Roman" w:hAnsi="Times New Roman"/>
          <w:sz w:val="24"/>
          <w:szCs w:val="24"/>
          <w:lang w:eastAsia="en-GB"/>
        </w:rPr>
        <w:t>atsakovė neįrodė, jog prekyba originalia, Vengrijoje naudojama pakuote, jos neperpakavus ir nepakeitus pavadinimo, Lietuvoje būtų negalima (neįmanoma).</w:t>
      </w:r>
      <w:r>
        <w:rPr>
          <w:rFonts w:ascii="Times New Roman" w:hAnsi="Times New Roman"/>
          <w:sz w:val="24"/>
          <w:szCs w:val="24"/>
          <w:lang w:eastAsia="en-GB"/>
        </w:rPr>
        <w:t xml:space="preserve"> Anot a</w:t>
      </w:r>
      <w:r w:rsidRPr="002E4339">
        <w:rPr>
          <w:rFonts w:ascii="Times New Roman" w:hAnsi="Times New Roman"/>
          <w:sz w:val="24"/>
          <w:szCs w:val="24"/>
          <w:lang w:eastAsia="en-GB"/>
        </w:rPr>
        <w:t>peliacinės instancijos teismo</w:t>
      </w:r>
      <w:r>
        <w:rPr>
          <w:rFonts w:ascii="Times New Roman" w:hAnsi="Times New Roman"/>
          <w:sz w:val="24"/>
          <w:szCs w:val="24"/>
          <w:lang w:eastAsia="en-GB"/>
        </w:rPr>
        <w:t xml:space="preserve">, </w:t>
      </w:r>
      <w:r w:rsidRPr="002E4339">
        <w:rPr>
          <w:rFonts w:ascii="Times New Roman" w:hAnsi="Times New Roman"/>
          <w:sz w:val="24"/>
          <w:szCs w:val="24"/>
          <w:lang w:eastAsia="en-GB"/>
        </w:rPr>
        <w:t>atsakovės pasirinkta verslo taktika, k</w:t>
      </w:r>
      <w:r w:rsidR="00AE02C5">
        <w:rPr>
          <w:rFonts w:ascii="Times New Roman" w:hAnsi="Times New Roman"/>
          <w:sz w:val="24"/>
          <w:szCs w:val="24"/>
          <w:lang w:eastAsia="en-GB"/>
        </w:rPr>
        <w:t>ai</w:t>
      </w:r>
      <w:r w:rsidRPr="002E4339">
        <w:rPr>
          <w:rFonts w:ascii="Times New Roman" w:hAnsi="Times New Roman"/>
          <w:sz w:val="24"/>
          <w:szCs w:val="24"/>
          <w:lang w:eastAsia="en-GB"/>
        </w:rPr>
        <w:t xml:space="preserve"> ji kelis kartus pigiau įsigytą vaistinį preparatą Lietuvos rinkoje pardavinėja už tą pačią kaip ir ieškovė kainą, nėra naudinga galutiniams vartotojams</w:t>
      </w:r>
      <w:r>
        <w:rPr>
          <w:rFonts w:ascii="Times New Roman" w:hAnsi="Times New Roman"/>
          <w:sz w:val="24"/>
          <w:szCs w:val="24"/>
          <w:lang w:eastAsia="en-GB"/>
        </w:rPr>
        <w:t xml:space="preserve">, todėl pačios atsakovės veiksmai </w:t>
      </w:r>
      <w:r w:rsidRPr="002E4339">
        <w:rPr>
          <w:rFonts w:ascii="Times New Roman" w:hAnsi="Times New Roman"/>
          <w:sz w:val="24"/>
          <w:szCs w:val="24"/>
          <w:lang w:eastAsia="en-GB"/>
        </w:rPr>
        <w:t xml:space="preserve">gali būti </w:t>
      </w:r>
      <w:r>
        <w:rPr>
          <w:rFonts w:ascii="Times New Roman" w:hAnsi="Times New Roman"/>
          <w:sz w:val="24"/>
          <w:szCs w:val="24"/>
          <w:lang w:eastAsia="en-GB"/>
        </w:rPr>
        <w:t xml:space="preserve">laikomi </w:t>
      </w:r>
      <w:r w:rsidRPr="002E4339">
        <w:rPr>
          <w:rFonts w:ascii="Times New Roman" w:hAnsi="Times New Roman"/>
          <w:sz w:val="24"/>
          <w:szCs w:val="24"/>
          <w:lang w:eastAsia="en-GB"/>
        </w:rPr>
        <w:t xml:space="preserve">priežastimi, dėl kurios jos patekimas į rinką </w:t>
      </w:r>
      <w:r>
        <w:rPr>
          <w:rFonts w:ascii="Times New Roman" w:hAnsi="Times New Roman"/>
          <w:sz w:val="24"/>
          <w:szCs w:val="24"/>
          <w:lang w:eastAsia="en-GB"/>
        </w:rPr>
        <w:t>nėra t</w:t>
      </w:r>
      <w:r w:rsidRPr="002E4339">
        <w:rPr>
          <w:rFonts w:ascii="Times New Roman" w:hAnsi="Times New Roman"/>
          <w:sz w:val="24"/>
          <w:szCs w:val="24"/>
          <w:lang w:eastAsia="en-GB"/>
        </w:rPr>
        <w:t>oks veiksmingas, kokio ji norėtų ir siektų</w:t>
      </w:r>
      <w:bookmarkEnd w:id="13"/>
      <w:r w:rsidRPr="002E4339">
        <w:rPr>
          <w:rFonts w:ascii="Times New Roman" w:hAnsi="Times New Roman"/>
          <w:sz w:val="24"/>
          <w:szCs w:val="24"/>
          <w:lang w:eastAsia="en-GB"/>
        </w:rPr>
        <w:t>.</w:t>
      </w:r>
    </w:p>
    <w:p w14:paraId="5EFE71B3" w14:textId="784B4B8B" w:rsidR="00754963" w:rsidRPr="00D02F52"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sidRPr="00D02F52">
        <w:rPr>
          <w:rFonts w:ascii="Times New Roman" w:hAnsi="Times New Roman"/>
          <w:sz w:val="24"/>
          <w:szCs w:val="24"/>
          <w:lang w:eastAsia="en-GB"/>
        </w:rPr>
        <w:t>Teisėjų kolegija, atsižvelgdama į šiuo klausimu suformuot</w:t>
      </w:r>
      <w:r w:rsidR="00AE02C5">
        <w:rPr>
          <w:rFonts w:ascii="Times New Roman" w:hAnsi="Times New Roman"/>
          <w:sz w:val="24"/>
          <w:szCs w:val="24"/>
          <w:lang w:eastAsia="en-GB"/>
        </w:rPr>
        <w:t>ą</w:t>
      </w:r>
      <w:r w:rsidRPr="00D02F52">
        <w:rPr>
          <w:rFonts w:ascii="Times New Roman" w:hAnsi="Times New Roman"/>
          <w:sz w:val="24"/>
          <w:szCs w:val="24"/>
          <w:lang w:eastAsia="en-GB"/>
        </w:rPr>
        <w:t xml:space="preserve"> ESTT praktiką, taip pat kilusio ginčo pobūdį</w:t>
      </w:r>
      <w:r w:rsidR="00EF5E80">
        <w:rPr>
          <w:rFonts w:ascii="Times New Roman" w:hAnsi="Times New Roman"/>
          <w:sz w:val="24"/>
          <w:szCs w:val="24"/>
          <w:lang w:eastAsia="en-GB"/>
        </w:rPr>
        <w:t xml:space="preserve"> ir byloje teismų nustatytas aplinkybes</w:t>
      </w:r>
      <w:r w:rsidRPr="00D02F52">
        <w:rPr>
          <w:rFonts w:ascii="Times New Roman" w:hAnsi="Times New Roman"/>
          <w:sz w:val="24"/>
          <w:szCs w:val="24"/>
          <w:lang w:eastAsia="en-GB"/>
        </w:rPr>
        <w:t xml:space="preserve">, neturi pagrindo sutikti su šiais apeliacinės instancijos teismo argumentais. </w:t>
      </w:r>
      <w:r w:rsidRPr="00D02F52">
        <w:rPr>
          <w:rFonts w:asciiTheme="majorBidi" w:hAnsiTheme="majorBidi" w:cstheme="majorBidi"/>
          <w:iCs/>
          <w:sz w:val="24"/>
          <w:szCs w:val="24"/>
        </w:rPr>
        <w:t xml:space="preserve">Visų pirma, ESTT yra nusprendęs, jog savininko prieštaravimas, kad vaistai būtų perpakuoti, prisideda prie dirbtinio valstybių narių rinkų atskyrimo, kai šis perpakavimas yra būtinas, kad lygiagrečiai importuota preke būtų galima prekiauti importo valstybėje narėje (ESTT 2007 m. balandžio 26 d. </w:t>
      </w:r>
      <w:proofErr w:type="spellStart"/>
      <w:r w:rsidRPr="00D02F52">
        <w:rPr>
          <w:rFonts w:asciiTheme="majorBidi" w:hAnsiTheme="majorBidi" w:cstheme="majorBidi"/>
          <w:iCs/>
          <w:sz w:val="24"/>
          <w:szCs w:val="24"/>
        </w:rPr>
        <w:t>prejudicini</w:t>
      </w:r>
      <w:r w:rsidR="00AE02C5">
        <w:rPr>
          <w:rFonts w:asciiTheme="majorBidi" w:hAnsiTheme="majorBidi" w:cstheme="majorBidi"/>
          <w:iCs/>
          <w:sz w:val="24"/>
          <w:szCs w:val="24"/>
        </w:rPr>
        <w:t>s</w:t>
      </w:r>
      <w:proofErr w:type="spellEnd"/>
      <w:r w:rsidRPr="00D02F52">
        <w:rPr>
          <w:rFonts w:asciiTheme="majorBidi" w:hAnsiTheme="majorBidi" w:cstheme="majorBidi"/>
          <w:iCs/>
          <w:sz w:val="24"/>
          <w:szCs w:val="24"/>
        </w:rPr>
        <w:t xml:space="preserve"> sprendim</w:t>
      </w:r>
      <w:r w:rsidR="00AE02C5">
        <w:rPr>
          <w:rFonts w:asciiTheme="majorBidi" w:hAnsiTheme="majorBidi" w:cstheme="majorBidi"/>
          <w:iCs/>
          <w:sz w:val="24"/>
          <w:szCs w:val="24"/>
        </w:rPr>
        <w:t>as</w:t>
      </w:r>
      <w:r w:rsidRPr="00D02F52">
        <w:rPr>
          <w:rFonts w:asciiTheme="majorBidi" w:hAnsiTheme="majorBidi" w:cstheme="majorBidi"/>
          <w:iCs/>
          <w:sz w:val="24"/>
          <w:szCs w:val="24"/>
        </w:rPr>
        <w:t xml:space="preserve"> byloje </w:t>
      </w:r>
      <w:proofErr w:type="spellStart"/>
      <w:r w:rsidRPr="00D02F52">
        <w:rPr>
          <w:rFonts w:asciiTheme="majorBidi" w:hAnsiTheme="majorBidi" w:cstheme="majorBidi"/>
          <w:i/>
          <w:sz w:val="24"/>
          <w:szCs w:val="24"/>
        </w:rPr>
        <w:t>Boehringer</w:t>
      </w:r>
      <w:proofErr w:type="spellEnd"/>
      <w:r w:rsidRPr="00D02F52">
        <w:rPr>
          <w:rFonts w:asciiTheme="majorBidi" w:hAnsiTheme="majorBidi" w:cstheme="majorBidi"/>
          <w:i/>
          <w:sz w:val="24"/>
          <w:szCs w:val="24"/>
        </w:rPr>
        <w:t xml:space="preserve"> </w:t>
      </w:r>
      <w:proofErr w:type="spellStart"/>
      <w:r w:rsidRPr="00D02F52">
        <w:rPr>
          <w:rFonts w:asciiTheme="majorBidi" w:hAnsiTheme="majorBidi" w:cstheme="majorBidi"/>
          <w:i/>
          <w:sz w:val="24"/>
          <w:szCs w:val="24"/>
        </w:rPr>
        <w:t>Ingelheim</w:t>
      </w:r>
      <w:proofErr w:type="spellEnd"/>
      <w:r w:rsidRPr="00D02F52">
        <w:rPr>
          <w:rFonts w:asciiTheme="majorBidi" w:hAnsiTheme="majorBidi" w:cstheme="majorBidi"/>
          <w:i/>
          <w:sz w:val="24"/>
          <w:szCs w:val="24"/>
        </w:rPr>
        <w:t xml:space="preserve"> ir kt.</w:t>
      </w:r>
      <w:r w:rsidRPr="00D02F52">
        <w:rPr>
          <w:rFonts w:asciiTheme="majorBidi" w:hAnsiTheme="majorBidi" w:cstheme="majorBidi"/>
          <w:iCs/>
          <w:sz w:val="24"/>
          <w:szCs w:val="24"/>
        </w:rPr>
        <w:t>, C‑348/04, 18</w:t>
      </w:r>
      <w:r w:rsidR="00C302F3">
        <w:rPr>
          <w:rFonts w:asciiTheme="majorBidi" w:hAnsiTheme="majorBidi" w:cstheme="majorBidi"/>
          <w:iCs/>
          <w:sz w:val="24"/>
          <w:szCs w:val="24"/>
        </w:rPr>
        <w:t> </w:t>
      </w:r>
      <w:r w:rsidRPr="00D02F52">
        <w:rPr>
          <w:rFonts w:asciiTheme="majorBidi" w:hAnsiTheme="majorBidi" w:cstheme="majorBidi"/>
          <w:iCs/>
          <w:sz w:val="24"/>
          <w:szCs w:val="24"/>
        </w:rPr>
        <w:t>punktas).</w:t>
      </w:r>
    </w:p>
    <w:p w14:paraId="625CCE3F" w14:textId="1F45E51C" w:rsidR="00754963"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5307E7">
        <w:rPr>
          <w:rFonts w:asciiTheme="majorBidi" w:hAnsiTheme="majorBidi" w:cstheme="majorBidi"/>
          <w:iCs/>
          <w:sz w:val="24"/>
          <w:szCs w:val="24"/>
        </w:rPr>
        <w:t xml:space="preserve">Tokiu atveju būtina atsižvelgti į prekybos importuojančioje valstybėje narėje metu vyraujančias aplinkybes, dėl kurių perpakavimas yra objektyviai būtinas, kad lygiagretus importuotojas galėtų pateikti vaistinį preparatą į šios valstybės rinką. Prekių ženklo savininko prieštaravimas perpakavimui yra nepagrįstas, jei jis trukdo importuojamam produktui </w:t>
      </w:r>
      <w:r w:rsidRPr="005307E7">
        <w:rPr>
          <w:rFonts w:asciiTheme="majorBidi" w:hAnsiTheme="majorBidi" w:cstheme="majorBidi"/>
          <w:i/>
          <w:sz w:val="24"/>
          <w:szCs w:val="24"/>
        </w:rPr>
        <w:t>veiksmingai</w:t>
      </w:r>
      <w:r w:rsidRPr="005307E7">
        <w:rPr>
          <w:rFonts w:asciiTheme="majorBidi" w:hAnsiTheme="majorBidi" w:cstheme="majorBidi"/>
          <w:iCs/>
          <w:sz w:val="24"/>
          <w:szCs w:val="24"/>
        </w:rPr>
        <w:t xml:space="preserve"> patekti į tos valstybės rinką. </w:t>
      </w:r>
      <w:r w:rsidRPr="00D601C4">
        <w:rPr>
          <w:rFonts w:asciiTheme="majorBidi" w:hAnsiTheme="majorBidi" w:cstheme="majorBidi"/>
          <w:iCs/>
          <w:sz w:val="24"/>
          <w:szCs w:val="24"/>
        </w:rPr>
        <w:t>Ši būtinybės sąlyga yra įvykdyta, kai importo valstybėje narėje teisės aktai arba praktika trukdo šios valstybės rinkoje prekiauti minėtomis prekėmis tokioje pačioje pakuotėje, kurioje jomis prekiaujama eksporto valstybėje narėje (</w:t>
      </w:r>
      <w:r w:rsidRPr="00D42F1F">
        <w:rPr>
          <w:rFonts w:asciiTheme="majorBidi" w:hAnsiTheme="majorBidi" w:cstheme="majorBidi"/>
          <w:iCs/>
          <w:sz w:val="24"/>
          <w:szCs w:val="24"/>
        </w:rPr>
        <w:t xml:space="preserve">ESTT 1999 m. spalio 12 d. </w:t>
      </w:r>
      <w:proofErr w:type="spellStart"/>
      <w:r w:rsidRPr="00D42F1F">
        <w:rPr>
          <w:rFonts w:asciiTheme="majorBidi" w:hAnsiTheme="majorBidi" w:cstheme="majorBidi"/>
          <w:iCs/>
          <w:sz w:val="24"/>
          <w:szCs w:val="24"/>
        </w:rPr>
        <w:t>prejudicini</w:t>
      </w:r>
      <w:r w:rsidR="00AE02C5">
        <w:rPr>
          <w:rFonts w:asciiTheme="majorBidi" w:hAnsiTheme="majorBidi" w:cstheme="majorBidi"/>
          <w:iCs/>
          <w:sz w:val="24"/>
          <w:szCs w:val="24"/>
        </w:rPr>
        <w:t>s</w:t>
      </w:r>
      <w:proofErr w:type="spellEnd"/>
      <w:r w:rsidRPr="00D42F1F">
        <w:rPr>
          <w:rFonts w:asciiTheme="majorBidi" w:hAnsiTheme="majorBidi" w:cstheme="majorBidi"/>
          <w:iCs/>
          <w:sz w:val="24"/>
          <w:szCs w:val="24"/>
        </w:rPr>
        <w:t xml:space="preserve"> sprendim</w:t>
      </w:r>
      <w:r w:rsidR="00AE02C5">
        <w:rPr>
          <w:rFonts w:asciiTheme="majorBidi" w:hAnsiTheme="majorBidi" w:cstheme="majorBidi"/>
          <w:iCs/>
          <w:sz w:val="24"/>
          <w:szCs w:val="24"/>
        </w:rPr>
        <w:t>as</w:t>
      </w:r>
      <w:r w:rsidRPr="00D42F1F">
        <w:rPr>
          <w:rFonts w:asciiTheme="majorBidi" w:hAnsiTheme="majorBidi" w:cstheme="majorBidi"/>
          <w:iCs/>
          <w:sz w:val="24"/>
          <w:szCs w:val="24"/>
        </w:rPr>
        <w:t xml:space="preserve"> byloje </w:t>
      </w:r>
      <w:proofErr w:type="spellStart"/>
      <w:r w:rsidRPr="00D42F1F">
        <w:rPr>
          <w:rFonts w:asciiTheme="majorBidi" w:hAnsiTheme="majorBidi" w:cstheme="majorBidi"/>
          <w:i/>
          <w:sz w:val="24"/>
          <w:szCs w:val="24"/>
        </w:rPr>
        <w:t>Upjohn</w:t>
      </w:r>
      <w:proofErr w:type="spellEnd"/>
      <w:r w:rsidRPr="00D42F1F">
        <w:rPr>
          <w:rFonts w:asciiTheme="majorBidi" w:hAnsiTheme="majorBidi" w:cstheme="majorBidi"/>
          <w:iCs/>
          <w:sz w:val="24"/>
          <w:szCs w:val="24"/>
        </w:rPr>
        <w:t>, C‑379/97, 37–39 ir 43 punktai). Taigi</w:t>
      </w:r>
      <w:r w:rsidRPr="005307E7">
        <w:rPr>
          <w:rFonts w:asciiTheme="majorBidi" w:hAnsiTheme="majorBidi" w:cstheme="majorBidi"/>
          <w:iCs/>
          <w:sz w:val="24"/>
          <w:szCs w:val="24"/>
        </w:rPr>
        <w:t xml:space="preserve">, </w:t>
      </w:r>
      <w:r>
        <w:rPr>
          <w:rFonts w:asciiTheme="majorBidi" w:hAnsiTheme="majorBidi" w:cstheme="majorBidi"/>
          <w:iCs/>
          <w:sz w:val="24"/>
          <w:szCs w:val="24"/>
        </w:rPr>
        <w:t>kaip pagrįstai atsiliepime į kasacinį skundą nurodo ieškovė, vertinant būtinumo perpakuoti ir pervadinti lygiagrečiai importuojamo vaistinio preparato egzistavimą</w:t>
      </w:r>
      <w:r w:rsidR="00C302F3">
        <w:rPr>
          <w:rFonts w:asciiTheme="majorBidi" w:hAnsiTheme="majorBidi" w:cstheme="majorBidi"/>
          <w:iCs/>
          <w:sz w:val="24"/>
          <w:szCs w:val="24"/>
        </w:rPr>
        <w:t>,</w:t>
      </w:r>
      <w:r>
        <w:rPr>
          <w:rFonts w:asciiTheme="majorBidi" w:hAnsiTheme="majorBidi" w:cstheme="majorBidi"/>
          <w:iCs/>
          <w:sz w:val="24"/>
          <w:szCs w:val="24"/>
        </w:rPr>
        <w:t xml:space="preserve"> turi būti atsižvelgiama į tai, ar importo valstybėje narėje egzistuoja teisinės ir praktinės kliūtys, trukdančios lygiagrečiam importuotojui </w:t>
      </w:r>
      <w:r>
        <w:rPr>
          <w:rFonts w:asciiTheme="majorBidi" w:hAnsiTheme="majorBidi" w:cstheme="majorBidi"/>
          <w:i/>
          <w:sz w:val="24"/>
          <w:szCs w:val="24"/>
        </w:rPr>
        <w:t>veiksmingai</w:t>
      </w:r>
      <w:r>
        <w:rPr>
          <w:rFonts w:asciiTheme="majorBidi" w:hAnsiTheme="majorBidi" w:cstheme="majorBidi"/>
          <w:iCs/>
          <w:sz w:val="24"/>
          <w:szCs w:val="24"/>
        </w:rPr>
        <w:t xml:space="preserve"> patekti į rinką.</w:t>
      </w:r>
    </w:p>
    <w:p w14:paraId="1D612825" w14:textId="75958748" w:rsidR="00754963" w:rsidRPr="00745271" w:rsidRDefault="00754963" w:rsidP="00754963">
      <w:pPr>
        <w:pStyle w:val="ListParagraph"/>
        <w:numPr>
          <w:ilvl w:val="0"/>
          <w:numId w:val="3"/>
        </w:numPr>
        <w:spacing w:before="120" w:after="120" w:line="240" w:lineRule="auto"/>
        <w:ind w:left="357" w:hanging="357"/>
        <w:contextualSpacing w:val="0"/>
        <w:jc w:val="both"/>
        <w:rPr>
          <w:rFonts w:asciiTheme="majorBidi" w:hAnsiTheme="majorBidi" w:cstheme="majorBidi"/>
          <w:iCs/>
          <w:sz w:val="24"/>
          <w:szCs w:val="24"/>
        </w:rPr>
      </w:pPr>
      <w:r w:rsidRPr="00745271">
        <w:rPr>
          <w:rFonts w:asciiTheme="majorBidi" w:hAnsiTheme="majorBidi" w:cstheme="majorBidi"/>
          <w:iCs/>
          <w:sz w:val="24"/>
          <w:szCs w:val="24"/>
        </w:rPr>
        <w:lastRenderedPageBreak/>
        <w:t>ESTT yra nusprendęs, kad teisės į prekių ženklą yra esminis neiškreiptos konkurencijos sistemos, kurią siekiama sukurti Sutartimi</w:t>
      </w:r>
      <w:r>
        <w:rPr>
          <w:rFonts w:asciiTheme="majorBidi" w:hAnsiTheme="majorBidi" w:cstheme="majorBidi"/>
          <w:iCs/>
          <w:sz w:val="24"/>
          <w:szCs w:val="24"/>
        </w:rPr>
        <w:t xml:space="preserve"> dėl Europos Sąjungos veikimo</w:t>
      </w:r>
      <w:r w:rsidRPr="00745271">
        <w:rPr>
          <w:rFonts w:asciiTheme="majorBidi" w:hAnsiTheme="majorBidi" w:cstheme="majorBidi"/>
          <w:iCs/>
          <w:sz w:val="24"/>
          <w:szCs w:val="24"/>
        </w:rPr>
        <w:t>, elementas. Tokioje sistemoje įmonės turi sugebėti pritraukti ir išlaikyti klientus savo gaminių ar paslaugų kokybe, o tai įmanoma tik dėl skiriamųjų ženklų, leidžiančių juos atpažinti. Kad prekių ženklas galėtų atlikti šią funkciją, jis turi būti garantija,</w:t>
      </w:r>
      <w:r w:rsidR="00C302F3">
        <w:rPr>
          <w:rFonts w:asciiTheme="majorBidi" w:hAnsiTheme="majorBidi" w:cstheme="majorBidi"/>
          <w:iCs/>
          <w:sz w:val="24"/>
          <w:szCs w:val="24"/>
        </w:rPr>
        <w:t xml:space="preserve"> jog</w:t>
      </w:r>
      <w:r w:rsidRPr="00745271">
        <w:rPr>
          <w:rFonts w:asciiTheme="majorBidi" w:hAnsiTheme="majorBidi" w:cstheme="majorBidi"/>
          <w:iCs/>
          <w:sz w:val="24"/>
          <w:szCs w:val="24"/>
        </w:rPr>
        <w:t xml:space="preserve"> visi juo pažymėti gaminiai buvo pagaminti kontroliuojant vienai įmonei, kuriai gali būti priskirta atsakomybė už jų kokybę (ESTT 1990 m. spalio 17 d. </w:t>
      </w:r>
      <w:proofErr w:type="spellStart"/>
      <w:r w:rsidRPr="00745271">
        <w:rPr>
          <w:rFonts w:asciiTheme="majorBidi" w:hAnsiTheme="majorBidi" w:cstheme="majorBidi"/>
          <w:iCs/>
          <w:sz w:val="24"/>
          <w:szCs w:val="24"/>
        </w:rPr>
        <w:t>prejudicini</w:t>
      </w:r>
      <w:r w:rsidR="00AE02C5">
        <w:rPr>
          <w:rFonts w:asciiTheme="majorBidi" w:hAnsiTheme="majorBidi" w:cstheme="majorBidi"/>
          <w:iCs/>
          <w:sz w:val="24"/>
          <w:szCs w:val="24"/>
        </w:rPr>
        <w:t>s</w:t>
      </w:r>
      <w:proofErr w:type="spellEnd"/>
      <w:r w:rsidRPr="00745271">
        <w:rPr>
          <w:rFonts w:asciiTheme="majorBidi" w:hAnsiTheme="majorBidi" w:cstheme="majorBidi"/>
          <w:iCs/>
          <w:sz w:val="24"/>
          <w:szCs w:val="24"/>
        </w:rPr>
        <w:t xml:space="preserve"> sprendim</w:t>
      </w:r>
      <w:r w:rsidR="00AE02C5">
        <w:rPr>
          <w:rFonts w:asciiTheme="majorBidi" w:hAnsiTheme="majorBidi" w:cstheme="majorBidi"/>
          <w:iCs/>
          <w:sz w:val="24"/>
          <w:szCs w:val="24"/>
        </w:rPr>
        <w:t>as</w:t>
      </w:r>
      <w:r w:rsidRPr="00745271">
        <w:rPr>
          <w:rFonts w:asciiTheme="majorBidi" w:hAnsiTheme="majorBidi" w:cstheme="majorBidi"/>
          <w:iCs/>
          <w:sz w:val="24"/>
          <w:szCs w:val="24"/>
        </w:rPr>
        <w:t xml:space="preserve"> byloje </w:t>
      </w:r>
      <w:r w:rsidRPr="00745271">
        <w:rPr>
          <w:rFonts w:asciiTheme="majorBidi" w:hAnsiTheme="majorBidi" w:cstheme="majorBidi"/>
          <w:i/>
          <w:sz w:val="24"/>
          <w:szCs w:val="24"/>
        </w:rPr>
        <w:t>SA CNL-SUCAL NV prieš HAG GF AG</w:t>
      </w:r>
      <w:r w:rsidRPr="00E52D29">
        <w:rPr>
          <w:rFonts w:asciiTheme="majorBidi" w:hAnsiTheme="majorBidi" w:cstheme="majorBidi"/>
          <w:iCs/>
          <w:sz w:val="24"/>
          <w:szCs w:val="24"/>
        </w:rPr>
        <w:t>,</w:t>
      </w:r>
      <w:r w:rsidRPr="00C302F3">
        <w:rPr>
          <w:rFonts w:asciiTheme="majorBidi" w:hAnsiTheme="majorBidi" w:cstheme="majorBidi"/>
          <w:iCs/>
          <w:sz w:val="24"/>
          <w:szCs w:val="24"/>
        </w:rPr>
        <w:t xml:space="preserve"> </w:t>
      </w:r>
      <w:r w:rsidRPr="00745271">
        <w:rPr>
          <w:rFonts w:asciiTheme="majorBidi" w:hAnsiTheme="majorBidi" w:cstheme="majorBidi"/>
          <w:iCs/>
          <w:sz w:val="24"/>
          <w:szCs w:val="24"/>
        </w:rPr>
        <w:t xml:space="preserve">C-10/89, </w:t>
      </w:r>
      <w:proofErr w:type="spellStart"/>
      <w:r w:rsidRPr="00745271">
        <w:rPr>
          <w:rFonts w:asciiTheme="majorBidi" w:hAnsiTheme="majorBidi" w:cstheme="majorBidi"/>
          <w:iCs/>
          <w:sz w:val="24"/>
          <w:szCs w:val="24"/>
        </w:rPr>
        <w:t>par</w:t>
      </w:r>
      <w:proofErr w:type="spellEnd"/>
      <w:r w:rsidRPr="00745271">
        <w:rPr>
          <w:rFonts w:asciiTheme="majorBidi" w:hAnsiTheme="majorBidi" w:cstheme="majorBidi"/>
          <w:iCs/>
          <w:sz w:val="24"/>
          <w:szCs w:val="24"/>
        </w:rPr>
        <w:t>. 13; 1994</w:t>
      </w:r>
      <w:r w:rsidR="00AE02C5">
        <w:rPr>
          <w:rFonts w:asciiTheme="majorBidi" w:hAnsiTheme="majorBidi" w:cstheme="majorBidi"/>
          <w:iCs/>
          <w:sz w:val="24"/>
          <w:szCs w:val="24"/>
        </w:rPr>
        <w:t> </w:t>
      </w:r>
      <w:r w:rsidRPr="00745271">
        <w:rPr>
          <w:rFonts w:asciiTheme="majorBidi" w:hAnsiTheme="majorBidi" w:cstheme="majorBidi"/>
          <w:iCs/>
          <w:sz w:val="24"/>
          <w:szCs w:val="24"/>
        </w:rPr>
        <w:t xml:space="preserve">m. birželio 22 d. </w:t>
      </w:r>
      <w:proofErr w:type="spellStart"/>
      <w:r w:rsidRPr="00745271">
        <w:rPr>
          <w:rFonts w:asciiTheme="majorBidi" w:hAnsiTheme="majorBidi" w:cstheme="majorBidi"/>
          <w:iCs/>
          <w:sz w:val="24"/>
          <w:szCs w:val="24"/>
        </w:rPr>
        <w:t>prejudicini</w:t>
      </w:r>
      <w:r w:rsidR="00AE02C5">
        <w:rPr>
          <w:rFonts w:asciiTheme="majorBidi" w:hAnsiTheme="majorBidi" w:cstheme="majorBidi"/>
          <w:iCs/>
          <w:sz w:val="24"/>
          <w:szCs w:val="24"/>
        </w:rPr>
        <w:t>s</w:t>
      </w:r>
      <w:proofErr w:type="spellEnd"/>
      <w:r w:rsidRPr="00745271">
        <w:rPr>
          <w:rFonts w:asciiTheme="majorBidi" w:hAnsiTheme="majorBidi" w:cstheme="majorBidi"/>
          <w:iCs/>
          <w:sz w:val="24"/>
          <w:szCs w:val="24"/>
        </w:rPr>
        <w:t xml:space="preserve"> sprendim</w:t>
      </w:r>
      <w:r w:rsidR="00AE02C5">
        <w:rPr>
          <w:rFonts w:asciiTheme="majorBidi" w:hAnsiTheme="majorBidi" w:cstheme="majorBidi"/>
          <w:iCs/>
          <w:sz w:val="24"/>
          <w:szCs w:val="24"/>
        </w:rPr>
        <w:t>as</w:t>
      </w:r>
      <w:r w:rsidRPr="00745271">
        <w:rPr>
          <w:rFonts w:asciiTheme="majorBidi" w:hAnsiTheme="majorBidi" w:cstheme="majorBidi"/>
          <w:iCs/>
          <w:sz w:val="24"/>
          <w:szCs w:val="24"/>
        </w:rPr>
        <w:t xml:space="preserve"> </w:t>
      </w:r>
      <w:r w:rsidRPr="00745271">
        <w:rPr>
          <w:rFonts w:asciiTheme="majorBidi" w:hAnsiTheme="majorBidi" w:cstheme="majorBidi"/>
          <w:i/>
          <w:sz w:val="24"/>
          <w:szCs w:val="24"/>
        </w:rPr>
        <w:t xml:space="preserve">IHT </w:t>
      </w:r>
      <w:proofErr w:type="spellStart"/>
      <w:r w:rsidRPr="00745271">
        <w:rPr>
          <w:rFonts w:asciiTheme="majorBidi" w:hAnsiTheme="majorBidi" w:cstheme="majorBidi"/>
          <w:i/>
          <w:sz w:val="24"/>
          <w:szCs w:val="24"/>
        </w:rPr>
        <w:t>Internationale</w:t>
      </w:r>
      <w:proofErr w:type="spellEnd"/>
      <w:r w:rsidRPr="00745271">
        <w:rPr>
          <w:rFonts w:asciiTheme="majorBidi" w:hAnsiTheme="majorBidi" w:cstheme="majorBidi"/>
          <w:i/>
          <w:sz w:val="24"/>
          <w:szCs w:val="24"/>
        </w:rPr>
        <w:t xml:space="preserve"> </w:t>
      </w:r>
      <w:proofErr w:type="spellStart"/>
      <w:r w:rsidRPr="00745271">
        <w:rPr>
          <w:rFonts w:asciiTheme="majorBidi" w:hAnsiTheme="majorBidi" w:cstheme="majorBidi"/>
          <w:i/>
          <w:sz w:val="24"/>
          <w:szCs w:val="24"/>
        </w:rPr>
        <w:t>Heiztechnik</w:t>
      </w:r>
      <w:proofErr w:type="spellEnd"/>
      <w:r w:rsidRPr="00745271">
        <w:rPr>
          <w:rFonts w:asciiTheme="majorBidi" w:hAnsiTheme="majorBidi" w:cstheme="majorBidi"/>
          <w:i/>
          <w:sz w:val="24"/>
          <w:szCs w:val="24"/>
        </w:rPr>
        <w:t xml:space="preserve"> </w:t>
      </w:r>
      <w:proofErr w:type="spellStart"/>
      <w:r w:rsidRPr="00745271">
        <w:rPr>
          <w:rFonts w:asciiTheme="majorBidi" w:hAnsiTheme="majorBidi" w:cstheme="majorBidi"/>
          <w:i/>
          <w:sz w:val="24"/>
          <w:szCs w:val="24"/>
        </w:rPr>
        <w:t>GmbH</w:t>
      </w:r>
      <w:proofErr w:type="spellEnd"/>
      <w:r w:rsidRPr="00745271">
        <w:rPr>
          <w:rFonts w:asciiTheme="majorBidi" w:hAnsiTheme="majorBidi" w:cstheme="majorBidi"/>
          <w:i/>
          <w:sz w:val="24"/>
          <w:szCs w:val="24"/>
        </w:rPr>
        <w:t xml:space="preserve"> ir </w:t>
      </w:r>
      <w:proofErr w:type="spellStart"/>
      <w:r w:rsidRPr="00745271">
        <w:rPr>
          <w:rFonts w:asciiTheme="majorBidi" w:hAnsiTheme="majorBidi" w:cstheme="majorBidi"/>
          <w:i/>
          <w:sz w:val="24"/>
          <w:szCs w:val="24"/>
        </w:rPr>
        <w:t>Uwe</w:t>
      </w:r>
      <w:proofErr w:type="spellEnd"/>
      <w:r w:rsidRPr="00745271">
        <w:rPr>
          <w:rFonts w:asciiTheme="majorBidi" w:hAnsiTheme="majorBidi" w:cstheme="majorBidi"/>
          <w:i/>
          <w:sz w:val="24"/>
          <w:szCs w:val="24"/>
        </w:rPr>
        <w:t xml:space="preserve"> </w:t>
      </w:r>
      <w:proofErr w:type="spellStart"/>
      <w:r w:rsidRPr="00745271">
        <w:rPr>
          <w:rFonts w:asciiTheme="majorBidi" w:hAnsiTheme="majorBidi" w:cstheme="majorBidi"/>
          <w:i/>
          <w:sz w:val="24"/>
          <w:szCs w:val="24"/>
        </w:rPr>
        <w:t>Danzinger</w:t>
      </w:r>
      <w:proofErr w:type="spellEnd"/>
      <w:r w:rsidRPr="00745271">
        <w:rPr>
          <w:rFonts w:asciiTheme="majorBidi" w:hAnsiTheme="majorBidi" w:cstheme="majorBidi"/>
          <w:i/>
          <w:sz w:val="24"/>
          <w:szCs w:val="24"/>
        </w:rPr>
        <w:t xml:space="preserve"> prieš </w:t>
      </w:r>
      <w:proofErr w:type="spellStart"/>
      <w:r w:rsidRPr="00745271">
        <w:rPr>
          <w:rFonts w:asciiTheme="majorBidi" w:hAnsiTheme="majorBidi" w:cstheme="majorBidi"/>
          <w:i/>
          <w:sz w:val="24"/>
          <w:szCs w:val="24"/>
        </w:rPr>
        <w:t>Ideal</w:t>
      </w:r>
      <w:proofErr w:type="spellEnd"/>
      <w:r w:rsidRPr="00745271">
        <w:rPr>
          <w:rFonts w:asciiTheme="majorBidi" w:hAnsiTheme="majorBidi" w:cstheme="majorBidi"/>
          <w:i/>
          <w:sz w:val="24"/>
          <w:szCs w:val="24"/>
        </w:rPr>
        <w:t xml:space="preserve">-Standard </w:t>
      </w:r>
      <w:proofErr w:type="spellStart"/>
      <w:r w:rsidRPr="00745271">
        <w:rPr>
          <w:rFonts w:asciiTheme="majorBidi" w:hAnsiTheme="majorBidi" w:cstheme="majorBidi"/>
          <w:i/>
          <w:sz w:val="24"/>
          <w:szCs w:val="24"/>
        </w:rPr>
        <w:t>GmbH</w:t>
      </w:r>
      <w:proofErr w:type="spellEnd"/>
      <w:r w:rsidRPr="00745271">
        <w:rPr>
          <w:rFonts w:asciiTheme="majorBidi" w:hAnsiTheme="majorBidi" w:cstheme="majorBidi"/>
          <w:i/>
          <w:sz w:val="24"/>
          <w:szCs w:val="24"/>
        </w:rPr>
        <w:t xml:space="preserve"> ir </w:t>
      </w:r>
      <w:proofErr w:type="spellStart"/>
      <w:r w:rsidRPr="00745271">
        <w:rPr>
          <w:rFonts w:asciiTheme="majorBidi" w:hAnsiTheme="majorBidi" w:cstheme="majorBidi"/>
          <w:i/>
          <w:sz w:val="24"/>
          <w:szCs w:val="24"/>
        </w:rPr>
        <w:t>Wabco</w:t>
      </w:r>
      <w:proofErr w:type="spellEnd"/>
      <w:r w:rsidRPr="00745271">
        <w:rPr>
          <w:rFonts w:asciiTheme="majorBidi" w:hAnsiTheme="majorBidi" w:cstheme="majorBidi"/>
          <w:i/>
          <w:sz w:val="24"/>
          <w:szCs w:val="24"/>
        </w:rPr>
        <w:t xml:space="preserve"> Standard </w:t>
      </w:r>
      <w:proofErr w:type="spellStart"/>
      <w:r w:rsidRPr="00745271">
        <w:rPr>
          <w:rFonts w:asciiTheme="majorBidi" w:hAnsiTheme="majorBidi" w:cstheme="majorBidi"/>
          <w:i/>
          <w:sz w:val="24"/>
          <w:szCs w:val="24"/>
        </w:rPr>
        <w:t>GmbH</w:t>
      </w:r>
      <w:proofErr w:type="spellEnd"/>
      <w:r>
        <w:rPr>
          <w:rFonts w:asciiTheme="majorBidi" w:hAnsiTheme="majorBidi" w:cstheme="majorBidi"/>
          <w:iCs/>
          <w:sz w:val="24"/>
          <w:szCs w:val="24"/>
        </w:rPr>
        <w:t xml:space="preserve">, C-9/93, </w:t>
      </w:r>
      <w:proofErr w:type="spellStart"/>
      <w:r>
        <w:rPr>
          <w:rFonts w:asciiTheme="majorBidi" w:hAnsiTheme="majorBidi" w:cstheme="majorBidi"/>
          <w:iCs/>
          <w:sz w:val="24"/>
          <w:szCs w:val="24"/>
        </w:rPr>
        <w:t>par</w:t>
      </w:r>
      <w:proofErr w:type="spellEnd"/>
      <w:r>
        <w:rPr>
          <w:rFonts w:asciiTheme="majorBidi" w:hAnsiTheme="majorBidi" w:cstheme="majorBidi"/>
          <w:iCs/>
          <w:sz w:val="24"/>
          <w:szCs w:val="24"/>
        </w:rPr>
        <w:t>. 37, 45).</w:t>
      </w:r>
    </w:p>
    <w:p w14:paraId="334DE471" w14:textId="6B978140" w:rsidR="00754963"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Taigi, </w:t>
      </w:r>
      <w:bookmarkStart w:id="14" w:name="_Hlk155773063"/>
      <w:r>
        <w:rPr>
          <w:rFonts w:asciiTheme="majorBidi" w:hAnsiTheme="majorBidi" w:cstheme="majorBidi"/>
          <w:iCs/>
          <w:sz w:val="24"/>
          <w:szCs w:val="24"/>
        </w:rPr>
        <w:t>pagrindinis</w:t>
      </w:r>
      <w:r w:rsidRPr="00ED18CD">
        <w:rPr>
          <w:rFonts w:asciiTheme="majorBidi" w:hAnsiTheme="majorBidi" w:cstheme="majorBidi"/>
          <w:iCs/>
          <w:sz w:val="24"/>
          <w:szCs w:val="24"/>
        </w:rPr>
        <w:t xml:space="preserve"> prekių ženklo tikslas </w:t>
      </w:r>
      <w:r>
        <w:rPr>
          <w:rFonts w:asciiTheme="majorBidi" w:hAnsiTheme="majorBidi" w:cstheme="majorBidi"/>
          <w:iCs/>
          <w:sz w:val="24"/>
          <w:szCs w:val="24"/>
        </w:rPr>
        <w:t>–</w:t>
      </w:r>
      <w:r w:rsidRPr="00ED18CD">
        <w:rPr>
          <w:rFonts w:asciiTheme="majorBidi" w:hAnsiTheme="majorBidi" w:cstheme="majorBidi"/>
          <w:iCs/>
          <w:sz w:val="24"/>
          <w:szCs w:val="24"/>
        </w:rPr>
        <w:t xml:space="preserve"> užtikrinti prekių ženklo savininkui teisę naudoti savo prekių ženklą </w:t>
      </w:r>
      <w:r>
        <w:rPr>
          <w:rFonts w:asciiTheme="majorBidi" w:hAnsiTheme="majorBidi" w:cstheme="majorBidi"/>
          <w:iCs/>
          <w:sz w:val="24"/>
          <w:szCs w:val="24"/>
        </w:rPr>
        <w:t xml:space="preserve">produktams </w:t>
      </w:r>
      <w:r w:rsidRPr="00ED18CD">
        <w:rPr>
          <w:rFonts w:asciiTheme="majorBidi" w:hAnsiTheme="majorBidi" w:cstheme="majorBidi"/>
          <w:iCs/>
          <w:sz w:val="24"/>
          <w:szCs w:val="24"/>
        </w:rPr>
        <w:t xml:space="preserve">pirmą kartą </w:t>
      </w:r>
      <w:r>
        <w:rPr>
          <w:rFonts w:asciiTheme="majorBidi" w:hAnsiTheme="majorBidi" w:cstheme="majorBidi"/>
          <w:iCs/>
          <w:sz w:val="24"/>
          <w:szCs w:val="24"/>
        </w:rPr>
        <w:t>išleidžiamiems</w:t>
      </w:r>
      <w:r w:rsidRPr="00ED18CD">
        <w:rPr>
          <w:rFonts w:asciiTheme="majorBidi" w:hAnsiTheme="majorBidi" w:cstheme="majorBidi"/>
          <w:iCs/>
          <w:sz w:val="24"/>
          <w:szCs w:val="24"/>
        </w:rPr>
        <w:t xml:space="preserve"> į rinką.</w:t>
      </w:r>
      <w:r>
        <w:rPr>
          <w:rFonts w:asciiTheme="majorBidi" w:hAnsiTheme="majorBidi" w:cstheme="majorBidi"/>
          <w:iCs/>
          <w:sz w:val="24"/>
          <w:szCs w:val="24"/>
        </w:rPr>
        <w:t xml:space="preserve"> E</w:t>
      </w:r>
      <w:r w:rsidRPr="00ED18CD">
        <w:rPr>
          <w:rFonts w:asciiTheme="majorBidi" w:hAnsiTheme="majorBidi" w:cstheme="majorBidi"/>
          <w:iCs/>
          <w:sz w:val="24"/>
          <w:szCs w:val="24"/>
        </w:rPr>
        <w:t xml:space="preserve">sminė prekių ženklo paskirtis </w:t>
      </w:r>
      <w:r>
        <w:rPr>
          <w:rFonts w:asciiTheme="majorBidi" w:hAnsiTheme="majorBidi" w:cstheme="majorBidi"/>
          <w:iCs/>
          <w:sz w:val="24"/>
          <w:szCs w:val="24"/>
        </w:rPr>
        <w:t>–</w:t>
      </w:r>
      <w:r w:rsidRPr="00ED18CD">
        <w:rPr>
          <w:rFonts w:asciiTheme="majorBidi" w:hAnsiTheme="majorBidi" w:cstheme="majorBidi"/>
          <w:iCs/>
          <w:sz w:val="24"/>
          <w:szCs w:val="24"/>
        </w:rPr>
        <w:t xml:space="preserve"> garantuoti vartotojams tam tikru prekių ženklu </w:t>
      </w:r>
      <w:r>
        <w:rPr>
          <w:rFonts w:asciiTheme="majorBidi" w:hAnsiTheme="majorBidi" w:cstheme="majorBidi"/>
          <w:iCs/>
          <w:sz w:val="24"/>
          <w:szCs w:val="24"/>
        </w:rPr>
        <w:t>pažymėto</w:t>
      </w:r>
      <w:r w:rsidRPr="00ED18CD">
        <w:rPr>
          <w:rFonts w:asciiTheme="majorBidi" w:hAnsiTheme="majorBidi" w:cstheme="majorBidi"/>
          <w:iCs/>
          <w:sz w:val="24"/>
          <w:szCs w:val="24"/>
        </w:rPr>
        <w:t xml:space="preserve"> produkto kilmę.</w:t>
      </w:r>
      <w:r>
        <w:rPr>
          <w:rFonts w:asciiTheme="majorBidi" w:hAnsiTheme="majorBidi" w:cstheme="majorBidi"/>
          <w:iCs/>
          <w:sz w:val="24"/>
          <w:szCs w:val="24"/>
        </w:rPr>
        <w:t xml:space="preserve"> </w:t>
      </w:r>
      <w:r w:rsidRPr="00ED18CD">
        <w:rPr>
          <w:rFonts w:asciiTheme="majorBidi" w:hAnsiTheme="majorBidi" w:cstheme="majorBidi"/>
          <w:iCs/>
          <w:sz w:val="24"/>
          <w:szCs w:val="24"/>
        </w:rPr>
        <w:t>Savininko prekių ženklo naudojimas, neatitinkantis šio reikalavimo, gali neatitikti pirmiau minėtų nuostatų</w:t>
      </w:r>
      <w:r>
        <w:rPr>
          <w:rFonts w:asciiTheme="majorBidi" w:hAnsiTheme="majorBidi" w:cstheme="majorBidi"/>
          <w:iCs/>
          <w:sz w:val="24"/>
          <w:szCs w:val="24"/>
        </w:rPr>
        <w:t xml:space="preserve"> </w:t>
      </w:r>
      <w:r w:rsidRPr="00ED18CD">
        <w:rPr>
          <w:rFonts w:asciiTheme="majorBidi" w:hAnsiTheme="majorBidi" w:cstheme="majorBidi"/>
          <w:iCs/>
          <w:sz w:val="24"/>
          <w:szCs w:val="24"/>
        </w:rPr>
        <w:t xml:space="preserve">ir todėl </w:t>
      </w:r>
      <w:r>
        <w:rPr>
          <w:rFonts w:asciiTheme="majorBidi" w:hAnsiTheme="majorBidi" w:cstheme="majorBidi"/>
          <w:iCs/>
          <w:sz w:val="24"/>
          <w:szCs w:val="24"/>
        </w:rPr>
        <w:t>gali būti laikomas</w:t>
      </w:r>
      <w:r w:rsidRPr="00ED18CD">
        <w:rPr>
          <w:rFonts w:asciiTheme="majorBidi" w:hAnsiTheme="majorBidi" w:cstheme="majorBidi"/>
          <w:iCs/>
          <w:sz w:val="24"/>
          <w:szCs w:val="24"/>
        </w:rPr>
        <w:t xml:space="preserve"> nesąžining</w:t>
      </w:r>
      <w:r>
        <w:rPr>
          <w:rFonts w:asciiTheme="majorBidi" w:hAnsiTheme="majorBidi" w:cstheme="majorBidi"/>
          <w:iCs/>
          <w:sz w:val="24"/>
          <w:szCs w:val="24"/>
        </w:rPr>
        <w:t>u</w:t>
      </w:r>
      <w:r w:rsidRPr="00ED18CD">
        <w:rPr>
          <w:rFonts w:asciiTheme="majorBidi" w:hAnsiTheme="majorBidi" w:cstheme="majorBidi"/>
          <w:iCs/>
          <w:sz w:val="24"/>
          <w:szCs w:val="24"/>
        </w:rPr>
        <w:t xml:space="preserve"> valstybių narių tarpusavio prekybos ribojim</w:t>
      </w:r>
      <w:r>
        <w:rPr>
          <w:rFonts w:asciiTheme="majorBidi" w:hAnsiTheme="majorBidi" w:cstheme="majorBidi"/>
          <w:iCs/>
          <w:sz w:val="24"/>
          <w:szCs w:val="24"/>
        </w:rPr>
        <w:t>u</w:t>
      </w:r>
      <w:r w:rsidRPr="00ED18CD">
        <w:rPr>
          <w:rFonts w:asciiTheme="majorBidi" w:hAnsiTheme="majorBidi" w:cstheme="majorBidi"/>
          <w:iCs/>
          <w:sz w:val="24"/>
          <w:szCs w:val="24"/>
        </w:rPr>
        <w:t>, kurį draudžia Sutartis</w:t>
      </w:r>
      <w:r>
        <w:rPr>
          <w:rFonts w:asciiTheme="majorBidi" w:hAnsiTheme="majorBidi" w:cstheme="majorBidi"/>
          <w:iCs/>
          <w:sz w:val="24"/>
          <w:szCs w:val="24"/>
        </w:rPr>
        <w:t xml:space="preserve"> dėl Europos Sąjungos veikimo</w:t>
      </w:r>
      <w:r w:rsidRPr="00ED18CD">
        <w:rPr>
          <w:rFonts w:asciiTheme="majorBidi" w:hAnsiTheme="majorBidi" w:cstheme="majorBidi"/>
          <w:iCs/>
          <w:sz w:val="24"/>
          <w:szCs w:val="24"/>
        </w:rPr>
        <w:t>.</w:t>
      </w:r>
      <w:bookmarkEnd w:id="14"/>
      <w:r>
        <w:rPr>
          <w:rFonts w:asciiTheme="majorBidi" w:hAnsiTheme="majorBidi" w:cstheme="majorBidi"/>
          <w:iCs/>
          <w:sz w:val="24"/>
          <w:szCs w:val="24"/>
        </w:rPr>
        <w:t xml:space="preserve"> Taip yra tuomet, kai nustatoma, kad prek</w:t>
      </w:r>
      <w:r w:rsidR="00C302F3">
        <w:rPr>
          <w:rFonts w:asciiTheme="majorBidi" w:hAnsiTheme="majorBidi" w:cstheme="majorBidi"/>
          <w:iCs/>
          <w:sz w:val="24"/>
          <w:szCs w:val="24"/>
        </w:rPr>
        <w:t>ių</w:t>
      </w:r>
      <w:r>
        <w:rPr>
          <w:rFonts w:asciiTheme="majorBidi" w:hAnsiTheme="majorBidi" w:cstheme="majorBidi"/>
          <w:iCs/>
          <w:sz w:val="24"/>
          <w:szCs w:val="24"/>
        </w:rPr>
        <w:t xml:space="preserve"> ženklo</w:t>
      </w:r>
      <w:r w:rsidRPr="00EA4913">
        <w:rPr>
          <w:rFonts w:asciiTheme="majorBidi" w:hAnsiTheme="majorBidi" w:cstheme="majorBidi"/>
          <w:iCs/>
          <w:sz w:val="24"/>
          <w:szCs w:val="24"/>
        </w:rPr>
        <w:t xml:space="preserve"> savininko naudojimasis teise į prekių ženklą, atsižvelgiant į jo pasirinktą rinkodaros sistemą, prisidės prie dirbtinio rinkų padalijimo tarp valstybių narių</w:t>
      </w:r>
      <w:r>
        <w:rPr>
          <w:rFonts w:asciiTheme="majorBidi" w:hAnsiTheme="majorBidi" w:cstheme="majorBidi"/>
          <w:iCs/>
          <w:sz w:val="24"/>
          <w:szCs w:val="24"/>
        </w:rPr>
        <w:t xml:space="preserve"> (ESTT 1978 m. gegužės 23 d. </w:t>
      </w:r>
      <w:proofErr w:type="spellStart"/>
      <w:r>
        <w:rPr>
          <w:rFonts w:asciiTheme="majorBidi" w:hAnsiTheme="majorBidi" w:cstheme="majorBidi"/>
          <w:iCs/>
          <w:sz w:val="24"/>
          <w:szCs w:val="24"/>
        </w:rPr>
        <w:t>prejudicini</w:t>
      </w:r>
      <w:r w:rsidR="00405541">
        <w:rPr>
          <w:rFonts w:asciiTheme="majorBidi" w:hAnsiTheme="majorBidi" w:cstheme="majorBidi"/>
          <w:iCs/>
          <w:sz w:val="24"/>
          <w:szCs w:val="24"/>
        </w:rPr>
        <w:t>s</w:t>
      </w:r>
      <w:proofErr w:type="spellEnd"/>
      <w:r>
        <w:rPr>
          <w:rFonts w:asciiTheme="majorBidi" w:hAnsiTheme="majorBidi" w:cstheme="majorBidi"/>
          <w:iCs/>
          <w:sz w:val="24"/>
          <w:szCs w:val="24"/>
        </w:rPr>
        <w:t xml:space="preserve"> sprendim</w:t>
      </w:r>
      <w:r w:rsidR="00405541">
        <w:rPr>
          <w:rFonts w:asciiTheme="majorBidi" w:hAnsiTheme="majorBidi" w:cstheme="majorBidi"/>
          <w:iCs/>
          <w:sz w:val="24"/>
          <w:szCs w:val="24"/>
        </w:rPr>
        <w:t>as</w:t>
      </w:r>
      <w:r>
        <w:rPr>
          <w:rFonts w:asciiTheme="majorBidi" w:hAnsiTheme="majorBidi" w:cstheme="majorBidi"/>
          <w:iCs/>
          <w:sz w:val="24"/>
          <w:szCs w:val="24"/>
        </w:rPr>
        <w:t xml:space="preserve"> byloje </w:t>
      </w:r>
      <w:proofErr w:type="spellStart"/>
      <w:r w:rsidRPr="00745271">
        <w:rPr>
          <w:rFonts w:asciiTheme="majorBidi" w:hAnsiTheme="majorBidi" w:cstheme="majorBidi"/>
          <w:i/>
          <w:sz w:val="24"/>
          <w:szCs w:val="24"/>
        </w:rPr>
        <w:t>Hoffmann</w:t>
      </w:r>
      <w:proofErr w:type="spellEnd"/>
      <w:r w:rsidRPr="00745271">
        <w:rPr>
          <w:rFonts w:asciiTheme="majorBidi" w:hAnsiTheme="majorBidi" w:cstheme="majorBidi"/>
          <w:i/>
          <w:sz w:val="24"/>
          <w:szCs w:val="24"/>
        </w:rPr>
        <w:t xml:space="preserve">-La </w:t>
      </w:r>
      <w:proofErr w:type="spellStart"/>
      <w:r w:rsidRPr="00745271">
        <w:rPr>
          <w:rFonts w:asciiTheme="majorBidi" w:hAnsiTheme="majorBidi" w:cstheme="majorBidi"/>
          <w:i/>
          <w:sz w:val="24"/>
          <w:szCs w:val="24"/>
        </w:rPr>
        <w:t>Roche</w:t>
      </w:r>
      <w:proofErr w:type="spellEnd"/>
      <w:r w:rsidRPr="00745271">
        <w:rPr>
          <w:rFonts w:asciiTheme="majorBidi" w:hAnsiTheme="majorBidi" w:cstheme="majorBidi"/>
          <w:i/>
          <w:sz w:val="24"/>
          <w:szCs w:val="24"/>
        </w:rPr>
        <w:t xml:space="preserve"> &amp; </w:t>
      </w:r>
      <w:proofErr w:type="spellStart"/>
      <w:r w:rsidRPr="00745271">
        <w:rPr>
          <w:rFonts w:asciiTheme="majorBidi" w:hAnsiTheme="majorBidi" w:cstheme="majorBidi"/>
          <w:i/>
          <w:sz w:val="24"/>
          <w:szCs w:val="24"/>
        </w:rPr>
        <w:t>Co</w:t>
      </w:r>
      <w:proofErr w:type="spellEnd"/>
      <w:r w:rsidRPr="00745271">
        <w:rPr>
          <w:rFonts w:asciiTheme="majorBidi" w:hAnsiTheme="majorBidi" w:cstheme="majorBidi"/>
          <w:i/>
          <w:sz w:val="24"/>
          <w:szCs w:val="24"/>
        </w:rPr>
        <w:t xml:space="preserve">. AG prieš </w:t>
      </w:r>
      <w:proofErr w:type="spellStart"/>
      <w:r w:rsidRPr="00745271">
        <w:rPr>
          <w:rFonts w:asciiTheme="majorBidi" w:hAnsiTheme="majorBidi" w:cstheme="majorBidi"/>
          <w:i/>
          <w:sz w:val="24"/>
          <w:szCs w:val="24"/>
        </w:rPr>
        <w:t>Centrafarm</w:t>
      </w:r>
      <w:proofErr w:type="spellEnd"/>
      <w:r w:rsidRPr="00745271">
        <w:rPr>
          <w:rFonts w:asciiTheme="majorBidi" w:hAnsiTheme="majorBidi" w:cstheme="majorBidi"/>
          <w:i/>
          <w:sz w:val="24"/>
          <w:szCs w:val="24"/>
        </w:rPr>
        <w:t xml:space="preserve"> </w:t>
      </w:r>
      <w:proofErr w:type="spellStart"/>
      <w:r w:rsidRPr="00745271">
        <w:rPr>
          <w:rFonts w:asciiTheme="majorBidi" w:hAnsiTheme="majorBidi" w:cstheme="majorBidi"/>
          <w:i/>
          <w:sz w:val="24"/>
          <w:szCs w:val="24"/>
        </w:rPr>
        <w:t>Vertriebsgesellschaft</w:t>
      </w:r>
      <w:proofErr w:type="spellEnd"/>
      <w:r w:rsidRPr="00745271">
        <w:rPr>
          <w:rFonts w:asciiTheme="majorBidi" w:hAnsiTheme="majorBidi" w:cstheme="majorBidi"/>
          <w:i/>
          <w:sz w:val="24"/>
          <w:szCs w:val="24"/>
        </w:rPr>
        <w:t xml:space="preserve"> </w:t>
      </w:r>
      <w:proofErr w:type="spellStart"/>
      <w:r w:rsidRPr="00745271">
        <w:rPr>
          <w:rFonts w:asciiTheme="majorBidi" w:hAnsiTheme="majorBidi" w:cstheme="majorBidi"/>
          <w:i/>
          <w:sz w:val="24"/>
          <w:szCs w:val="24"/>
        </w:rPr>
        <w:t>Pharmazeutischer</w:t>
      </w:r>
      <w:proofErr w:type="spellEnd"/>
      <w:r w:rsidRPr="00745271">
        <w:rPr>
          <w:rFonts w:asciiTheme="majorBidi" w:hAnsiTheme="majorBidi" w:cstheme="majorBidi"/>
          <w:i/>
          <w:sz w:val="24"/>
          <w:szCs w:val="24"/>
        </w:rPr>
        <w:t xml:space="preserve"> </w:t>
      </w:r>
      <w:proofErr w:type="spellStart"/>
      <w:r w:rsidRPr="00745271">
        <w:rPr>
          <w:rFonts w:asciiTheme="majorBidi" w:hAnsiTheme="majorBidi" w:cstheme="majorBidi"/>
          <w:i/>
          <w:sz w:val="24"/>
          <w:szCs w:val="24"/>
        </w:rPr>
        <w:t>Erzeugnisse</w:t>
      </w:r>
      <w:proofErr w:type="spellEnd"/>
      <w:r w:rsidRPr="00745271">
        <w:rPr>
          <w:rFonts w:asciiTheme="majorBidi" w:hAnsiTheme="majorBidi" w:cstheme="majorBidi"/>
          <w:i/>
          <w:sz w:val="24"/>
          <w:szCs w:val="24"/>
        </w:rPr>
        <w:t xml:space="preserve"> </w:t>
      </w:r>
      <w:proofErr w:type="spellStart"/>
      <w:r w:rsidRPr="00745271">
        <w:rPr>
          <w:rFonts w:asciiTheme="majorBidi" w:hAnsiTheme="majorBidi" w:cstheme="majorBidi"/>
          <w:i/>
          <w:sz w:val="24"/>
          <w:szCs w:val="24"/>
        </w:rPr>
        <w:t>mbH</w:t>
      </w:r>
      <w:proofErr w:type="spellEnd"/>
      <w:r>
        <w:rPr>
          <w:rFonts w:asciiTheme="majorBidi" w:hAnsiTheme="majorBidi" w:cstheme="majorBidi"/>
          <w:iCs/>
          <w:sz w:val="24"/>
          <w:szCs w:val="24"/>
        </w:rPr>
        <w:t xml:space="preserve">, C-102/77, </w:t>
      </w:r>
      <w:proofErr w:type="spellStart"/>
      <w:r>
        <w:rPr>
          <w:rFonts w:asciiTheme="majorBidi" w:hAnsiTheme="majorBidi" w:cstheme="majorBidi"/>
          <w:iCs/>
          <w:sz w:val="24"/>
          <w:szCs w:val="24"/>
        </w:rPr>
        <w:t>par</w:t>
      </w:r>
      <w:proofErr w:type="spellEnd"/>
      <w:r>
        <w:rPr>
          <w:rFonts w:asciiTheme="majorBidi" w:hAnsiTheme="majorBidi" w:cstheme="majorBidi"/>
          <w:iCs/>
          <w:sz w:val="24"/>
          <w:szCs w:val="24"/>
        </w:rPr>
        <w:t xml:space="preserve">. 7; 1981 m. gruodžio 3 d. </w:t>
      </w:r>
      <w:proofErr w:type="spellStart"/>
      <w:r>
        <w:rPr>
          <w:rFonts w:asciiTheme="majorBidi" w:hAnsiTheme="majorBidi" w:cstheme="majorBidi"/>
          <w:iCs/>
          <w:sz w:val="24"/>
          <w:szCs w:val="24"/>
        </w:rPr>
        <w:t>prejudicini</w:t>
      </w:r>
      <w:r w:rsidR="00405541">
        <w:rPr>
          <w:rFonts w:asciiTheme="majorBidi" w:hAnsiTheme="majorBidi" w:cstheme="majorBidi"/>
          <w:iCs/>
          <w:sz w:val="24"/>
          <w:szCs w:val="24"/>
        </w:rPr>
        <w:t>s</w:t>
      </w:r>
      <w:proofErr w:type="spellEnd"/>
      <w:r>
        <w:rPr>
          <w:rFonts w:asciiTheme="majorBidi" w:hAnsiTheme="majorBidi" w:cstheme="majorBidi"/>
          <w:iCs/>
          <w:sz w:val="24"/>
          <w:szCs w:val="24"/>
        </w:rPr>
        <w:t xml:space="preserve"> sprendim</w:t>
      </w:r>
      <w:r w:rsidR="00405541">
        <w:rPr>
          <w:rFonts w:asciiTheme="majorBidi" w:hAnsiTheme="majorBidi" w:cstheme="majorBidi"/>
          <w:iCs/>
          <w:sz w:val="24"/>
          <w:szCs w:val="24"/>
        </w:rPr>
        <w:t>as</w:t>
      </w:r>
      <w:r>
        <w:rPr>
          <w:rFonts w:asciiTheme="majorBidi" w:hAnsiTheme="majorBidi" w:cstheme="majorBidi"/>
          <w:iCs/>
          <w:sz w:val="24"/>
          <w:szCs w:val="24"/>
        </w:rPr>
        <w:t xml:space="preserve"> byloje </w:t>
      </w:r>
      <w:r w:rsidRPr="00745271">
        <w:rPr>
          <w:rFonts w:asciiTheme="majorBidi" w:hAnsiTheme="majorBidi" w:cstheme="majorBidi"/>
          <w:i/>
          <w:sz w:val="24"/>
          <w:szCs w:val="24"/>
        </w:rPr>
        <w:t xml:space="preserve">Pfizer </w:t>
      </w:r>
      <w:proofErr w:type="spellStart"/>
      <w:r w:rsidRPr="00745271">
        <w:rPr>
          <w:rFonts w:asciiTheme="majorBidi" w:hAnsiTheme="majorBidi" w:cstheme="majorBidi"/>
          <w:i/>
          <w:sz w:val="24"/>
          <w:szCs w:val="24"/>
        </w:rPr>
        <w:t>Inc</w:t>
      </w:r>
      <w:proofErr w:type="spellEnd"/>
      <w:r w:rsidRPr="00745271">
        <w:rPr>
          <w:rFonts w:asciiTheme="majorBidi" w:hAnsiTheme="majorBidi" w:cstheme="majorBidi"/>
          <w:i/>
          <w:sz w:val="24"/>
          <w:szCs w:val="24"/>
        </w:rPr>
        <w:t xml:space="preserve">. prieš </w:t>
      </w:r>
      <w:proofErr w:type="spellStart"/>
      <w:r w:rsidRPr="00745271">
        <w:rPr>
          <w:rFonts w:asciiTheme="majorBidi" w:hAnsiTheme="majorBidi" w:cstheme="majorBidi"/>
          <w:i/>
          <w:sz w:val="24"/>
          <w:szCs w:val="24"/>
        </w:rPr>
        <w:t>Eurim-Pharm</w:t>
      </w:r>
      <w:proofErr w:type="spellEnd"/>
      <w:r w:rsidRPr="00745271">
        <w:rPr>
          <w:rFonts w:asciiTheme="majorBidi" w:hAnsiTheme="majorBidi" w:cstheme="majorBidi"/>
          <w:i/>
          <w:sz w:val="24"/>
          <w:szCs w:val="24"/>
        </w:rPr>
        <w:t xml:space="preserve"> </w:t>
      </w:r>
      <w:proofErr w:type="spellStart"/>
      <w:r w:rsidRPr="00745271">
        <w:rPr>
          <w:rFonts w:asciiTheme="majorBidi" w:hAnsiTheme="majorBidi" w:cstheme="majorBidi"/>
          <w:i/>
          <w:sz w:val="24"/>
          <w:szCs w:val="24"/>
        </w:rPr>
        <w:t>GmbH</w:t>
      </w:r>
      <w:proofErr w:type="spellEnd"/>
      <w:r>
        <w:rPr>
          <w:rFonts w:asciiTheme="majorBidi" w:hAnsiTheme="majorBidi" w:cstheme="majorBidi"/>
          <w:iCs/>
          <w:sz w:val="24"/>
          <w:szCs w:val="24"/>
        </w:rPr>
        <w:t xml:space="preserve">, C-1/81, </w:t>
      </w:r>
      <w:proofErr w:type="spellStart"/>
      <w:r>
        <w:rPr>
          <w:rFonts w:asciiTheme="majorBidi" w:hAnsiTheme="majorBidi" w:cstheme="majorBidi"/>
          <w:iCs/>
          <w:sz w:val="24"/>
          <w:szCs w:val="24"/>
        </w:rPr>
        <w:t>par</w:t>
      </w:r>
      <w:proofErr w:type="spellEnd"/>
      <w:r>
        <w:rPr>
          <w:rFonts w:asciiTheme="majorBidi" w:hAnsiTheme="majorBidi" w:cstheme="majorBidi"/>
          <w:iCs/>
          <w:sz w:val="24"/>
          <w:szCs w:val="24"/>
        </w:rPr>
        <w:t xml:space="preserve">. 7; </w:t>
      </w:r>
      <w:r w:rsidRPr="00745271">
        <w:rPr>
          <w:rFonts w:asciiTheme="majorBidi" w:hAnsiTheme="majorBidi" w:cstheme="majorBidi"/>
          <w:iCs/>
          <w:sz w:val="24"/>
          <w:szCs w:val="24"/>
        </w:rPr>
        <w:t>1990</w:t>
      </w:r>
      <w:r w:rsidR="00C302F3">
        <w:rPr>
          <w:rFonts w:asciiTheme="majorBidi" w:hAnsiTheme="majorBidi" w:cstheme="majorBidi"/>
          <w:iCs/>
          <w:sz w:val="24"/>
          <w:szCs w:val="24"/>
        </w:rPr>
        <w:t> </w:t>
      </w:r>
      <w:r w:rsidRPr="00745271">
        <w:rPr>
          <w:rFonts w:asciiTheme="majorBidi" w:hAnsiTheme="majorBidi" w:cstheme="majorBidi"/>
          <w:iCs/>
          <w:sz w:val="24"/>
          <w:szCs w:val="24"/>
        </w:rPr>
        <w:t xml:space="preserve">m. spalio 17 d. </w:t>
      </w:r>
      <w:proofErr w:type="spellStart"/>
      <w:r w:rsidRPr="00745271">
        <w:rPr>
          <w:rFonts w:asciiTheme="majorBidi" w:hAnsiTheme="majorBidi" w:cstheme="majorBidi"/>
          <w:iCs/>
          <w:sz w:val="24"/>
          <w:szCs w:val="24"/>
        </w:rPr>
        <w:t>prejudicini</w:t>
      </w:r>
      <w:r w:rsidR="00405541">
        <w:rPr>
          <w:rFonts w:asciiTheme="majorBidi" w:hAnsiTheme="majorBidi" w:cstheme="majorBidi"/>
          <w:iCs/>
          <w:sz w:val="24"/>
          <w:szCs w:val="24"/>
        </w:rPr>
        <w:t>s</w:t>
      </w:r>
      <w:proofErr w:type="spellEnd"/>
      <w:r w:rsidRPr="00745271">
        <w:rPr>
          <w:rFonts w:asciiTheme="majorBidi" w:hAnsiTheme="majorBidi" w:cstheme="majorBidi"/>
          <w:iCs/>
          <w:sz w:val="24"/>
          <w:szCs w:val="24"/>
        </w:rPr>
        <w:t xml:space="preserve"> sprendim</w:t>
      </w:r>
      <w:r w:rsidR="00405541">
        <w:rPr>
          <w:rFonts w:asciiTheme="majorBidi" w:hAnsiTheme="majorBidi" w:cstheme="majorBidi"/>
          <w:iCs/>
          <w:sz w:val="24"/>
          <w:szCs w:val="24"/>
        </w:rPr>
        <w:t>as</w:t>
      </w:r>
      <w:r w:rsidRPr="00745271">
        <w:rPr>
          <w:rFonts w:asciiTheme="majorBidi" w:hAnsiTheme="majorBidi" w:cstheme="majorBidi"/>
          <w:iCs/>
          <w:sz w:val="24"/>
          <w:szCs w:val="24"/>
        </w:rPr>
        <w:t xml:space="preserve"> byloje </w:t>
      </w:r>
      <w:r w:rsidRPr="00745271">
        <w:rPr>
          <w:rFonts w:asciiTheme="majorBidi" w:hAnsiTheme="majorBidi" w:cstheme="majorBidi"/>
          <w:i/>
          <w:sz w:val="24"/>
          <w:szCs w:val="24"/>
        </w:rPr>
        <w:t>SA CNL-SUCAL NV prieš HAG GF AG</w:t>
      </w:r>
      <w:r w:rsidRPr="00E52D29">
        <w:rPr>
          <w:rFonts w:asciiTheme="majorBidi" w:hAnsiTheme="majorBidi" w:cstheme="majorBidi"/>
          <w:iCs/>
          <w:sz w:val="24"/>
          <w:szCs w:val="24"/>
        </w:rPr>
        <w:t>,</w:t>
      </w:r>
      <w:r w:rsidRPr="00745271">
        <w:rPr>
          <w:rFonts w:asciiTheme="majorBidi" w:hAnsiTheme="majorBidi" w:cstheme="majorBidi"/>
          <w:iCs/>
          <w:sz w:val="24"/>
          <w:szCs w:val="24"/>
        </w:rPr>
        <w:t xml:space="preserve"> C-10/89, </w:t>
      </w:r>
      <w:proofErr w:type="spellStart"/>
      <w:r w:rsidRPr="00745271">
        <w:rPr>
          <w:rFonts w:asciiTheme="majorBidi" w:hAnsiTheme="majorBidi" w:cstheme="majorBidi"/>
          <w:iCs/>
          <w:sz w:val="24"/>
          <w:szCs w:val="24"/>
        </w:rPr>
        <w:t>par</w:t>
      </w:r>
      <w:proofErr w:type="spellEnd"/>
      <w:r w:rsidRPr="00745271">
        <w:rPr>
          <w:rFonts w:asciiTheme="majorBidi" w:hAnsiTheme="majorBidi" w:cstheme="majorBidi"/>
          <w:iCs/>
          <w:sz w:val="24"/>
          <w:szCs w:val="24"/>
        </w:rPr>
        <w:t xml:space="preserve">. </w:t>
      </w:r>
      <w:r>
        <w:rPr>
          <w:rFonts w:asciiTheme="majorBidi" w:hAnsiTheme="majorBidi" w:cstheme="majorBidi"/>
          <w:iCs/>
          <w:sz w:val="24"/>
          <w:szCs w:val="24"/>
        </w:rPr>
        <w:t>3</w:t>
      </w:r>
      <w:r w:rsidRPr="00745271">
        <w:rPr>
          <w:rFonts w:asciiTheme="majorBidi" w:hAnsiTheme="majorBidi" w:cstheme="majorBidi"/>
          <w:iCs/>
          <w:sz w:val="24"/>
          <w:szCs w:val="24"/>
        </w:rPr>
        <w:t>3</w:t>
      </w:r>
      <w:r>
        <w:rPr>
          <w:rFonts w:asciiTheme="majorBidi" w:hAnsiTheme="majorBidi" w:cstheme="majorBidi"/>
          <w:iCs/>
          <w:sz w:val="24"/>
          <w:szCs w:val="24"/>
        </w:rPr>
        <w:t>).</w:t>
      </w:r>
    </w:p>
    <w:p w14:paraId="4E418417" w14:textId="1DF9F2E5" w:rsidR="00754963"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bookmarkStart w:id="15" w:name="_Hlk155773110"/>
      <w:r w:rsidRPr="00DA295D">
        <w:rPr>
          <w:rFonts w:asciiTheme="majorBidi" w:hAnsiTheme="majorBidi" w:cstheme="majorBidi"/>
          <w:iCs/>
          <w:sz w:val="24"/>
          <w:szCs w:val="24"/>
        </w:rPr>
        <w:t xml:space="preserve">Teisėmis į prekių ženklą </w:t>
      </w:r>
      <w:r>
        <w:rPr>
          <w:rFonts w:asciiTheme="majorBidi" w:hAnsiTheme="majorBidi" w:cstheme="majorBidi"/>
          <w:iCs/>
          <w:sz w:val="24"/>
          <w:szCs w:val="24"/>
        </w:rPr>
        <w:t xml:space="preserve">nėra </w:t>
      </w:r>
      <w:r w:rsidRPr="00DA295D">
        <w:rPr>
          <w:rFonts w:asciiTheme="majorBidi" w:hAnsiTheme="majorBidi" w:cstheme="majorBidi"/>
          <w:iCs/>
          <w:sz w:val="24"/>
          <w:szCs w:val="24"/>
        </w:rPr>
        <w:t xml:space="preserve">siekiama leisti jų savininkams </w:t>
      </w:r>
      <w:r>
        <w:rPr>
          <w:rFonts w:asciiTheme="majorBidi" w:hAnsiTheme="majorBidi" w:cstheme="majorBidi"/>
          <w:iCs/>
          <w:sz w:val="24"/>
          <w:szCs w:val="24"/>
        </w:rPr>
        <w:t xml:space="preserve">dirbtinai </w:t>
      </w:r>
      <w:r w:rsidRPr="00DA295D">
        <w:rPr>
          <w:rFonts w:asciiTheme="majorBidi" w:hAnsiTheme="majorBidi" w:cstheme="majorBidi"/>
          <w:iCs/>
          <w:sz w:val="24"/>
          <w:szCs w:val="24"/>
        </w:rPr>
        <w:t>pasidalyti nacionalines rinkas ir taip skatinti kainų skirtum</w:t>
      </w:r>
      <w:r>
        <w:rPr>
          <w:rFonts w:asciiTheme="majorBidi" w:hAnsiTheme="majorBidi" w:cstheme="majorBidi"/>
          <w:iCs/>
          <w:sz w:val="24"/>
          <w:szCs w:val="24"/>
        </w:rPr>
        <w:t xml:space="preserve">us </w:t>
      </w:r>
      <w:r w:rsidRPr="00DA295D">
        <w:rPr>
          <w:rFonts w:asciiTheme="majorBidi" w:hAnsiTheme="majorBidi" w:cstheme="majorBidi"/>
          <w:iCs/>
          <w:sz w:val="24"/>
          <w:szCs w:val="24"/>
        </w:rPr>
        <w:t xml:space="preserve">tarp valstybių narių. </w:t>
      </w:r>
      <w:bookmarkEnd w:id="15"/>
      <w:r w:rsidRPr="00DA295D">
        <w:rPr>
          <w:rFonts w:asciiTheme="majorBidi" w:hAnsiTheme="majorBidi" w:cstheme="majorBidi"/>
          <w:iCs/>
          <w:sz w:val="24"/>
          <w:szCs w:val="24"/>
        </w:rPr>
        <w:t>Nors</w:t>
      </w:r>
      <w:r>
        <w:rPr>
          <w:rFonts w:asciiTheme="majorBidi" w:hAnsiTheme="majorBidi" w:cstheme="majorBidi"/>
          <w:iCs/>
          <w:sz w:val="24"/>
          <w:szCs w:val="24"/>
        </w:rPr>
        <w:t>,</w:t>
      </w:r>
      <w:r w:rsidRPr="00DA295D">
        <w:rPr>
          <w:rFonts w:asciiTheme="majorBidi" w:hAnsiTheme="majorBidi" w:cstheme="majorBidi"/>
          <w:iCs/>
          <w:sz w:val="24"/>
          <w:szCs w:val="24"/>
        </w:rPr>
        <w:t xml:space="preserve"> ypač farmacijos rinkoje</w:t>
      </w:r>
      <w:r>
        <w:rPr>
          <w:rFonts w:asciiTheme="majorBidi" w:hAnsiTheme="majorBidi" w:cstheme="majorBidi"/>
          <w:iCs/>
          <w:sz w:val="24"/>
          <w:szCs w:val="24"/>
        </w:rPr>
        <w:t>,</w:t>
      </w:r>
      <w:r w:rsidRPr="00DA295D">
        <w:rPr>
          <w:rFonts w:asciiTheme="majorBidi" w:hAnsiTheme="majorBidi" w:cstheme="majorBidi"/>
          <w:iCs/>
          <w:sz w:val="24"/>
          <w:szCs w:val="24"/>
        </w:rPr>
        <w:t xml:space="preserve"> tokie kainų skirtumai gali atsirasti dėl veiksnių, kurių prekių ženklų savininkai nekontroliuoja, pavyzdžiui, skirting</w:t>
      </w:r>
      <w:r>
        <w:rPr>
          <w:rFonts w:asciiTheme="majorBidi" w:hAnsiTheme="majorBidi" w:cstheme="majorBidi"/>
          <w:iCs/>
          <w:sz w:val="24"/>
          <w:szCs w:val="24"/>
        </w:rPr>
        <w:t>ų</w:t>
      </w:r>
      <w:r w:rsidRPr="00DA295D">
        <w:rPr>
          <w:rFonts w:asciiTheme="majorBidi" w:hAnsiTheme="majorBidi" w:cstheme="majorBidi"/>
          <w:iCs/>
          <w:sz w:val="24"/>
          <w:szCs w:val="24"/>
        </w:rPr>
        <w:t xml:space="preserve"> valstybių narių taisykl</w:t>
      </w:r>
      <w:r>
        <w:rPr>
          <w:rFonts w:asciiTheme="majorBidi" w:hAnsiTheme="majorBidi" w:cstheme="majorBidi"/>
          <w:iCs/>
          <w:sz w:val="24"/>
          <w:szCs w:val="24"/>
        </w:rPr>
        <w:t>ių</w:t>
      </w:r>
      <w:r w:rsidRPr="00DA295D">
        <w:rPr>
          <w:rFonts w:asciiTheme="majorBidi" w:hAnsiTheme="majorBidi" w:cstheme="majorBidi"/>
          <w:iCs/>
          <w:sz w:val="24"/>
          <w:szCs w:val="24"/>
        </w:rPr>
        <w:t xml:space="preserve"> dėl didžiausių kainų nustatymo, vaistų didmenininkų ir vaistinių pelno maržos, arba didžiausi</w:t>
      </w:r>
      <w:r>
        <w:rPr>
          <w:rFonts w:asciiTheme="majorBidi" w:hAnsiTheme="majorBidi" w:cstheme="majorBidi"/>
          <w:iCs/>
          <w:sz w:val="24"/>
          <w:szCs w:val="24"/>
        </w:rPr>
        <w:t>os</w:t>
      </w:r>
      <w:r w:rsidRPr="00DA295D">
        <w:rPr>
          <w:rFonts w:asciiTheme="majorBidi" w:hAnsiTheme="majorBidi" w:cstheme="majorBidi"/>
          <w:iCs/>
          <w:sz w:val="24"/>
          <w:szCs w:val="24"/>
        </w:rPr>
        <w:t xml:space="preserve"> medicininių išlaidų sum</w:t>
      </w:r>
      <w:r>
        <w:rPr>
          <w:rFonts w:asciiTheme="majorBidi" w:hAnsiTheme="majorBidi" w:cstheme="majorBidi"/>
          <w:iCs/>
          <w:sz w:val="24"/>
          <w:szCs w:val="24"/>
        </w:rPr>
        <w:t>os</w:t>
      </w:r>
      <w:r w:rsidRPr="00DA295D">
        <w:rPr>
          <w:rFonts w:asciiTheme="majorBidi" w:hAnsiTheme="majorBidi" w:cstheme="majorBidi"/>
          <w:iCs/>
          <w:sz w:val="24"/>
          <w:szCs w:val="24"/>
        </w:rPr>
        <w:t xml:space="preserve">, kuri gali būti kompensuojama pagal sveikatos draudimo sistemas, iškraipymus, atsiradusius dėl skirtingų kainodaros taisyklių vienoje valstybėje narėje, turi ištaisyti </w:t>
      </w:r>
      <w:r>
        <w:rPr>
          <w:rFonts w:asciiTheme="majorBidi" w:hAnsiTheme="majorBidi" w:cstheme="majorBidi"/>
          <w:iCs/>
          <w:sz w:val="24"/>
          <w:szCs w:val="24"/>
        </w:rPr>
        <w:t>Europos Sąjungos</w:t>
      </w:r>
      <w:r w:rsidRPr="00DA295D">
        <w:rPr>
          <w:rFonts w:asciiTheme="majorBidi" w:hAnsiTheme="majorBidi" w:cstheme="majorBidi"/>
          <w:iCs/>
          <w:sz w:val="24"/>
          <w:szCs w:val="24"/>
        </w:rPr>
        <w:t xml:space="preserve"> valdžios institucijos, o ne kita valstybė narė, taikanti priemones, kurios yra nesuderinamos su laisv</w:t>
      </w:r>
      <w:r>
        <w:rPr>
          <w:rFonts w:asciiTheme="majorBidi" w:hAnsiTheme="majorBidi" w:cstheme="majorBidi"/>
          <w:iCs/>
          <w:sz w:val="24"/>
          <w:szCs w:val="24"/>
        </w:rPr>
        <w:t>u</w:t>
      </w:r>
      <w:r w:rsidRPr="00DA295D">
        <w:rPr>
          <w:rFonts w:asciiTheme="majorBidi" w:hAnsiTheme="majorBidi" w:cstheme="majorBidi"/>
          <w:iCs/>
          <w:sz w:val="24"/>
          <w:szCs w:val="24"/>
        </w:rPr>
        <w:t xml:space="preserve"> prekių judėjim</w:t>
      </w:r>
      <w:r>
        <w:rPr>
          <w:rFonts w:asciiTheme="majorBidi" w:hAnsiTheme="majorBidi" w:cstheme="majorBidi"/>
          <w:iCs/>
          <w:sz w:val="24"/>
          <w:szCs w:val="24"/>
        </w:rPr>
        <w:t xml:space="preserve">u (ESTT 1974 m. spalio 31 d. </w:t>
      </w:r>
      <w:proofErr w:type="spellStart"/>
      <w:r>
        <w:rPr>
          <w:rFonts w:asciiTheme="majorBidi" w:hAnsiTheme="majorBidi" w:cstheme="majorBidi"/>
          <w:iCs/>
          <w:sz w:val="24"/>
          <w:szCs w:val="24"/>
        </w:rPr>
        <w:t>prejudicini</w:t>
      </w:r>
      <w:r w:rsidR="00405541">
        <w:rPr>
          <w:rFonts w:asciiTheme="majorBidi" w:hAnsiTheme="majorBidi" w:cstheme="majorBidi"/>
          <w:iCs/>
          <w:sz w:val="24"/>
          <w:szCs w:val="24"/>
        </w:rPr>
        <w:t>s</w:t>
      </w:r>
      <w:proofErr w:type="spellEnd"/>
      <w:r>
        <w:rPr>
          <w:rFonts w:asciiTheme="majorBidi" w:hAnsiTheme="majorBidi" w:cstheme="majorBidi"/>
          <w:iCs/>
          <w:sz w:val="24"/>
          <w:szCs w:val="24"/>
        </w:rPr>
        <w:t xml:space="preserve"> sprendim</w:t>
      </w:r>
      <w:r w:rsidR="00405541">
        <w:rPr>
          <w:rFonts w:asciiTheme="majorBidi" w:hAnsiTheme="majorBidi" w:cstheme="majorBidi"/>
          <w:iCs/>
          <w:sz w:val="24"/>
          <w:szCs w:val="24"/>
        </w:rPr>
        <w:t>as</w:t>
      </w:r>
      <w:r>
        <w:rPr>
          <w:rFonts w:asciiTheme="majorBidi" w:hAnsiTheme="majorBidi" w:cstheme="majorBidi"/>
          <w:iCs/>
          <w:sz w:val="24"/>
          <w:szCs w:val="24"/>
        </w:rPr>
        <w:t xml:space="preserve"> byloje </w:t>
      </w:r>
      <w:proofErr w:type="spellStart"/>
      <w:r w:rsidRPr="00DA295D">
        <w:rPr>
          <w:rFonts w:asciiTheme="majorBidi" w:hAnsiTheme="majorBidi" w:cstheme="majorBidi"/>
          <w:i/>
          <w:sz w:val="24"/>
          <w:szCs w:val="24"/>
        </w:rPr>
        <w:t>Centrafarm</w:t>
      </w:r>
      <w:proofErr w:type="spellEnd"/>
      <w:r w:rsidRPr="00DA295D">
        <w:rPr>
          <w:rFonts w:asciiTheme="majorBidi" w:hAnsiTheme="majorBidi" w:cstheme="majorBidi"/>
          <w:i/>
          <w:sz w:val="24"/>
          <w:szCs w:val="24"/>
        </w:rPr>
        <w:t xml:space="preserve"> BV </w:t>
      </w:r>
      <w:proofErr w:type="spellStart"/>
      <w:r w:rsidRPr="00DA295D">
        <w:rPr>
          <w:rFonts w:asciiTheme="majorBidi" w:hAnsiTheme="majorBidi" w:cstheme="majorBidi"/>
          <w:i/>
          <w:sz w:val="24"/>
          <w:szCs w:val="24"/>
        </w:rPr>
        <w:t>and</w:t>
      </w:r>
      <w:proofErr w:type="spellEnd"/>
      <w:r w:rsidRPr="00DA295D">
        <w:rPr>
          <w:rFonts w:asciiTheme="majorBidi" w:hAnsiTheme="majorBidi" w:cstheme="majorBidi"/>
          <w:i/>
          <w:sz w:val="24"/>
          <w:szCs w:val="24"/>
        </w:rPr>
        <w:t xml:space="preserve"> </w:t>
      </w:r>
      <w:proofErr w:type="spellStart"/>
      <w:r w:rsidRPr="00DA295D">
        <w:rPr>
          <w:rFonts w:asciiTheme="majorBidi" w:hAnsiTheme="majorBidi" w:cstheme="majorBidi"/>
          <w:i/>
          <w:sz w:val="24"/>
          <w:szCs w:val="24"/>
        </w:rPr>
        <w:t>Adriaan</w:t>
      </w:r>
      <w:proofErr w:type="spellEnd"/>
      <w:r w:rsidRPr="00DA295D">
        <w:rPr>
          <w:rFonts w:asciiTheme="majorBidi" w:hAnsiTheme="majorBidi" w:cstheme="majorBidi"/>
          <w:i/>
          <w:sz w:val="24"/>
          <w:szCs w:val="24"/>
        </w:rPr>
        <w:t xml:space="preserve"> de </w:t>
      </w:r>
      <w:proofErr w:type="spellStart"/>
      <w:r w:rsidRPr="00DA295D">
        <w:rPr>
          <w:rFonts w:asciiTheme="majorBidi" w:hAnsiTheme="majorBidi" w:cstheme="majorBidi"/>
          <w:i/>
          <w:sz w:val="24"/>
          <w:szCs w:val="24"/>
        </w:rPr>
        <w:t>Peijper</w:t>
      </w:r>
      <w:proofErr w:type="spellEnd"/>
      <w:r w:rsidRPr="00DA295D">
        <w:rPr>
          <w:rFonts w:asciiTheme="majorBidi" w:hAnsiTheme="majorBidi" w:cstheme="majorBidi"/>
          <w:i/>
          <w:sz w:val="24"/>
          <w:szCs w:val="24"/>
        </w:rPr>
        <w:t xml:space="preserve"> prieš </w:t>
      </w:r>
      <w:proofErr w:type="spellStart"/>
      <w:r w:rsidRPr="00DA295D">
        <w:rPr>
          <w:rFonts w:asciiTheme="majorBidi" w:hAnsiTheme="majorBidi" w:cstheme="majorBidi"/>
          <w:i/>
          <w:sz w:val="24"/>
          <w:szCs w:val="24"/>
        </w:rPr>
        <w:t>Winthrop</w:t>
      </w:r>
      <w:proofErr w:type="spellEnd"/>
      <w:r w:rsidRPr="00DA295D">
        <w:rPr>
          <w:rFonts w:asciiTheme="majorBidi" w:hAnsiTheme="majorBidi" w:cstheme="majorBidi"/>
          <w:i/>
          <w:sz w:val="24"/>
          <w:szCs w:val="24"/>
        </w:rPr>
        <w:t xml:space="preserve"> BV</w:t>
      </w:r>
      <w:r>
        <w:rPr>
          <w:rFonts w:asciiTheme="majorBidi" w:hAnsiTheme="majorBidi" w:cstheme="majorBidi"/>
          <w:iCs/>
          <w:sz w:val="24"/>
          <w:szCs w:val="24"/>
        </w:rPr>
        <w:t xml:space="preserve">, C-16/74, </w:t>
      </w:r>
      <w:proofErr w:type="spellStart"/>
      <w:r>
        <w:rPr>
          <w:rFonts w:asciiTheme="majorBidi" w:hAnsiTheme="majorBidi" w:cstheme="majorBidi"/>
          <w:iCs/>
          <w:sz w:val="24"/>
          <w:szCs w:val="24"/>
        </w:rPr>
        <w:t>par</w:t>
      </w:r>
      <w:proofErr w:type="spellEnd"/>
      <w:r>
        <w:rPr>
          <w:rFonts w:asciiTheme="majorBidi" w:hAnsiTheme="majorBidi" w:cstheme="majorBidi"/>
          <w:iCs/>
          <w:sz w:val="24"/>
          <w:szCs w:val="24"/>
        </w:rPr>
        <w:t>. 16</w:t>
      </w:r>
      <w:r w:rsidR="00405541">
        <w:rPr>
          <w:rFonts w:asciiTheme="majorBidi" w:hAnsiTheme="majorBidi" w:cstheme="majorBidi"/>
          <w:iCs/>
          <w:sz w:val="24"/>
          <w:szCs w:val="24"/>
        </w:rPr>
        <w:t>–</w:t>
      </w:r>
      <w:r>
        <w:rPr>
          <w:rFonts w:asciiTheme="majorBidi" w:hAnsiTheme="majorBidi" w:cstheme="majorBidi"/>
          <w:iCs/>
          <w:sz w:val="24"/>
          <w:szCs w:val="24"/>
        </w:rPr>
        <w:t>17).</w:t>
      </w:r>
    </w:p>
    <w:p w14:paraId="4275334F" w14:textId="73D2D9CB" w:rsidR="00754963"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ESTT yra pažymėjęs, kad </w:t>
      </w:r>
      <w:r w:rsidRPr="00882F08">
        <w:rPr>
          <w:rFonts w:asciiTheme="majorBidi" w:hAnsiTheme="majorBidi" w:cstheme="majorBidi"/>
          <w:iCs/>
          <w:sz w:val="24"/>
          <w:szCs w:val="24"/>
        </w:rPr>
        <w:t xml:space="preserve">žodžių „dirbtinis rinkų padalijimas“ vartojimas nereiškia, </w:t>
      </w:r>
      <w:r w:rsidR="00405541">
        <w:rPr>
          <w:rFonts w:asciiTheme="majorBidi" w:hAnsiTheme="majorBidi" w:cstheme="majorBidi"/>
          <w:iCs/>
          <w:sz w:val="24"/>
          <w:szCs w:val="24"/>
        </w:rPr>
        <w:t>jog</w:t>
      </w:r>
      <w:r w:rsidRPr="00882F08">
        <w:rPr>
          <w:rFonts w:asciiTheme="majorBidi" w:hAnsiTheme="majorBidi" w:cstheme="majorBidi"/>
          <w:iCs/>
          <w:sz w:val="24"/>
          <w:szCs w:val="24"/>
        </w:rPr>
        <w:t xml:space="preserve"> importuotojas turi įrodyti, kad</w:t>
      </w:r>
      <w:r w:rsidR="00405541">
        <w:rPr>
          <w:rFonts w:asciiTheme="majorBidi" w:hAnsiTheme="majorBidi" w:cstheme="majorBidi"/>
          <w:iCs/>
          <w:sz w:val="24"/>
          <w:szCs w:val="24"/>
        </w:rPr>
        <w:t>,</w:t>
      </w:r>
      <w:r w:rsidRPr="00882F08">
        <w:rPr>
          <w:rFonts w:asciiTheme="majorBidi" w:hAnsiTheme="majorBidi" w:cstheme="majorBidi"/>
          <w:iCs/>
          <w:sz w:val="24"/>
          <w:szCs w:val="24"/>
        </w:rPr>
        <w:t xml:space="preserve"> skirtingose valstybėse narėse pateikdamas į rinką identišką gaminį su skirtingomis pakuotėmis, prekių ženklo savininkas sąmoningai siekė padalyti rinkas valstybėse narėse. Teigdamas, kad nagrinėjamas atskyrimas turi būti dirbtinis, </w:t>
      </w:r>
      <w:r>
        <w:rPr>
          <w:rFonts w:asciiTheme="majorBidi" w:hAnsiTheme="majorBidi" w:cstheme="majorBidi"/>
          <w:iCs/>
          <w:sz w:val="24"/>
          <w:szCs w:val="24"/>
        </w:rPr>
        <w:t>ESTT</w:t>
      </w:r>
      <w:r w:rsidRPr="00882F08">
        <w:rPr>
          <w:rFonts w:asciiTheme="majorBidi" w:hAnsiTheme="majorBidi" w:cstheme="majorBidi"/>
          <w:iCs/>
          <w:sz w:val="24"/>
          <w:szCs w:val="24"/>
        </w:rPr>
        <w:t xml:space="preserve"> pabrėž</w:t>
      </w:r>
      <w:r>
        <w:rPr>
          <w:rFonts w:asciiTheme="majorBidi" w:hAnsiTheme="majorBidi" w:cstheme="majorBidi"/>
          <w:iCs/>
          <w:sz w:val="24"/>
          <w:szCs w:val="24"/>
        </w:rPr>
        <w:t>ia</w:t>
      </w:r>
      <w:r w:rsidRPr="00882F08">
        <w:rPr>
          <w:rFonts w:asciiTheme="majorBidi" w:hAnsiTheme="majorBidi" w:cstheme="majorBidi"/>
          <w:iCs/>
          <w:sz w:val="24"/>
          <w:szCs w:val="24"/>
        </w:rPr>
        <w:t>, kad prekių ženklo savininkas visada gali remtis savo, kaip savininko, teisėmis prieštaraudamas perpakuotų gaminių prekybai, kai toks veiksmas yra pateisinamas būtinybe apsaugoti esminę prekių ženklo funkciją, o tokiu atveju atsiradęs atskyrimas negali būti laikomas dirbtiniu</w:t>
      </w:r>
      <w:r>
        <w:rPr>
          <w:rFonts w:asciiTheme="majorBidi" w:hAnsiTheme="majorBidi" w:cstheme="majorBidi"/>
          <w:iCs/>
          <w:sz w:val="24"/>
          <w:szCs w:val="24"/>
        </w:rPr>
        <w:t xml:space="preserve"> (</w:t>
      </w:r>
      <w:r w:rsidR="00C92B65" w:rsidRPr="00C92B65">
        <w:rPr>
          <w:rFonts w:asciiTheme="majorBidi" w:hAnsiTheme="majorBidi" w:cstheme="majorBidi"/>
          <w:iCs/>
          <w:sz w:val="24"/>
          <w:szCs w:val="24"/>
        </w:rPr>
        <w:t xml:space="preserve">ESTT 1996 m. liepos 11 d. </w:t>
      </w:r>
      <w:proofErr w:type="spellStart"/>
      <w:r w:rsidR="00C92B65" w:rsidRPr="00C92B65">
        <w:rPr>
          <w:rFonts w:asciiTheme="majorBidi" w:hAnsiTheme="majorBidi" w:cstheme="majorBidi"/>
          <w:iCs/>
          <w:sz w:val="24"/>
          <w:szCs w:val="24"/>
        </w:rPr>
        <w:t>prejudicinio</w:t>
      </w:r>
      <w:proofErr w:type="spellEnd"/>
      <w:r w:rsidR="00C92B65" w:rsidRPr="00C92B65">
        <w:rPr>
          <w:rFonts w:asciiTheme="majorBidi" w:hAnsiTheme="majorBidi" w:cstheme="majorBidi"/>
          <w:iCs/>
          <w:sz w:val="24"/>
          <w:szCs w:val="24"/>
        </w:rPr>
        <w:t xml:space="preserve"> sprendimo </w:t>
      </w:r>
      <w:r w:rsidR="00C92B65">
        <w:rPr>
          <w:rFonts w:asciiTheme="majorBidi" w:hAnsiTheme="majorBidi" w:cstheme="majorBidi"/>
          <w:iCs/>
          <w:sz w:val="24"/>
          <w:szCs w:val="24"/>
        </w:rPr>
        <w:t xml:space="preserve">sujungtose </w:t>
      </w:r>
      <w:r w:rsidR="00C92B65" w:rsidRPr="00C92B65">
        <w:rPr>
          <w:rFonts w:asciiTheme="majorBidi" w:hAnsiTheme="majorBidi" w:cstheme="majorBidi"/>
          <w:iCs/>
          <w:sz w:val="24"/>
          <w:szCs w:val="24"/>
        </w:rPr>
        <w:t xml:space="preserve">byloje </w:t>
      </w:r>
      <w:proofErr w:type="spellStart"/>
      <w:r w:rsidR="00C92B65" w:rsidRPr="00C92B65">
        <w:rPr>
          <w:rFonts w:asciiTheme="majorBidi" w:hAnsiTheme="majorBidi" w:cstheme="majorBidi"/>
          <w:i/>
          <w:sz w:val="24"/>
          <w:szCs w:val="24"/>
        </w:rPr>
        <w:t>Bristol-Myers</w:t>
      </w:r>
      <w:proofErr w:type="spellEnd"/>
      <w:r w:rsidR="00C92B65" w:rsidRPr="00C92B65">
        <w:rPr>
          <w:rFonts w:asciiTheme="majorBidi" w:hAnsiTheme="majorBidi" w:cstheme="majorBidi"/>
          <w:i/>
          <w:sz w:val="24"/>
          <w:szCs w:val="24"/>
        </w:rPr>
        <w:t xml:space="preserve"> </w:t>
      </w:r>
      <w:proofErr w:type="spellStart"/>
      <w:r w:rsidR="00C92B65" w:rsidRPr="00C92B65">
        <w:rPr>
          <w:rFonts w:asciiTheme="majorBidi" w:hAnsiTheme="majorBidi" w:cstheme="majorBidi"/>
          <w:i/>
          <w:sz w:val="24"/>
          <w:szCs w:val="24"/>
        </w:rPr>
        <w:t>Squibb</w:t>
      </w:r>
      <w:proofErr w:type="spellEnd"/>
      <w:r w:rsidR="00C92B65" w:rsidRPr="00C92B65">
        <w:rPr>
          <w:rFonts w:asciiTheme="majorBidi" w:hAnsiTheme="majorBidi" w:cstheme="majorBidi"/>
          <w:i/>
          <w:sz w:val="24"/>
          <w:szCs w:val="24"/>
        </w:rPr>
        <w:t xml:space="preserve"> prieš </w:t>
      </w:r>
      <w:proofErr w:type="spellStart"/>
      <w:r w:rsidR="00C92B65" w:rsidRPr="00C92B65">
        <w:rPr>
          <w:rFonts w:asciiTheme="majorBidi" w:hAnsiTheme="majorBidi" w:cstheme="majorBidi"/>
          <w:i/>
          <w:sz w:val="24"/>
          <w:szCs w:val="24"/>
        </w:rPr>
        <w:t>Paranova</w:t>
      </w:r>
      <w:proofErr w:type="spellEnd"/>
      <w:r w:rsidR="00C92B65" w:rsidRPr="00C92B65">
        <w:rPr>
          <w:rFonts w:asciiTheme="majorBidi" w:hAnsiTheme="majorBidi" w:cstheme="majorBidi"/>
          <w:i/>
          <w:sz w:val="24"/>
          <w:szCs w:val="24"/>
        </w:rPr>
        <w:t xml:space="preserve"> A/S; C. H. </w:t>
      </w:r>
      <w:proofErr w:type="spellStart"/>
      <w:r w:rsidR="00C92B65" w:rsidRPr="00C92B65">
        <w:rPr>
          <w:rFonts w:asciiTheme="majorBidi" w:hAnsiTheme="majorBidi" w:cstheme="majorBidi"/>
          <w:i/>
          <w:sz w:val="24"/>
          <w:szCs w:val="24"/>
        </w:rPr>
        <w:t>Boehringer</w:t>
      </w:r>
      <w:proofErr w:type="spellEnd"/>
      <w:r w:rsidR="00C92B65" w:rsidRPr="00C92B65">
        <w:rPr>
          <w:rFonts w:asciiTheme="majorBidi" w:hAnsiTheme="majorBidi" w:cstheme="majorBidi"/>
          <w:i/>
          <w:sz w:val="24"/>
          <w:szCs w:val="24"/>
        </w:rPr>
        <w:t xml:space="preserve"> </w:t>
      </w:r>
      <w:proofErr w:type="spellStart"/>
      <w:r w:rsidR="00C92B65" w:rsidRPr="00C92B65">
        <w:rPr>
          <w:rFonts w:asciiTheme="majorBidi" w:hAnsiTheme="majorBidi" w:cstheme="majorBidi"/>
          <w:i/>
          <w:sz w:val="24"/>
          <w:szCs w:val="24"/>
        </w:rPr>
        <w:t>Sohn</w:t>
      </w:r>
      <w:proofErr w:type="spellEnd"/>
      <w:r w:rsidR="00C92B65" w:rsidRPr="00C92B65">
        <w:rPr>
          <w:rFonts w:asciiTheme="majorBidi" w:hAnsiTheme="majorBidi" w:cstheme="majorBidi"/>
          <w:i/>
          <w:sz w:val="24"/>
          <w:szCs w:val="24"/>
        </w:rPr>
        <w:t xml:space="preserve">, </w:t>
      </w:r>
      <w:proofErr w:type="spellStart"/>
      <w:r w:rsidR="00C92B65" w:rsidRPr="00C92B65">
        <w:rPr>
          <w:rFonts w:asciiTheme="majorBidi" w:hAnsiTheme="majorBidi" w:cstheme="majorBidi"/>
          <w:i/>
          <w:sz w:val="24"/>
          <w:szCs w:val="24"/>
        </w:rPr>
        <w:t>Boehringer</w:t>
      </w:r>
      <w:proofErr w:type="spellEnd"/>
      <w:r w:rsidR="00C92B65" w:rsidRPr="00C92B65">
        <w:rPr>
          <w:rFonts w:asciiTheme="majorBidi" w:hAnsiTheme="majorBidi" w:cstheme="majorBidi"/>
          <w:i/>
          <w:sz w:val="24"/>
          <w:szCs w:val="24"/>
        </w:rPr>
        <w:t xml:space="preserve"> </w:t>
      </w:r>
      <w:proofErr w:type="spellStart"/>
      <w:r w:rsidR="00C92B65" w:rsidRPr="00C92B65">
        <w:rPr>
          <w:rFonts w:asciiTheme="majorBidi" w:hAnsiTheme="majorBidi" w:cstheme="majorBidi"/>
          <w:i/>
          <w:sz w:val="24"/>
          <w:szCs w:val="24"/>
        </w:rPr>
        <w:t>Ingelheim</w:t>
      </w:r>
      <w:proofErr w:type="spellEnd"/>
      <w:r w:rsidR="00C92B65" w:rsidRPr="00C92B65">
        <w:rPr>
          <w:rFonts w:asciiTheme="majorBidi" w:hAnsiTheme="majorBidi" w:cstheme="majorBidi"/>
          <w:i/>
          <w:sz w:val="24"/>
          <w:szCs w:val="24"/>
        </w:rPr>
        <w:t xml:space="preserve"> KG ir </w:t>
      </w:r>
      <w:proofErr w:type="spellStart"/>
      <w:r w:rsidR="00C92B65" w:rsidRPr="00C92B65">
        <w:rPr>
          <w:rFonts w:asciiTheme="majorBidi" w:hAnsiTheme="majorBidi" w:cstheme="majorBidi"/>
          <w:i/>
          <w:sz w:val="24"/>
          <w:szCs w:val="24"/>
        </w:rPr>
        <w:t>Boehringer</w:t>
      </w:r>
      <w:proofErr w:type="spellEnd"/>
      <w:r w:rsidR="00C92B65" w:rsidRPr="00C92B65">
        <w:rPr>
          <w:rFonts w:asciiTheme="majorBidi" w:hAnsiTheme="majorBidi" w:cstheme="majorBidi"/>
          <w:i/>
          <w:sz w:val="24"/>
          <w:szCs w:val="24"/>
        </w:rPr>
        <w:t xml:space="preserve"> </w:t>
      </w:r>
      <w:proofErr w:type="spellStart"/>
      <w:r w:rsidR="00C92B65" w:rsidRPr="00C92B65">
        <w:rPr>
          <w:rFonts w:asciiTheme="majorBidi" w:hAnsiTheme="majorBidi" w:cstheme="majorBidi"/>
          <w:i/>
          <w:sz w:val="24"/>
          <w:szCs w:val="24"/>
        </w:rPr>
        <w:t>Ingelheim</w:t>
      </w:r>
      <w:proofErr w:type="spellEnd"/>
      <w:r w:rsidR="00C92B65" w:rsidRPr="00C92B65">
        <w:rPr>
          <w:rFonts w:asciiTheme="majorBidi" w:hAnsiTheme="majorBidi" w:cstheme="majorBidi"/>
          <w:i/>
          <w:sz w:val="24"/>
          <w:szCs w:val="24"/>
        </w:rPr>
        <w:t xml:space="preserve"> A/S prieš </w:t>
      </w:r>
      <w:proofErr w:type="spellStart"/>
      <w:r w:rsidR="00C92B65" w:rsidRPr="00C92B65">
        <w:rPr>
          <w:rFonts w:asciiTheme="majorBidi" w:hAnsiTheme="majorBidi" w:cstheme="majorBidi"/>
          <w:i/>
          <w:sz w:val="24"/>
          <w:szCs w:val="24"/>
        </w:rPr>
        <w:t>Paranova</w:t>
      </w:r>
      <w:proofErr w:type="spellEnd"/>
      <w:r w:rsidR="00C92B65" w:rsidRPr="00C92B65">
        <w:rPr>
          <w:rFonts w:asciiTheme="majorBidi" w:hAnsiTheme="majorBidi" w:cstheme="majorBidi"/>
          <w:i/>
          <w:sz w:val="24"/>
          <w:szCs w:val="24"/>
        </w:rPr>
        <w:t xml:space="preserve"> A/S ir Bayer </w:t>
      </w:r>
      <w:proofErr w:type="spellStart"/>
      <w:r w:rsidR="00C92B65" w:rsidRPr="00C92B65">
        <w:rPr>
          <w:rFonts w:asciiTheme="majorBidi" w:hAnsiTheme="majorBidi" w:cstheme="majorBidi"/>
          <w:i/>
          <w:sz w:val="24"/>
          <w:szCs w:val="24"/>
        </w:rPr>
        <w:t>Aktiengesellschaft</w:t>
      </w:r>
      <w:proofErr w:type="spellEnd"/>
      <w:r w:rsidR="00C92B65" w:rsidRPr="00C92B65">
        <w:rPr>
          <w:rFonts w:asciiTheme="majorBidi" w:hAnsiTheme="majorBidi" w:cstheme="majorBidi"/>
          <w:i/>
          <w:sz w:val="24"/>
          <w:szCs w:val="24"/>
        </w:rPr>
        <w:t xml:space="preserve"> ir Bayer </w:t>
      </w:r>
      <w:proofErr w:type="spellStart"/>
      <w:r w:rsidR="00C92B65" w:rsidRPr="00C92B65">
        <w:rPr>
          <w:rFonts w:asciiTheme="majorBidi" w:hAnsiTheme="majorBidi" w:cstheme="majorBidi"/>
          <w:i/>
          <w:sz w:val="24"/>
          <w:szCs w:val="24"/>
        </w:rPr>
        <w:t>Danmark</w:t>
      </w:r>
      <w:proofErr w:type="spellEnd"/>
      <w:r w:rsidR="00C92B65" w:rsidRPr="00C92B65">
        <w:rPr>
          <w:rFonts w:asciiTheme="majorBidi" w:hAnsiTheme="majorBidi" w:cstheme="majorBidi"/>
          <w:i/>
          <w:sz w:val="24"/>
          <w:szCs w:val="24"/>
        </w:rPr>
        <w:t xml:space="preserve"> A/S prieš </w:t>
      </w:r>
      <w:proofErr w:type="spellStart"/>
      <w:r w:rsidR="00C92B65" w:rsidRPr="00C92B65">
        <w:rPr>
          <w:rFonts w:asciiTheme="majorBidi" w:hAnsiTheme="majorBidi" w:cstheme="majorBidi"/>
          <w:i/>
          <w:sz w:val="24"/>
          <w:szCs w:val="24"/>
        </w:rPr>
        <w:t>Paranova</w:t>
      </w:r>
      <w:proofErr w:type="spellEnd"/>
      <w:r w:rsidR="00C92B65" w:rsidRPr="00C92B65">
        <w:rPr>
          <w:rFonts w:asciiTheme="majorBidi" w:hAnsiTheme="majorBidi" w:cstheme="majorBidi"/>
          <w:i/>
          <w:sz w:val="24"/>
          <w:szCs w:val="24"/>
        </w:rPr>
        <w:t xml:space="preserve"> A/</w:t>
      </w:r>
      <w:r w:rsidR="00C92B65" w:rsidRPr="00C92B65">
        <w:rPr>
          <w:rFonts w:asciiTheme="majorBidi" w:hAnsiTheme="majorBidi" w:cstheme="majorBidi"/>
          <w:iCs/>
          <w:sz w:val="24"/>
          <w:szCs w:val="24"/>
        </w:rPr>
        <w:t>, byl</w:t>
      </w:r>
      <w:r w:rsidR="00C92B65">
        <w:rPr>
          <w:rFonts w:asciiTheme="majorBidi" w:hAnsiTheme="majorBidi" w:cstheme="majorBidi"/>
          <w:iCs/>
          <w:sz w:val="24"/>
          <w:szCs w:val="24"/>
        </w:rPr>
        <w:t>ų</w:t>
      </w:r>
      <w:r w:rsidR="00C92B65" w:rsidRPr="00C92B65">
        <w:rPr>
          <w:rFonts w:asciiTheme="majorBidi" w:hAnsiTheme="majorBidi" w:cstheme="majorBidi"/>
          <w:iCs/>
          <w:sz w:val="24"/>
          <w:szCs w:val="24"/>
        </w:rPr>
        <w:t xml:space="preserve"> Nr. C-427/93, C-429/93, C-436/93, para. 57, taip pat pagal analogiją 2022 m. lapkričio 17 d. </w:t>
      </w:r>
      <w:proofErr w:type="spellStart"/>
      <w:r w:rsidR="00C92B65" w:rsidRPr="00C92B65">
        <w:rPr>
          <w:rFonts w:asciiTheme="majorBidi" w:hAnsiTheme="majorBidi" w:cstheme="majorBidi"/>
          <w:iCs/>
          <w:sz w:val="24"/>
          <w:szCs w:val="24"/>
        </w:rPr>
        <w:t>prejudicinio</w:t>
      </w:r>
      <w:proofErr w:type="spellEnd"/>
      <w:r w:rsidR="00C92B65" w:rsidRPr="00C92B65">
        <w:rPr>
          <w:rFonts w:asciiTheme="majorBidi" w:hAnsiTheme="majorBidi" w:cstheme="majorBidi"/>
          <w:iCs/>
          <w:sz w:val="24"/>
          <w:szCs w:val="24"/>
        </w:rPr>
        <w:t xml:space="preserve"> sprendimo </w:t>
      </w:r>
      <w:proofErr w:type="spellStart"/>
      <w:r w:rsidR="00C92B65" w:rsidRPr="00C92B65">
        <w:rPr>
          <w:rFonts w:asciiTheme="majorBidi" w:hAnsiTheme="majorBidi" w:cstheme="majorBidi"/>
          <w:i/>
          <w:sz w:val="24"/>
          <w:szCs w:val="24"/>
        </w:rPr>
        <w:t>Novartis</w:t>
      </w:r>
      <w:proofErr w:type="spellEnd"/>
      <w:r w:rsidR="00C92B65" w:rsidRPr="00C92B65">
        <w:rPr>
          <w:rFonts w:asciiTheme="majorBidi" w:hAnsiTheme="majorBidi" w:cstheme="majorBidi"/>
          <w:i/>
          <w:sz w:val="24"/>
          <w:szCs w:val="24"/>
        </w:rPr>
        <w:t xml:space="preserve"> Pharma </w:t>
      </w:r>
      <w:proofErr w:type="spellStart"/>
      <w:r w:rsidR="00C92B65" w:rsidRPr="00C92B65">
        <w:rPr>
          <w:rFonts w:asciiTheme="majorBidi" w:hAnsiTheme="majorBidi" w:cstheme="majorBidi"/>
          <w:i/>
          <w:sz w:val="24"/>
          <w:szCs w:val="24"/>
        </w:rPr>
        <w:t>GmbH</w:t>
      </w:r>
      <w:proofErr w:type="spellEnd"/>
      <w:r w:rsidR="00C92B65" w:rsidRPr="00C92B65">
        <w:rPr>
          <w:rFonts w:asciiTheme="majorBidi" w:hAnsiTheme="majorBidi" w:cstheme="majorBidi"/>
          <w:i/>
          <w:sz w:val="24"/>
          <w:szCs w:val="24"/>
        </w:rPr>
        <w:t xml:space="preserve"> prieš </w:t>
      </w:r>
      <w:proofErr w:type="spellStart"/>
      <w:r w:rsidR="00C92B65" w:rsidRPr="00C92B65">
        <w:rPr>
          <w:rFonts w:asciiTheme="majorBidi" w:hAnsiTheme="majorBidi" w:cstheme="majorBidi"/>
          <w:i/>
          <w:sz w:val="24"/>
          <w:szCs w:val="24"/>
        </w:rPr>
        <w:t>Abacus</w:t>
      </w:r>
      <w:proofErr w:type="spellEnd"/>
      <w:r w:rsidR="00C92B65" w:rsidRPr="00C92B65">
        <w:rPr>
          <w:rFonts w:asciiTheme="majorBidi" w:hAnsiTheme="majorBidi" w:cstheme="majorBidi"/>
          <w:i/>
          <w:sz w:val="24"/>
          <w:szCs w:val="24"/>
        </w:rPr>
        <w:t xml:space="preserve"> </w:t>
      </w:r>
      <w:proofErr w:type="spellStart"/>
      <w:r w:rsidR="00C92B65" w:rsidRPr="00C92B65">
        <w:rPr>
          <w:rFonts w:asciiTheme="majorBidi" w:hAnsiTheme="majorBidi" w:cstheme="majorBidi"/>
          <w:i/>
          <w:sz w:val="24"/>
          <w:szCs w:val="24"/>
        </w:rPr>
        <w:t>Medicine</w:t>
      </w:r>
      <w:proofErr w:type="spellEnd"/>
      <w:r w:rsidR="00C92B65" w:rsidRPr="00C92B65">
        <w:rPr>
          <w:rFonts w:asciiTheme="majorBidi" w:hAnsiTheme="majorBidi" w:cstheme="majorBidi"/>
          <w:i/>
          <w:sz w:val="24"/>
          <w:szCs w:val="24"/>
        </w:rPr>
        <w:t xml:space="preserve"> A/S</w:t>
      </w:r>
      <w:r w:rsidR="00C92B65" w:rsidRPr="00C92B65">
        <w:rPr>
          <w:rFonts w:asciiTheme="majorBidi" w:hAnsiTheme="majorBidi" w:cstheme="majorBidi"/>
          <w:iCs/>
          <w:sz w:val="24"/>
          <w:szCs w:val="24"/>
        </w:rPr>
        <w:t>, bylos Nr. C‑147/20, para. 44).</w:t>
      </w:r>
      <w:r w:rsidR="00C302F3">
        <w:rPr>
          <w:rFonts w:ascii="Times New Roman" w:hAnsi="Times New Roman"/>
          <w:sz w:val="24"/>
          <w:szCs w:val="24"/>
        </w:rPr>
        <w:t>)</w:t>
      </w:r>
      <w:r w:rsidRPr="00882F08">
        <w:rPr>
          <w:rFonts w:asciiTheme="majorBidi" w:hAnsiTheme="majorBidi" w:cstheme="majorBidi"/>
          <w:iCs/>
          <w:sz w:val="24"/>
          <w:szCs w:val="24"/>
        </w:rPr>
        <w:t>.</w:t>
      </w:r>
    </w:p>
    <w:p w14:paraId="253E2615" w14:textId="7BE78806" w:rsidR="00754963" w:rsidRPr="00D42F1F"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Byloje nėra ginčo, kad atsakovės vaistinių preparatų lygiagretaus importo metu Lietuvos rinkoje neegzistavo teisinės kliūtys, trukdžiusios atsakovei prekiauti iš Vengrijos į Lietuvą importuojamu vaistiniu preparatu jo neperpakavus ir nepervadinus, kadangi </w:t>
      </w:r>
      <w:r w:rsidRPr="00427987">
        <w:rPr>
          <w:rFonts w:asciiTheme="majorBidi" w:hAnsiTheme="majorBidi" w:cstheme="majorBidi"/>
          <w:iCs/>
          <w:sz w:val="24"/>
          <w:szCs w:val="24"/>
        </w:rPr>
        <w:t>dabar vaistai išrašomi į jų sudėtį įeinančios veikliosios medžiagos bendriniu pavadinimu</w:t>
      </w:r>
      <w:r>
        <w:rPr>
          <w:rFonts w:asciiTheme="majorBidi" w:hAnsiTheme="majorBidi" w:cstheme="majorBidi"/>
          <w:iCs/>
          <w:sz w:val="24"/>
          <w:szCs w:val="24"/>
        </w:rPr>
        <w:t xml:space="preserve">, o ne vaistinio preparato pavadinimu, taip pat teisės aktuose nėra jokių draudimų, dėl kurių atsakovė negalėtų prekiauti lygiagrečiai importuojamu vaistiniu preparatu jo neperpakavusi. Kaip pagrįstai </w:t>
      </w:r>
      <w:r>
        <w:rPr>
          <w:rFonts w:asciiTheme="majorBidi" w:hAnsiTheme="majorBidi" w:cstheme="majorBidi"/>
          <w:iCs/>
          <w:sz w:val="24"/>
          <w:szCs w:val="24"/>
        </w:rPr>
        <w:lastRenderedPageBreak/>
        <w:t xml:space="preserve">skundžiamame sprendime nurodė apeliacinės instancijos teismas, </w:t>
      </w:r>
      <w:r>
        <w:rPr>
          <w:rFonts w:ascii="Times New Roman" w:hAnsi="Times New Roman"/>
          <w:sz w:val="24"/>
          <w:szCs w:val="24"/>
          <w:lang w:eastAsia="en-GB"/>
        </w:rPr>
        <w:t xml:space="preserve">Lietuvos Respublikos sveikatos apsaugos ministro 2002 m. kovo 8 d. įsakymo Nr. 112 </w:t>
      </w:r>
      <w:r w:rsidR="00405541">
        <w:rPr>
          <w:rFonts w:ascii="Times New Roman" w:hAnsi="Times New Roman"/>
          <w:sz w:val="24"/>
          <w:szCs w:val="24"/>
          <w:lang w:eastAsia="en-GB"/>
        </w:rPr>
        <w:t>„</w:t>
      </w:r>
      <w:r>
        <w:rPr>
          <w:rFonts w:ascii="Times New Roman" w:hAnsi="Times New Roman"/>
          <w:sz w:val="24"/>
          <w:szCs w:val="24"/>
          <w:lang w:eastAsia="en-GB"/>
        </w:rPr>
        <w:t>Dėl vaistų receptų rašymo ir vaistų išdavimo (pardavimo)</w:t>
      </w:r>
      <w:r w:rsidR="00405541">
        <w:rPr>
          <w:rFonts w:ascii="Times New Roman" w:hAnsi="Times New Roman"/>
          <w:sz w:val="24"/>
          <w:szCs w:val="24"/>
          <w:lang w:eastAsia="en-GB"/>
        </w:rPr>
        <w:t>“</w:t>
      </w:r>
      <w:r>
        <w:rPr>
          <w:rFonts w:ascii="Times New Roman" w:hAnsi="Times New Roman"/>
          <w:sz w:val="24"/>
          <w:szCs w:val="24"/>
          <w:lang w:eastAsia="en-GB"/>
        </w:rPr>
        <w:t xml:space="preserve"> 98 punkte nurodoma, kad f</w:t>
      </w:r>
      <w:r>
        <w:rPr>
          <w:rFonts w:ascii="Times New Roman" w:hAnsi="Times New Roman"/>
          <w:color w:val="000000"/>
          <w:sz w:val="24"/>
          <w:szCs w:val="24"/>
        </w:rPr>
        <w:t xml:space="preserve">armacijos specialistas, </w:t>
      </w:r>
      <w:r w:rsidRPr="00E55903">
        <w:rPr>
          <w:rFonts w:ascii="Times New Roman" w:hAnsi="Times New Roman"/>
          <w:i/>
          <w:iCs/>
          <w:color w:val="000000"/>
          <w:sz w:val="24"/>
          <w:szCs w:val="24"/>
        </w:rPr>
        <w:t>ligoniui sutikus</w:t>
      </w:r>
      <w:r>
        <w:rPr>
          <w:rFonts w:ascii="Times New Roman" w:hAnsi="Times New Roman"/>
          <w:color w:val="000000"/>
          <w:sz w:val="24"/>
          <w:szCs w:val="24"/>
        </w:rPr>
        <w:t xml:space="preserve">, turi teisę išduoti to paties bendrinio pavadinimo kompensuojamąjį vaistą kitu prekiniu pavadinimu, nekeisdamas jo formos bei vartojimo dažnumo tik tuo atveju, jei faktiškai išduodamų vaisto </w:t>
      </w:r>
      <w:proofErr w:type="spellStart"/>
      <w:r>
        <w:rPr>
          <w:rFonts w:ascii="Times New Roman" w:hAnsi="Times New Roman"/>
          <w:color w:val="000000"/>
          <w:sz w:val="24"/>
          <w:szCs w:val="24"/>
        </w:rPr>
        <w:t>dozuočių</w:t>
      </w:r>
      <w:proofErr w:type="spellEnd"/>
      <w:r>
        <w:rPr>
          <w:rFonts w:ascii="Times New Roman" w:hAnsi="Times New Roman"/>
          <w:color w:val="000000"/>
          <w:sz w:val="24"/>
          <w:szCs w:val="24"/>
        </w:rPr>
        <w:t xml:space="preserve"> vaistinės medžiagos kiekis atitinka išrašytą vaistinės medžiagos kiekį ir išduoto vaisto kompensuojamoji suma ne didesnė už išrašyto vaisto kompensuojamąją sumą. Taigi, teisinių kliūčių gydytojams ar vaistininkams rekomenduoti neperpakuotą, identišką ieškovės platinamam, tik kitu originaliu pavadinimu vaistinį preparatą nagrinėjamu atveju nėra.</w:t>
      </w:r>
    </w:p>
    <w:p w14:paraId="5C47B8F0" w14:textId="51401B9B" w:rsidR="00754963" w:rsidRPr="00D42F1F"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sidRPr="00D42F1F">
        <w:rPr>
          <w:rFonts w:ascii="Times New Roman" w:hAnsi="Times New Roman"/>
          <w:color w:val="000000"/>
          <w:sz w:val="24"/>
          <w:szCs w:val="24"/>
        </w:rPr>
        <w:t xml:space="preserve">Vis dėlto </w:t>
      </w:r>
      <w:r>
        <w:rPr>
          <w:rFonts w:ascii="Times New Roman" w:hAnsi="Times New Roman"/>
          <w:color w:val="000000"/>
          <w:sz w:val="24"/>
          <w:szCs w:val="24"/>
        </w:rPr>
        <w:t>b</w:t>
      </w:r>
      <w:r w:rsidRPr="00D42F1F">
        <w:rPr>
          <w:rFonts w:asciiTheme="majorBidi" w:hAnsiTheme="majorBidi" w:cstheme="majorBidi"/>
          <w:iCs/>
          <w:sz w:val="24"/>
          <w:szCs w:val="24"/>
        </w:rPr>
        <w:t>yloje kilo ginčas</w:t>
      </w:r>
      <w:r>
        <w:rPr>
          <w:rFonts w:asciiTheme="majorBidi" w:hAnsiTheme="majorBidi" w:cstheme="majorBidi"/>
          <w:iCs/>
          <w:sz w:val="24"/>
          <w:szCs w:val="24"/>
        </w:rPr>
        <w:t xml:space="preserve">, ar </w:t>
      </w:r>
      <w:r w:rsidRPr="00D42F1F">
        <w:rPr>
          <w:rFonts w:asciiTheme="majorBidi" w:hAnsiTheme="majorBidi" w:cstheme="majorBidi"/>
          <w:iCs/>
          <w:sz w:val="24"/>
          <w:szCs w:val="24"/>
        </w:rPr>
        <w:t>šiuo atveju egzistuoja praktin</w:t>
      </w:r>
      <w:r>
        <w:rPr>
          <w:rFonts w:asciiTheme="majorBidi" w:hAnsiTheme="majorBidi" w:cstheme="majorBidi"/>
          <w:iCs/>
          <w:sz w:val="24"/>
          <w:szCs w:val="24"/>
        </w:rPr>
        <w:t>ės</w:t>
      </w:r>
      <w:r w:rsidRPr="00D42F1F">
        <w:rPr>
          <w:rFonts w:asciiTheme="majorBidi" w:hAnsiTheme="majorBidi" w:cstheme="majorBidi"/>
          <w:iCs/>
          <w:sz w:val="24"/>
          <w:szCs w:val="24"/>
        </w:rPr>
        <w:t xml:space="preserve"> kliū</w:t>
      </w:r>
      <w:r>
        <w:rPr>
          <w:rFonts w:asciiTheme="majorBidi" w:hAnsiTheme="majorBidi" w:cstheme="majorBidi"/>
          <w:iCs/>
          <w:sz w:val="24"/>
          <w:szCs w:val="24"/>
        </w:rPr>
        <w:t>tys</w:t>
      </w:r>
      <w:r w:rsidRPr="00D42F1F">
        <w:rPr>
          <w:rFonts w:asciiTheme="majorBidi" w:hAnsiTheme="majorBidi" w:cstheme="majorBidi"/>
          <w:iCs/>
          <w:sz w:val="24"/>
          <w:szCs w:val="24"/>
        </w:rPr>
        <w:t xml:space="preserve"> atsakovei veiksmingai patekti į Lietuvos rinką lygiagrečiai importuojant ieškovės Vengrijoje išleist</w:t>
      </w:r>
      <w:r>
        <w:rPr>
          <w:rFonts w:asciiTheme="majorBidi" w:hAnsiTheme="majorBidi" w:cstheme="majorBidi"/>
          <w:iCs/>
          <w:sz w:val="24"/>
          <w:szCs w:val="24"/>
        </w:rPr>
        <w:t>ą</w:t>
      </w:r>
      <w:r w:rsidRPr="00D42F1F">
        <w:rPr>
          <w:rFonts w:asciiTheme="majorBidi" w:hAnsiTheme="majorBidi" w:cstheme="majorBidi"/>
          <w:iCs/>
          <w:sz w:val="24"/>
          <w:szCs w:val="24"/>
        </w:rPr>
        <w:t xml:space="preserve"> tą patį vaistinį preparatą, kuriuo Lietuvoje ji prekiauja kitu pavadinimu</w:t>
      </w:r>
      <w:r>
        <w:rPr>
          <w:rFonts w:asciiTheme="majorBidi" w:hAnsiTheme="majorBidi" w:cstheme="majorBidi"/>
          <w:iCs/>
          <w:sz w:val="24"/>
          <w:szCs w:val="24"/>
        </w:rPr>
        <w:t xml:space="preserve">. Šias praktines kliūtis ir būtinumą perpakuoti ginčo vaistinius preparatus atsakovė grindė </w:t>
      </w:r>
      <w:r w:rsidRPr="00D42F1F">
        <w:rPr>
          <w:rFonts w:asciiTheme="majorBidi" w:hAnsiTheme="majorBidi" w:cstheme="majorBidi"/>
          <w:iCs/>
          <w:sz w:val="24"/>
          <w:szCs w:val="24"/>
        </w:rPr>
        <w:t>pacientų įpročiais pirkti tą patį anksčiau vartotą vaistinį preparatą jau žinomu pavadinimu ir vaistinių atsisakymu prekiauti neperpakuotu atsakovės lygiagrečiai importuojamu vaistiniu preparatu, tapačiu ieškovės platinamam vaistiniam preparatui kitu pavadinimu.</w:t>
      </w:r>
    </w:p>
    <w:p w14:paraId="468EA9B3" w14:textId="1026078A" w:rsidR="00754963" w:rsidRPr="00796A39" w:rsidRDefault="00C92B65" w:rsidP="0075496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heme="majorBidi" w:hAnsiTheme="majorBidi" w:cstheme="majorBidi"/>
          <w:iCs/>
          <w:sz w:val="24"/>
          <w:szCs w:val="24"/>
        </w:rPr>
        <w:t xml:space="preserve">Byloje nustatytų aplinkybių kontekste, </w:t>
      </w:r>
      <w:bookmarkStart w:id="16" w:name="_Hlk155773156"/>
      <w:r>
        <w:rPr>
          <w:rFonts w:asciiTheme="majorBidi" w:hAnsiTheme="majorBidi" w:cstheme="majorBidi"/>
          <w:iCs/>
          <w:sz w:val="24"/>
          <w:szCs w:val="24"/>
        </w:rPr>
        <w:t>t</w:t>
      </w:r>
      <w:r w:rsidR="00754963" w:rsidRPr="00796A39">
        <w:rPr>
          <w:rFonts w:asciiTheme="majorBidi" w:hAnsiTheme="majorBidi" w:cstheme="majorBidi"/>
          <w:iCs/>
          <w:sz w:val="24"/>
          <w:szCs w:val="24"/>
        </w:rPr>
        <w:t xml:space="preserve">eisėjų kolegija neturi pagrindo sutikti su apeliacinės instancijos teismo išvada, kad atsakovės veiksmai galėtų būti pripažįstami teisėtais tik tuo atveju, jei lygiagrečiai importuojamo vaistinio preparato prekyba originalia eksporto valstybės pakuote Lietuvoje būtų draudžiama. Priešingai, vadovaujantis anksčiau cituotoje ESTT praktikoje nurodytomis sąlygomis, lygiagretaus importuotojo veiksmai perpakuojant lygiagrečiai importuojamą tą patį vaistinį preparatą, kuriuo Lietuvoje jo gamintojas prekiauja kitu pavadinimu, gali būti pripažįstami teisėtais, jei, be kita ko, nustatomas būtinumas perpakuoti ir pervadinti lygiagrečiai importuojamą vaistinį preparatą, kuris gali pasireikšti ir dėl importo valstybėje narėje egzistuojančių praktinių (ne tik teisinių) kliūčių veiksmingam importuotojo patekimui į rinką, t. y. kad prekių ženklo savininko </w:t>
      </w:r>
      <w:r w:rsidR="00754963" w:rsidRPr="00796A39">
        <w:rPr>
          <w:rFonts w:ascii="Times New Roman" w:hAnsi="Times New Roman"/>
          <w:sz w:val="24"/>
          <w:szCs w:val="24"/>
        </w:rPr>
        <w:t>prieštaravimas prekiauti perpakuotais produktais, pažymėtais prekių ženklu, prisidėtų prie dirbtinio rinkų padalijimo tarp valstybių narių</w:t>
      </w:r>
      <w:r w:rsidR="00754963" w:rsidRPr="00796A39">
        <w:rPr>
          <w:rFonts w:asciiTheme="majorBidi" w:hAnsiTheme="majorBidi" w:cstheme="majorBidi"/>
          <w:iCs/>
          <w:sz w:val="24"/>
          <w:szCs w:val="24"/>
        </w:rPr>
        <w:t>.</w:t>
      </w:r>
      <w:bookmarkEnd w:id="16"/>
    </w:p>
    <w:p w14:paraId="6A11220C" w14:textId="772510FB" w:rsidR="00754963" w:rsidRPr="00162EB2"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heme="majorBidi" w:hAnsiTheme="majorBidi" w:cstheme="majorBidi"/>
          <w:iCs/>
          <w:sz w:val="24"/>
          <w:szCs w:val="24"/>
        </w:rPr>
        <w:t>Nagrinėjamu atveju atsakovė byloje įrodinėjo, kad ieškovė, prieštaraudama jos atliktam ieškovės į Vengrijos rinką išleistam vaistinio preparato perpakavimui, siekia dirbtinai padalyti rinkas, tačiau nei pirmosios, nei apeliacinės instancijos teismai priimtuose procesiniuose sprendimuose šios aplinkybės nevertino ir neanalizavo. Nors pirmosios instancijos teismas byloje vertino šios nutarties 32 punkte nurodyt</w:t>
      </w:r>
      <w:r w:rsidR="00FD2A58">
        <w:rPr>
          <w:rFonts w:asciiTheme="majorBidi" w:hAnsiTheme="majorBidi" w:cstheme="majorBidi"/>
          <w:iCs/>
          <w:sz w:val="24"/>
          <w:szCs w:val="24"/>
        </w:rPr>
        <w:t>as</w:t>
      </w:r>
      <w:r>
        <w:rPr>
          <w:rFonts w:asciiTheme="majorBidi" w:hAnsiTheme="majorBidi" w:cstheme="majorBidi"/>
          <w:iCs/>
          <w:sz w:val="24"/>
          <w:szCs w:val="24"/>
        </w:rPr>
        <w:t xml:space="preserve"> ESTT praktikoje suformu</w:t>
      </w:r>
      <w:r w:rsidR="00405541">
        <w:rPr>
          <w:rFonts w:asciiTheme="majorBidi" w:hAnsiTheme="majorBidi" w:cstheme="majorBidi"/>
          <w:iCs/>
          <w:sz w:val="24"/>
          <w:szCs w:val="24"/>
        </w:rPr>
        <w:t>lu</w:t>
      </w:r>
      <w:r>
        <w:rPr>
          <w:rFonts w:asciiTheme="majorBidi" w:hAnsiTheme="majorBidi" w:cstheme="majorBidi"/>
          <w:iCs/>
          <w:sz w:val="24"/>
          <w:szCs w:val="24"/>
        </w:rPr>
        <w:t>ot</w:t>
      </w:r>
      <w:r w:rsidR="00FD2A58">
        <w:rPr>
          <w:rFonts w:asciiTheme="majorBidi" w:hAnsiTheme="majorBidi" w:cstheme="majorBidi"/>
          <w:iCs/>
          <w:sz w:val="24"/>
          <w:szCs w:val="24"/>
        </w:rPr>
        <w:t>as</w:t>
      </w:r>
      <w:r>
        <w:rPr>
          <w:rFonts w:asciiTheme="majorBidi" w:hAnsiTheme="majorBidi" w:cstheme="majorBidi"/>
          <w:iCs/>
          <w:sz w:val="24"/>
          <w:szCs w:val="24"/>
        </w:rPr>
        <w:t xml:space="preserve"> sąlyg</w:t>
      </w:r>
      <w:r w:rsidR="00FD2A58">
        <w:rPr>
          <w:rFonts w:asciiTheme="majorBidi" w:hAnsiTheme="majorBidi" w:cstheme="majorBidi"/>
          <w:iCs/>
          <w:sz w:val="24"/>
          <w:szCs w:val="24"/>
        </w:rPr>
        <w:t>as</w:t>
      </w:r>
      <w:r>
        <w:rPr>
          <w:rFonts w:asciiTheme="majorBidi" w:hAnsiTheme="majorBidi" w:cstheme="majorBidi"/>
          <w:iCs/>
          <w:sz w:val="24"/>
          <w:szCs w:val="24"/>
        </w:rPr>
        <w:t xml:space="preserve">, kurioms esant lygiagretus importuotojas turi teisę perpakuoti ir pervadinti lygiagrečiai importuojamą vaistinį preparatą, įskaitant ir būtinumą (dėl </w:t>
      </w:r>
      <w:r w:rsidR="00405541">
        <w:rPr>
          <w:rFonts w:asciiTheme="majorBidi" w:hAnsiTheme="majorBidi" w:cstheme="majorBidi"/>
          <w:iCs/>
          <w:sz w:val="24"/>
          <w:szCs w:val="24"/>
        </w:rPr>
        <w:t>t</w:t>
      </w:r>
      <w:r>
        <w:rPr>
          <w:rFonts w:asciiTheme="majorBidi" w:hAnsiTheme="majorBidi" w:cstheme="majorBidi"/>
          <w:iCs/>
          <w:sz w:val="24"/>
          <w:szCs w:val="24"/>
        </w:rPr>
        <w:t xml:space="preserve">o ir kyla tarp šalių ginčas), tačiau dėl jų nepasisakė dirbtinio rinkos padalijimo </w:t>
      </w:r>
      <w:r w:rsidR="00C92B65">
        <w:rPr>
          <w:rFonts w:asciiTheme="majorBidi" w:hAnsiTheme="majorBidi" w:cstheme="majorBidi"/>
          <w:iCs/>
          <w:sz w:val="24"/>
          <w:szCs w:val="24"/>
        </w:rPr>
        <w:t>aspektu</w:t>
      </w:r>
      <w:r>
        <w:rPr>
          <w:rFonts w:asciiTheme="majorBidi" w:hAnsiTheme="majorBidi" w:cstheme="majorBidi"/>
          <w:iCs/>
          <w:sz w:val="24"/>
          <w:szCs w:val="24"/>
        </w:rPr>
        <w:t xml:space="preserve">. Todėl </w:t>
      </w:r>
      <w:bookmarkStart w:id="17" w:name="_Hlk155773238"/>
      <w:r>
        <w:rPr>
          <w:rFonts w:asciiTheme="majorBidi" w:hAnsiTheme="majorBidi" w:cstheme="majorBidi"/>
          <w:iCs/>
          <w:sz w:val="24"/>
          <w:szCs w:val="24"/>
        </w:rPr>
        <w:t>byloje liko nenustatyta, ar ieškovė, nagrinėjamu atveju siekdama jai priklausančio prek</w:t>
      </w:r>
      <w:r w:rsidR="00405541">
        <w:rPr>
          <w:rFonts w:asciiTheme="majorBidi" w:hAnsiTheme="majorBidi" w:cstheme="majorBidi"/>
          <w:iCs/>
          <w:sz w:val="24"/>
          <w:szCs w:val="24"/>
        </w:rPr>
        <w:t>ių</w:t>
      </w:r>
      <w:r>
        <w:rPr>
          <w:rFonts w:asciiTheme="majorBidi" w:hAnsiTheme="majorBidi" w:cstheme="majorBidi"/>
          <w:iCs/>
          <w:sz w:val="24"/>
          <w:szCs w:val="24"/>
        </w:rPr>
        <w:t xml:space="preserve"> ženklo apsaugos</w:t>
      </w:r>
      <w:r w:rsidR="00405541">
        <w:rPr>
          <w:rFonts w:asciiTheme="majorBidi" w:hAnsiTheme="majorBidi" w:cstheme="majorBidi"/>
          <w:iCs/>
          <w:sz w:val="24"/>
          <w:szCs w:val="24"/>
        </w:rPr>
        <w:t>,</w:t>
      </w:r>
      <w:r>
        <w:rPr>
          <w:rFonts w:asciiTheme="majorBidi" w:hAnsiTheme="majorBidi" w:cstheme="majorBidi"/>
          <w:iCs/>
          <w:sz w:val="24"/>
          <w:szCs w:val="24"/>
        </w:rPr>
        <w:t xml:space="preserve"> nesiekia dirbtinai padal</w:t>
      </w:r>
      <w:r w:rsidR="00405541">
        <w:rPr>
          <w:rFonts w:asciiTheme="majorBidi" w:hAnsiTheme="majorBidi" w:cstheme="majorBidi"/>
          <w:iCs/>
          <w:sz w:val="24"/>
          <w:szCs w:val="24"/>
        </w:rPr>
        <w:t>y</w:t>
      </w:r>
      <w:r>
        <w:rPr>
          <w:rFonts w:asciiTheme="majorBidi" w:hAnsiTheme="majorBidi" w:cstheme="majorBidi"/>
          <w:iCs/>
          <w:sz w:val="24"/>
          <w:szCs w:val="24"/>
        </w:rPr>
        <w:t>ti rink</w:t>
      </w:r>
      <w:r w:rsidR="00FD2A58">
        <w:rPr>
          <w:rFonts w:asciiTheme="majorBidi" w:hAnsiTheme="majorBidi" w:cstheme="majorBidi"/>
          <w:iCs/>
          <w:sz w:val="24"/>
          <w:szCs w:val="24"/>
        </w:rPr>
        <w:t>ų</w:t>
      </w:r>
      <w:r>
        <w:rPr>
          <w:rFonts w:asciiTheme="majorBidi" w:hAnsiTheme="majorBidi" w:cstheme="majorBidi"/>
          <w:iCs/>
          <w:sz w:val="24"/>
          <w:szCs w:val="24"/>
        </w:rPr>
        <w:t xml:space="preserve"> tarp valstybių narių. </w:t>
      </w:r>
      <w:bookmarkEnd w:id="17"/>
      <w:r>
        <w:rPr>
          <w:rFonts w:asciiTheme="majorBidi" w:hAnsiTheme="majorBidi" w:cstheme="majorBidi"/>
          <w:iCs/>
          <w:sz w:val="24"/>
          <w:szCs w:val="24"/>
        </w:rPr>
        <w:t>Ši aplinkybė yra fakto klausimas, kuri</w:t>
      </w:r>
      <w:r w:rsidR="00405541">
        <w:rPr>
          <w:rFonts w:asciiTheme="majorBidi" w:hAnsiTheme="majorBidi" w:cstheme="majorBidi"/>
          <w:iCs/>
          <w:sz w:val="24"/>
          <w:szCs w:val="24"/>
        </w:rPr>
        <w:t>o</w:t>
      </w:r>
      <w:r>
        <w:rPr>
          <w:rFonts w:asciiTheme="majorBidi" w:hAnsiTheme="majorBidi" w:cstheme="majorBidi"/>
          <w:iCs/>
          <w:sz w:val="24"/>
          <w:szCs w:val="24"/>
        </w:rPr>
        <w:t xml:space="preserve"> kasacinis teismas nenagrinėja (CPK 353</w:t>
      </w:r>
      <w:r w:rsidR="00405541">
        <w:rPr>
          <w:rFonts w:asciiTheme="majorBidi" w:hAnsiTheme="majorBidi" w:cstheme="majorBidi"/>
          <w:iCs/>
          <w:sz w:val="24"/>
          <w:szCs w:val="24"/>
        </w:rPr>
        <w:t> </w:t>
      </w:r>
      <w:r>
        <w:rPr>
          <w:rFonts w:asciiTheme="majorBidi" w:hAnsiTheme="majorBidi" w:cstheme="majorBidi"/>
          <w:iCs/>
          <w:sz w:val="24"/>
          <w:szCs w:val="24"/>
        </w:rPr>
        <w:t xml:space="preserve">straipsnio 1 dalis). </w:t>
      </w:r>
      <w:bookmarkStart w:id="18" w:name="_Hlk155773280"/>
      <w:r>
        <w:rPr>
          <w:rFonts w:asciiTheme="majorBidi" w:hAnsiTheme="majorBidi" w:cstheme="majorBidi"/>
          <w:iCs/>
          <w:sz w:val="24"/>
          <w:szCs w:val="24"/>
        </w:rPr>
        <w:t>Teisėjų kolegijos vertinimu, nenustačius ir neįvertinus šios faktinės aplinkybės, kurią byloje įrodinėjo</w:t>
      </w:r>
      <w:r w:rsidRPr="00F32E0A">
        <w:rPr>
          <w:rFonts w:asciiTheme="majorBidi" w:hAnsiTheme="majorBidi" w:cstheme="majorBidi"/>
          <w:iCs/>
          <w:sz w:val="24"/>
          <w:szCs w:val="24"/>
        </w:rPr>
        <w:t xml:space="preserve"> </w:t>
      </w:r>
      <w:r>
        <w:rPr>
          <w:rFonts w:asciiTheme="majorBidi" w:hAnsiTheme="majorBidi" w:cstheme="majorBidi"/>
          <w:iCs/>
          <w:sz w:val="24"/>
          <w:szCs w:val="24"/>
        </w:rPr>
        <w:t>atsakovė, nėra galimybės teisingai išnagrinėti šioje byloje kilusio ginčo, t. y. įvertinti, ar ieškovė, siekdama jai priklausančio prek</w:t>
      </w:r>
      <w:r w:rsidR="00405541">
        <w:rPr>
          <w:rFonts w:asciiTheme="majorBidi" w:hAnsiTheme="majorBidi" w:cstheme="majorBidi"/>
          <w:iCs/>
          <w:sz w:val="24"/>
          <w:szCs w:val="24"/>
        </w:rPr>
        <w:t>ių</w:t>
      </w:r>
      <w:r>
        <w:rPr>
          <w:rFonts w:asciiTheme="majorBidi" w:hAnsiTheme="majorBidi" w:cstheme="majorBidi"/>
          <w:iCs/>
          <w:sz w:val="24"/>
          <w:szCs w:val="24"/>
        </w:rPr>
        <w:t xml:space="preserve"> ženklo apsaugos, nesiekia pasinaudoti </w:t>
      </w:r>
      <w:r w:rsidR="00405541">
        <w:rPr>
          <w:rFonts w:asciiTheme="majorBidi" w:hAnsiTheme="majorBidi" w:cstheme="majorBidi"/>
          <w:iCs/>
          <w:sz w:val="24"/>
          <w:szCs w:val="24"/>
        </w:rPr>
        <w:t>šio</w:t>
      </w:r>
      <w:r>
        <w:rPr>
          <w:rFonts w:asciiTheme="majorBidi" w:hAnsiTheme="majorBidi" w:cstheme="majorBidi"/>
          <w:iCs/>
          <w:sz w:val="24"/>
          <w:szCs w:val="24"/>
        </w:rPr>
        <w:t xml:space="preserve"> ženklo suteikiamomis teisėmis tikslu, nesuderinamu su šių teisių paskirtimi.</w:t>
      </w:r>
      <w:bookmarkEnd w:id="18"/>
      <w:r>
        <w:rPr>
          <w:rFonts w:asciiTheme="majorBidi" w:hAnsiTheme="majorBidi" w:cstheme="majorBidi"/>
          <w:iCs/>
          <w:sz w:val="24"/>
          <w:szCs w:val="24"/>
        </w:rPr>
        <w:t xml:space="preserve">  </w:t>
      </w:r>
    </w:p>
    <w:p w14:paraId="2E542763" w14:textId="77777777" w:rsidR="00754963" w:rsidRPr="009E1501"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sidRPr="009E1501">
        <w:rPr>
          <w:rFonts w:asciiTheme="majorBidi" w:hAnsiTheme="majorBidi" w:cstheme="majorBidi"/>
          <w:iCs/>
          <w:sz w:val="24"/>
          <w:szCs w:val="24"/>
        </w:rPr>
        <w:t>Antra, teisėjų kolegija sutinka su atsakovės kasacinio skundo argumentu, kad šiuo atveju apeliacinės instancijos teismas suabsoliutino atsakovės taikomą perpakuoto lygiagretaus vaistinio preparato kainodarą, ją nepagrįstai susiedamas su atsakovės nesąžiningumu.</w:t>
      </w:r>
    </w:p>
    <w:p w14:paraId="6D77D28F" w14:textId="1DFBEF62" w:rsidR="00754963" w:rsidRDefault="00C92B65" w:rsidP="00754963">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Vis dėlto, kartu svarbu atkreipti dėmesį, kad </w:t>
      </w:r>
      <w:r w:rsidR="00754963" w:rsidRPr="00162EB2">
        <w:rPr>
          <w:rFonts w:asciiTheme="majorBidi" w:hAnsiTheme="majorBidi" w:cstheme="majorBidi"/>
          <w:iCs/>
          <w:sz w:val="24"/>
          <w:szCs w:val="24"/>
        </w:rPr>
        <w:t xml:space="preserve">ESTT praktikoje pažymima, </w:t>
      </w:r>
      <w:r>
        <w:rPr>
          <w:rFonts w:asciiTheme="majorBidi" w:hAnsiTheme="majorBidi" w:cstheme="majorBidi"/>
          <w:iCs/>
          <w:sz w:val="24"/>
          <w:szCs w:val="24"/>
        </w:rPr>
        <w:t>jog</w:t>
      </w:r>
      <w:r w:rsidRPr="00162EB2">
        <w:rPr>
          <w:rFonts w:asciiTheme="majorBidi" w:hAnsiTheme="majorBidi" w:cstheme="majorBidi"/>
          <w:iCs/>
          <w:sz w:val="24"/>
          <w:szCs w:val="24"/>
        </w:rPr>
        <w:t xml:space="preserve"> </w:t>
      </w:r>
      <w:r w:rsidR="00754963">
        <w:rPr>
          <w:rFonts w:asciiTheme="majorBidi" w:hAnsiTheme="majorBidi" w:cstheme="majorBidi"/>
          <w:iCs/>
          <w:sz w:val="24"/>
          <w:szCs w:val="24"/>
        </w:rPr>
        <w:t>objektyvios</w:t>
      </w:r>
      <w:r w:rsidR="00754963" w:rsidRPr="00162EB2">
        <w:rPr>
          <w:rFonts w:asciiTheme="majorBidi" w:hAnsiTheme="majorBidi" w:cstheme="majorBidi"/>
          <w:iCs/>
          <w:sz w:val="24"/>
          <w:szCs w:val="24"/>
        </w:rPr>
        <w:t xml:space="preserve"> būtinybės </w:t>
      </w:r>
      <w:r w:rsidR="00754963">
        <w:rPr>
          <w:rFonts w:asciiTheme="majorBidi" w:hAnsiTheme="majorBidi" w:cstheme="majorBidi"/>
          <w:iCs/>
          <w:sz w:val="24"/>
          <w:szCs w:val="24"/>
        </w:rPr>
        <w:t xml:space="preserve">perpakuoti vaistinį preparatą </w:t>
      </w:r>
      <w:r w:rsidR="00754963" w:rsidRPr="00162EB2">
        <w:rPr>
          <w:rFonts w:asciiTheme="majorBidi" w:hAnsiTheme="majorBidi" w:cstheme="majorBidi"/>
          <w:iCs/>
          <w:sz w:val="24"/>
          <w:szCs w:val="24"/>
        </w:rPr>
        <w:t xml:space="preserve">sąlyga nėra įvykdyta, jeigu prekės perpakavimas paaiškinamas tik paralelinio importuotojo siekiu gauti komercinę naudą (ESTT 1999 m. spalio 12 d. </w:t>
      </w:r>
      <w:proofErr w:type="spellStart"/>
      <w:r w:rsidR="00754963" w:rsidRPr="00162EB2">
        <w:rPr>
          <w:rFonts w:asciiTheme="majorBidi" w:hAnsiTheme="majorBidi" w:cstheme="majorBidi"/>
          <w:iCs/>
          <w:sz w:val="24"/>
          <w:szCs w:val="24"/>
        </w:rPr>
        <w:t>prejudicini</w:t>
      </w:r>
      <w:r w:rsidR="00405541">
        <w:rPr>
          <w:rFonts w:asciiTheme="majorBidi" w:hAnsiTheme="majorBidi" w:cstheme="majorBidi"/>
          <w:iCs/>
          <w:sz w:val="24"/>
          <w:szCs w:val="24"/>
        </w:rPr>
        <w:t>s</w:t>
      </w:r>
      <w:proofErr w:type="spellEnd"/>
      <w:r w:rsidR="00754963" w:rsidRPr="00162EB2">
        <w:rPr>
          <w:rFonts w:asciiTheme="majorBidi" w:hAnsiTheme="majorBidi" w:cstheme="majorBidi"/>
          <w:iCs/>
          <w:sz w:val="24"/>
          <w:szCs w:val="24"/>
        </w:rPr>
        <w:t xml:space="preserve"> sprendim</w:t>
      </w:r>
      <w:r w:rsidR="00405541">
        <w:rPr>
          <w:rFonts w:asciiTheme="majorBidi" w:hAnsiTheme="majorBidi" w:cstheme="majorBidi"/>
          <w:iCs/>
          <w:sz w:val="24"/>
          <w:szCs w:val="24"/>
        </w:rPr>
        <w:t>as</w:t>
      </w:r>
      <w:r w:rsidR="00754963" w:rsidRPr="00162EB2">
        <w:rPr>
          <w:rFonts w:asciiTheme="majorBidi" w:hAnsiTheme="majorBidi" w:cstheme="majorBidi"/>
          <w:iCs/>
          <w:sz w:val="24"/>
          <w:szCs w:val="24"/>
        </w:rPr>
        <w:t xml:space="preserve"> byloje </w:t>
      </w:r>
      <w:proofErr w:type="spellStart"/>
      <w:r w:rsidR="00754963" w:rsidRPr="00162EB2">
        <w:rPr>
          <w:rFonts w:asciiTheme="majorBidi" w:hAnsiTheme="majorBidi" w:cstheme="majorBidi"/>
          <w:i/>
          <w:sz w:val="24"/>
          <w:szCs w:val="24"/>
        </w:rPr>
        <w:t>Upjohn</w:t>
      </w:r>
      <w:proofErr w:type="spellEnd"/>
      <w:r w:rsidR="00754963" w:rsidRPr="00162EB2">
        <w:rPr>
          <w:rFonts w:asciiTheme="majorBidi" w:hAnsiTheme="majorBidi" w:cstheme="majorBidi"/>
          <w:iCs/>
          <w:sz w:val="24"/>
          <w:szCs w:val="24"/>
        </w:rPr>
        <w:t>, C‑379/97</w:t>
      </w:r>
      <w:r w:rsidR="00FD2A58">
        <w:rPr>
          <w:rFonts w:asciiTheme="majorBidi" w:hAnsiTheme="majorBidi" w:cstheme="majorBidi"/>
          <w:iCs/>
          <w:sz w:val="24"/>
          <w:szCs w:val="24"/>
        </w:rPr>
        <w:t>,</w:t>
      </w:r>
      <w:r w:rsidR="00754963" w:rsidRPr="00162EB2">
        <w:rPr>
          <w:rFonts w:asciiTheme="majorBidi" w:hAnsiTheme="majorBidi" w:cstheme="majorBidi"/>
          <w:iCs/>
          <w:sz w:val="24"/>
          <w:szCs w:val="24"/>
        </w:rPr>
        <w:t xml:space="preserve"> 44 punktas</w:t>
      </w:r>
      <w:r w:rsidR="00405541">
        <w:rPr>
          <w:rFonts w:asciiTheme="majorBidi" w:hAnsiTheme="majorBidi" w:cstheme="majorBidi"/>
          <w:iCs/>
          <w:sz w:val="24"/>
          <w:szCs w:val="24"/>
        </w:rPr>
        <w:t>;</w:t>
      </w:r>
      <w:r w:rsidR="00754963" w:rsidRPr="00162EB2">
        <w:rPr>
          <w:rFonts w:asciiTheme="majorBidi" w:hAnsiTheme="majorBidi" w:cstheme="majorBidi"/>
          <w:iCs/>
          <w:sz w:val="24"/>
          <w:szCs w:val="24"/>
        </w:rPr>
        <w:t xml:space="preserve"> 2022 m. lapkričio 17 d. </w:t>
      </w:r>
      <w:proofErr w:type="spellStart"/>
      <w:r w:rsidR="00754963" w:rsidRPr="00162EB2">
        <w:rPr>
          <w:rFonts w:asciiTheme="majorBidi" w:hAnsiTheme="majorBidi" w:cstheme="majorBidi"/>
          <w:iCs/>
          <w:sz w:val="24"/>
          <w:szCs w:val="24"/>
        </w:rPr>
        <w:lastRenderedPageBreak/>
        <w:t>prejudicini</w:t>
      </w:r>
      <w:r w:rsidR="00405541">
        <w:rPr>
          <w:rFonts w:asciiTheme="majorBidi" w:hAnsiTheme="majorBidi" w:cstheme="majorBidi"/>
          <w:iCs/>
          <w:sz w:val="24"/>
          <w:szCs w:val="24"/>
        </w:rPr>
        <w:t>s</w:t>
      </w:r>
      <w:proofErr w:type="spellEnd"/>
      <w:r w:rsidR="00754963" w:rsidRPr="00162EB2">
        <w:rPr>
          <w:rFonts w:asciiTheme="majorBidi" w:hAnsiTheme="majorBidi" w:cstheme="majorBidi"/>
          <w:iCs/>
          <w:sz w:val="24"/>
          <w:szCs w:val="24"/>
        </w:rPr>
        <w:t xml:space="preserve"> sprendim</w:t>
      </w:r>
      <w:r w:rsidR="00405541">
        <w:rPr>
          <w:rFonts w:asciiTheme="majorBidi" w:hAnsiTheme="majorBidi" w:cstheme="majorBidi"/>
          <w:iCs/>
          <w:sz w:val="24"/>
          <w:szCs w:val="24"/>
        </w:rPr>
        <w:t>as</w:t>
      </w:r>
      <w:r w:rsidR="00754963" w:rsidRPr="00162EB2">
        <w:rPr>
          <w:rFonts w:asciiTheme="majorBidi" w:hAnsiTheme="majorBidi" w:cstheme="majorBidi"/>
          <w:iCs/>
          <w:sz w:val="24"/>
          <w:szCs w:val="24"/>
        </w:rPr>
        <w:t xml:space="preserve"> sujungtose bylose </w:t>
      </w:r>
      <w:proofErr w:type="spellStart"/>
      <w:r w:rsidR="00754963" w:rsidRPr="00162EB2">
        <w:rPr>
          <w:rFonts w:asciiTheme="majorBidi" w:hAnsiTheme="majorBidi" w:cstheme="majorBidi"/>
          <w:i/>
          <w:sz w:val="24"/>
          <w:szCs w:val="24"/>
        </w:rPr>
        <w:t>Impexeco</w:t>
      </w:r>
      <w:proofErr w:type="spellEnd"/>
      <w:r w:rsidR="00754963" w:rsidRPr="00162EB2">
        <w:rPr>
          <w:rFonts w:asciiTheme="majorBidi" w:hAnsiTheme="majorBidi" w:cstheme="majorBidi"/>
          <w:i/>
          <w:sz w:val="24"/>
          <w:szCs w:val="24"/>
        </w:rPr>
        <w:t xml:space="preserve"> NV </w:t>
      </w:r>
      <w:r w:rsidR="00754963">
        <w:rPr>
          <w:rFonts w:asciiTheme="majorBidi" w:hAnsiTheme="majorBidi" w:cstheme="majorBidi"/>
          <w:i/>
          <w:sz w:val="24"/>
          <w:szCs w:val="24"/>
        </w:rPr>
        <w:t>prieš</w:t>
      </w:r>
      <w:r w:rsidR="00754963" w:rsidRPr="00162EB2">
        <w:rPr>
          <w:rFonts w:asciiTheme="majorBidi" w:hAnsiTheme="majorBidi" w:cstheme="majorBidi"/>
          <w:i/>
          <w:sz w:val="24"/>
          <w:szCs w:val="24"/>
        </w:rPr>
        <w:t xml:space="preserve"> </w:t>
      </w:r>
      <w:proofErr w:type="spellStart"/>
      <w:r w:rsidR="00754963" w:rsidRPr="00162EB2">
        <w:rPr>
          <w:rFonts w:asciiTheme="majorBidi" w:hAnsiTheme="majorBidi" w:cstheme="majorBidi"/>
          <w:i/>
          <w:sz w:val="24"/>
          <w:szCs w:val="24"/>
        </w:rPr>
        <w:t>Novartis</w:t>
      </w:r>
      <w:proofErr w:type="spellEnd"/>
      <w:r w:rsidR="00754963" w:rsidRPr="00162EB2">
        <w:rPr>
          <w:rFonts w:asciiTheme="majorBidi" w:hAnsiTheme="majorBidi" w:cstheme="majorBidi"/>
          <w:i/>
          <w:sz w:val="24"/>
          <w:szCs w:val="24"/>
        </w:rPr>
        <w:t xml:space="preserve"> AG ir kiti</w:t>
      </w:r>
      <w:r w:rsidR="00754963" w:rsidRPr="00162EB2">
        <w:rPr>
          <w:rFonts w:asciiTheme="majorBidi" w:hAnsiTheme="majorBidi" w:cstheme="majorBidi"/>
          <w:iCs/>
          <w:sz w:val="24"/>
          <w:szCs w:val="24"/>
        </w:rPr>
        <w:t>, C-253/20 ir C-254/20, 56 punktas</w:t>
      </w:r>
      <w:r w:rsidR="00405541">
        <w:rPr>
          <w:rFonts w:asciiTheme="majorBidi" w:hAnsiTheme="majorBidi" w:cstheme="majorBidi"/>
          <w:iCs/>
          <w:sz w:val="24"/>
          <w:szCs w:val="24"/>
        </w:rPr>
        <w:t>;</w:t>
      </w:r>
      <w:r w:rsidR="00754963" w:rsidRPr="00162EB2">
        <w:rPr>
          <w:rFonts w:asciiTheme="majorBidi" w:hAnsiTheme="majorBidi" w:cstheme="majorBidi"/>
          <w:iCs/>
          <w:sz w:val="24"/>
          <w:szCs w:val="24"/>
        </w:rPr>
        <w:t xml:space="preserve"> 2007 m. balandžio 26</w:t>
      </w:r>
      <w:r w:rsidR="006703CE">
        <w:rPr>
          <w:rFonts w:asciiTheme="majorBidi" w:hAnsiTheme="majorBidi" w:cstheme="majorBidi"/>
          <w:iCs/>
          <w:sz w:val="24"/>
          <w:szCs w:val="24"/>
        </w:rPr>
        <w:t> </w:t>
      </w:r>
      <w:r w:rsidR="00754963" w:rsidRPr="00162EB2">
        <w:rPr>
          <w:rFonts w:asciiTheme="majorBidi" w:hAnsiTheme="majorBidi" w:cstheme="majorBidi"/>
          <w:iCs/>
          <w:sz w:val="24"/>
          <w:szCs w:val="24"/>
        </w:rPr>
        <w:t xml:space="preserve">d. </w:t>
      </w:r>
      <w:proofErr w:type="spellStart"/>
      <w:r w:rsidR="00754963" w:rsidRPr="00162EB2">
        <w:rPr>
          <w:rFonts w:asciiTheme="majorBidi" w:hAnsiTheme="majorBidi" w:cstheme="majorBidi"/>
          <w:iCs/>
          <w:sz w:val="24"/>
          <w:szCs w:val="24"/>
        </w:rPr>
        <w:t>prejudicini</w:t>
      </w:r>
      <w:r w:rsidR="00405541">
        <w:rPr>
          <w:rFonts w:asciiTheme="majorBidi" w:hAnsiTheme="majorBidi" w:cstheme="majorBidi"/>
          <w:iCs/>
          <w:sz w:val="24"/>
          <w:szCs w:val="24"/>
        </w:rPr>
        <w:t>s</w:t>
      </w:r>
      <w:proofErr w:type="spellEnd"/>
      <w:r w:rsidR="00754963" w:rsidRPr="00162EB2">
        <w:rPr>
          <w:rFonts w:asciiTheme="majorBidi" w:hAnsiTheme="majorBidi" w:cstheme="majorBidi"/>
          <w:iCs/>
          <w:sz w:val="24"/>
          <w:szCs w:val="24"/>
        </w:rPr>
        <w:t xml:space="preserve"> sprendim</w:t>
      </w:r>
      <w:r w:rsidR="00405541">
        <w:rPr>
          <w:rFonts w:asciiTheme="majorBidi" w:hAnsiTheme="majorBidi" w:cstheme="majorBidi"/>
          <w:iCs/>
          <w:sz w:val="24"/>
          <w:szCs w:val="24"/>
        </w:rPr>
        <w:t>as</w:t>
      </w:r>
      <w:r w:rsidR="00754963" w:rsidRPr="00162EB2">
        <w:rPr>
          <w:rFonts w:asciiTheme="majorBidi" w:hAnsiTheme="majorBidi" w:cstheme="majorBidi"/>
          <w:iCs/>
          <w:sz w:val="24"/>
          <w:szCs w:val="24"/>
        </w:rPr>
        <w:t xml:space="preserve"> byloje </w:t>
      </w:r>
      <w:proofErr w:type="spellStart"/>
      <w:r w:rsidR="00754963" w:rsidRPr="00162EB2">
        <w:rPr>
          <w:rFonts w:asciiTheme="majorBidi" w:hAnsiTheme="majorBidi" w:cstheme="majorBidi"/>
          <w:i/>
          <w:sz w:val="24"/>
          <w:szCs w:val="24"/>
        </w:rPr>
        <w:t>Boehringer</w:t>
      </w:r>
      <w:proofErr w:type="spellEnd"/>
      <w:r w:rsidR="00754963" w:rsidRPr="00162EB2">
        <w:rPr>
          <w:rFonts w:asciiTheme="majorBidi" w:hAnsiTheme="majorBidi" w:cstheme="majorBidi"/>
          <w:i/>
          <w:sz w:val="24"/>
          <w:szCs w:val="24"/>
        </w:rPr>
        <w:t xml:space="preserve"> </w:t>
      </w:r>
      <w:proofErr w:type="spellStart"/>
      <w:r w:rsidR="00754963" w:rsidRPr="00162EB2">
        <w:rPr>
          <w:rFonts w:asciiTheme="majorBidi" w:hAnsiTheme="majorBidi" w:cstheme="majorBidi"/>
          <w:i/>
          <w:sz w:val="24"/>
          <w:szCs w:val="24"/>
        </w:rPr>
        <w:t>Ingelheim</w:t>
      </w:r>
      <w:proofErr w:type="spellEnd"/>
      <w:r w:rsidR="00754963" w:rsidRPr="00162EB2">
        <w:rPr>
          <w:rFonts w:asciiTheme="majorBidi" w:hAnsiTheme="majorBidi" w:cstheme="majorBidi"/>
          <w:i/>
          <w:sz w:val="24"/>
          <w:szCs w:val="24"/>
        </w:rPr>
        <w:t xml:space="preserve"> KG ir kiti </w:t>
      </w:r>
      <w:r w:rsidR="00754963">
        <w:rPr>
          <w:rFonts w:asciiTheme="majorBidi" w:hAnsiTheme="majorBidi" w:cstheme="majorBidi"/>
          <w:i/>
          <w:sz w:val="24"/>
          <w:szCs w:val="24"/>
        </w:rPr>
        <w:t>prieš</w:t>
      </w:r>
      <w:r w:rsidR="00754963" w:rsidRPr="00162EB2">
        <w:rPr>
          <w:rFonts w:asciiTheme="majorBidi" w:hAnsiTheme="majorBidi" w:cstheme="majorBidi"/>
          <w:i/>
          <w:sz w:val="24"/>
          <w:szCs w:val="24"/>
        </w:rPr>
        <w:t xml:space="preserve"> </w:t>
      </w:r>
      <w:proofErr w:type="spellStart"/>
      <w:r w:rsidR="00754963" w:rsidRPr="00162EB2">
        <w:rPr>
          <w:rFonts w:asciiTheme="majorBidi" w:hAnsiTheme="majorBidi" w:cstheme="majorBidi"/>
          <w:i/>
          <w:sz w:val="24"/>
          <w:szCs w:val="24"/>
        </w:rPr>
        <w:t>Swingward</w:t>
      </w:r>
      <w:proofErr w:type="spellEnd"/>
      <w:r w:rsidR="00754963" w:rsidRPr="00162EB2">
        <w:rPr>
          <w:rFonts w:asciiTheme="majorBidi" w:hAnsiTheme="majorBidi" w:cstheme="majorBidi"/>
          <w:i/>
          <w:sz w:val="24"/>
          <w:szCs w:val="24"/>
        </w:rPr>
        <w:t xml:space="preserve"> </w:t>
      </w:r>
      <w:proofErr w:type="spellStart"/>
      <w:r w:rsidR="00754963" w:rsidRPr="00162EB2">
        <w:rPr>
          <w:rFonts w:asciiTheme="majorBidi" w:hAnsiTheme="majorBidi" w:cstheme="majorBidi"/>
          <w:i/>
          <w:sz w:val="24"/>
          <w:szCs w:val="24"/>
        </w:rPr>
        <w:t>Ltd</w:t>
      </w:r>
      <w:proofErr w:type="spellEnd"/>
      <w:r w:rsidR="00754963" w:rsidRPr="00162EB2">
        <w:rPr>
          <w:rFonts w:asciiTheme="majorBidi" w:hAnsiTheme="majorBidi" w:cstheme="majorBidi"/>
          <w:i/>
          <w:sz w:val="24"/>
          <w:szCs w:val="24"/>
        </w:rPr>
        <w:t xml:space="preserve"> ir kiti</w:t>
      </w:r>
      <w:r w:rsidR="00754963" w:rsidRPr="00162EB2">
        <w:rPr>
          <w:rFonts w:asciiTheme="majorBidi" w:hAnsiTheme="majorBidi" w:cstheme="majorBidi"/>
          <w:iCs/>
          <w:sz w:val="24"/>
          <w:szCs w:val="24"/>
        </w:rPr>
        <w:t>, C-348/04, 37 punktas)</w:t>
      </w:r>
      <w:r w:rsidR="00FD2A58">
        <w:rPr>
          <w:rFonts w:asciiTheme="majorBidi" w:hAnsiTheme="majorBidi" w:cstheme="majorBidi"/>
          <w:iCs/>
          <w:sz w:val="24"/>
          <w:szCs w:val="24"/>
        </w:rPr>
        <w:t>,</w:t>
      </w:r>
      <w:r w:rsidR="00754963" w:rsidRPr="00162EB2">
        <w:rPr>
          <w:rFonts w:asciiTheme="majorBidi" w:hAnsiTheme="majorBidi" w:cstheme="majorBidi"/>
          <w:iCs/>
          <w:sz w:val="24"/>
          <w:szCs w:val="24"/>
        </w:rPr>
        <w:t xml:space="preserve"> </w:t>
      </w:r>
      <w:r w:rsidR="00FD2A58">
        <w:rPr>
          <w:rFonts w:asciiTheme="majorBidi" w:hAnsiTheme="majorBidi" w:cstheme="majorBidi"/>
          <w:iCs/>
          <w:sz w:val="24"/>
          <w:szCs w:val="24"/>
        </w:rPr>
        <w:t>p</w:t>
      </w:r>
      <w:r w:rsidR="00754963" w:rsidRPr="00162EB2">
        <w:rPr>
          <w:rFonts w:asciiTheme="majorBidi" w:hAnsiTheme="majorBidi" w:cstheme="majorBidi"/>
          <w:iCs/>
          <w:sz w:val="24"/>
          <w:szCs w:val="24"/>
        </w:rPr>
        <w:t>avyzdžiui, kai ūkio subjektas nori pasinaudoti vaisto prekių ženklo reputacija arba priskirti prekę prie pelningesnių prekių kategorijos (ESTT 2022 m. lapkričio 17</w:t>
      </w:r>
      <w:r w:rsidR="00405541">
        <w:rPr>
          <w:rFonts w:asciiTheme="majorBidi" w:hAnsiTheme="majorBidi" w:cstheme="majorBidi"/>
          <w:iCs/>
          <w:sz w:val="24"/>
          <w:szCs w:val="24"/>
        </w:rPr>
        <w:t> </w:t>
      </w:r>
      <w:r w:rsidR="00754963" w:rsidRPr="00162EB2">
        <w:rPr>
          <w:rFonts w:asciiTheme="majorBidi" w:hAnsiTheme="majorBidi" w:cstheme="majorBidi"/>
          <w:iCs/>
          <w:sz w:val="24"/>
          <w:szCs w:val="24"/>
        </w:rPr>
        <w:t xml:space="preserve">d. </w:t>
      </w:r>
      <w:proofErr w:type="spellStart"/>
      <w:r w:rsidR="00754963" w:rsidRPr="00162EB2">
        <w:rPr>
          <w:rFonts w:asciiTheme="majorBidi" w:hAnsiTheme="majorBidi" w:cstheme="majorBidi"/>
          <w:iCs/>
          <w:sz w:val="24"/>
          <w:szCs w:val="24"/>
        </w:rPr>
        <w:t>prejudicini</w:t>
      </w:r>
      <w:r w:rsidR="00405541">
        <w:rPr>
          <w:rFonts w:asciiTheme="majorBidi" w:hAnsiTheme="majorBidi" w:cstheme="majorBidi"/>
          <w:iCs/>
          <w:sz w:val="24"/>
          <w:szCs w:val="24"/>
        </w:rPr>
        <w:t>s</w:t>
      </w:r>
      <w:proofErr w:type="spellEnd"/>
      <w:r w:rsidR="00754963" w:rsidRPr="00162EB2">
        <w:rPr>
          <w:rFonts w:asciiTheme="majorBidi" w:hAnsiTheme="majorBidi" w:cstheme="majorBidi"/>
          <w:iCs/>
          <w:sz w:val="24"/>
          <w:szCs w:val="24"/>
        </w:rPr>
        <w:t xml:space="preserve"> sprendim</w:t>
      </w:r>
      <w:r w:rsidR="00405541">
        <w:rPr>
          <w:rFonts w:asciiTheme="majorBidi" w:hAnsiTheme="majorBidi" w:cstheme="majorBidi"/>
          <w:iCs/>
          <w:sz w:val="24"/>
          <w:szCs w:val="24"/>
        </w:rPr>
        <w:t>as</w:t>
      </w:r>
      <w:r w:rsidR="00754963" w:rsidRPr="00162EB2">
        <w:rPr>
          <w:rFonts w:asciiTheme="majorBidi" w:hAnsiTheme="majorBidi" w:cstheme="majorBidi"/>
          <w:iCs/>
          <w:sz w:val="24"/>
          <w:szCs w:val="24"/>
        </w:rPr>
        <w:t xml:space="preserve"> sujungtose bylose </w:t>
      </w:r>
      <w:proofErr w:type="spellStart"/>
      <w:r w:rsidR="00754963" w:rsidRPr="00162EB2">
        <w:rPr>
          <w:rFonts w:asciiTheme="majorBidi" w:hAnsiTheme="majorBidi" w:cstheme="majorBidi"/>
          <w:i/>
          <w:sz w:val="24"/>
          <w:szCs w:val="24"/>
        </w:rPr>
        <w:t>Impexeco</w:t>
      </w:r>
      <w:proofErr w:type="spellEnd"/>
      <w:r w:rsidR="00754963" w:rsidRPr="00162EB2">
        <w:rPr>
          <w:rFonts w:asciiTheme="majorBidi" w:hAnsiTheme="majorBidi" w:cstheme="majorBidi"/>
          <w:i/>
          <w:sz w:val="24"/>
          <w:szCs w:val="24"/>
        </w:rPr>
        <w:t xml:space="preserve"> NV</w:t>
      </w:r>
      <w:r w:rsidR="00754963">
        <w:rPr>
          <w:rFonts w:asciiTheme="majorBidi" w:hAnsiTheme="majorBidi" w:cstheme="majorBidi"/>
          <w:i/>
          <w:sz w:val="24"/>
          <w:szCs w:val="24"/>
        </w:rPr>
        <w:t xml:space="preserve"> prieš</w:t>
      </w:r>
      <w:r w:rsidR="00754963" w:rsidRPr="00162EB2">
        <w:rPr>
          <w:rFonts w:asciiTheme="majorBidi" w:hAnsiTheme="majorBidi" w:cstheme="majorBidi"/>
          <w:i/>
          <w:sz w:val="24"/>
          <w:szCs w:val="24"/>
        </w:rPr>
        <w:t xml:space="preserve"> </w:t>
      </w:r>
      <w:proofErr w:type="spellStart"/>
      <w:r w:rsidR="00754963" w:rsidRPr="00162EB2">
        <w:rPr>
          <w:rFonts w:asciiTheme="majorBidi" w:hAnsiTheme="majorBidi" w:cstheme="majorBidi"/>
          <w:i/>
          <w:sz w:val="24"/>
          <w:szCs w:val="24"/>
        </w:rPr>
        <w:t>Novartis</w:t>
      </w:r>
      <w:proofErr w:type="spellEnd"/>
      <w:r w:rsidR="00754963" w:rsidRPr="00162EB2">
        <w:rPr>
          <w:rFonts w:asciiTheme="majorBidi" w:hAnsiTheme="majorBidi" w:cstheme="majorBidi"/>
          <w:i/>
          <w:sz w:val="24"/>
          <w:szCs w:val="24"/>
        </w:rPr>
        <w:t xml:space="preserve"> AG ir kiti</w:t>
      </w:r>
      <w:r w:rsidR="00754963" w:rsidRPr="00162EB2">
        <w:rPr>
          <w:rFonts w:asciiTheme="majorBidi" w:hAnsiTheme="majorBidi" w:cstheme="majorBidi"/>
          <w:iCs/>
          <w:sz w:val="24"/>
          <w:szCs w:val="24"/>
        </w:rPr>
        <w:t>, C-253/20 ir C-254/20, 73 punktas).</w:t>
      </w:r>
    </w:p>
    <w:p w14:paraId="28D5B0BC" w14:textId="7E2D33E6" w:rsidR="00754963" w:rsidRPr="00796A39" w:rsidRDefault="00754963" w:rsidP="00754963">
      <w:pPr>
        <w:pStyle w:val="ListParagraph"/>
        <w:numPr>
          <w:ilvl w:val="0"/>
          <w:numId w:val="3"/>
        </w:numPr>
        <w:spacing w:before="120" w:after="120" w:line="240" w:lineRule="auto"/>
        <w:contextualSpacing w:val="0"/>
        <w:jc w:val="both"/>
        <w:rPr>
          <w:rFonts w:ascii="Times New Roman" w:hAnsi="Times New Roman"/>
          <w:iCs/>
          <w:sz w:val="24"/>
          <w:szCs w:val="24"/>
        </w:rPr>
      </w:pPr>
      <w:r w:rsidRPr="00796A39">
        <w:rPr>
          <w:rFonts w:asciiTheme="majorBidi" w:hAnsiTheme="majorBidi" w:cstheme="majorBidi"/>
          <w:iCs/>
          <w:sz w:val="24"/>
          <w:szCs w:val="24"/>
        </w:rPr>
        <w:t>Iš apeliacinės instancijos teismo skundžiamo sprendimo motyvų galima matyti, kad nagrinėjamu atveju apeliacinės instancijos teismas vertino tiek teisines, tiek praktines kliūtis (pacientų pasipriešinimą) atsakovei veiksmingai patekti į Lietuvos rink</w:t>
      </w:r>
      <w:r>
        <w:rPr>
          <w:rFonts w:asciiTheme="majorBidi" w:hAnsiTheme="majorBidi" w:cstheme="majorBidi"/>
          <w:iCs/>
          <w:sz w:val="24"/>
          <w:szCs w:val="24"/>
        </w:rPr>
        <w:t>ą</w:t>
      </w:r>
      <w:r w:rsidRPr="00796A39">
        <w:rPr>
          <w:rFonts w:asciiTheme="majorBidi" w:hAnsiTheme="majorBidi" w:cstheme="majorBidi"/>
          <w:iCs/>
          <w:sz w:val="24"/>
          <w:szCs w:val="24"/>
        </w:rPr>
        <w:t xml:space="preserve"> su lygiagrečiai iš Vengrijos importuojamu vaistiniu preparatu, nors skundžiamame sprendime buvo padaręs išvadą, kad lygiagretaus importo atveju perpakavimas būtų galimas tik tada, jei prekiauti neperpakuotu produktu importo valstybėje narėje būtų draudžiama. Vis dėlto apeliacinės instancijos teismas padarė išvadą, kad atsakovės į bylą pateikti </w:t>
      </w:r>
      <w:r w:rsidRPr="00796A39">
        <w:rPr>
          <w:rFonts w:ascii="Times New Roman" w:hAnsi="Times New Roman"/>
          <w:sz w:val="24"/>
          <w:szCs w:val="24"/>
          <w:lang w:eastAsia="en-GB"/>
        </w:rPr>
        <w:t xml:space="preserve">įrodymai nepakankami vaistinių preparatų perpakavimo ir pervadinimo objektyviam poreikiui pagrįsti, nes jie nesudaro pagrindo vienareikšmei išvadai, jog atsakovė į rinką galėtų patekti tik perpakavusi vaistinius preparatus, nes pacientai nėra linkę rinktis lygiagrečiai importuojamo vaisto. Apeliacinės instancijos teismas nepripažino tinkamais VLK atsakymų, kuriuos </w:t>
      </w:r>
      <w:r>
        <w:rPr>
          <w:rFonts w:ascii="Times New Roman" w:hAnsi="Times New Roman"/>
          <w:sz w:val="24"/>
          <w:szCs w:val="24"/>
          <w:lang w:eastAsia="en-GB"/>
        </w:rPr>
        <w:t>atsakovė</w:t>
      </w:r>
      <w:r w:rsidRPr="00796A39">
        <w:rPr>
          <w:rFonts w:ascii="Times New Roman" w:hAnsi="Times New Roman"/>
          <w:sz w:val="24"/>
          <w:szCs w:val="24"/>
          <w:lang w:eastAsia="en-GB"/>
        </w:rPr>
        <w:t xml:space="preserve"> pateikė vadovaudamasi </w:t>
      </w:r>
      <w:r>
        <w:rPr>
          <w:rFonts w:ascii="Times New Roman" w:hAnsi="Times New Roman"/>
          <w:sz w:val="24"/>
          <w:szCs w:val="24"/>
          <w:lang w:eastAsia="en-GB"/>
        </w:rPr>
        <w:t>VLK</w:t>
      </w:r>
      <w:r w:rsidRPr="00796A39">
        <w:rPr>
          <w:rFonts w:ascii="Times New Roman" w:hAnsi="Times New Roman"/>
          <w:sz w:val="24"/>
          <w:szCs w:val="24"/>
          <w:lang w:eastAsia="en-GB"/>
        </w:rPr>
        <w:t xml:space="preserve"> užsakymu atliktu </w:t>
      </w:r>
      <w:r w:rsidR="00FD2A58">
        <w:rPr>
          <w:rFonts w:ascii="Times New Roman" w:hAnsi="Times New Roman"/>
          <w:sz w:val="24"/>
          <w:szCs w:val="24"/>
          <w:lang w:eastAsia="en-GB"/>
        </w:rPr>
        <w:t>š</w:t>
      </w:r>
      <w:r w:rsidRPr="00796A39">
        <w:rPr>
          <w:rFonts w:ascii="Times New Roman" w:hAnsi="Times New Roman"/>
          <w:sz w:val="24"/>
          <w:szCs w:val="24"/>
          <w:lang w:eastAsia="en-GB"/>
        </w:rPr>
        <w:t>alies gyventojų informuotumo ir pasitikėjimo PSD sistema bei ligonių kasomis sociologini</w:t>
      </w:r>
      <w:r w:rsidR="00FD2A58">
        <w:rPr>
          <w:rFonts w:ascii="Times New Roman" w:hAnsi="Times New Roman"/>
          <w:sz w:val="24"/>
          <w:szCs w:val="24"/>
          <w:lang w:eastAsia="en-GB"/>
        </w:rPr>
        <w:t>u</w:t>
      </w:r>
      <w:r w:rsidRPr="00796A39">
        <w:rPr>
          <w:rFonts w:ascii="Times New Roman" w:hAnsi="Times New Roman"/>
          <w:sz w:val="24"/>
          <w:szCs w:val="24"/>
          <w:lang w:eastAsia="en-GB"/>
        </w:rPr>
        <w:t xml:space="preserve"> tyrim</w:t>
      </w:r>
      <w:r w:rsidR="00FD2A58">
        <w:rPr>
          <w:rFonts w:ascii="Times New Roman" w:hAnsi="Times New Roman"/>
          <w:sz w:val="24"/>
          <w:szCs w:val="24"/>
          <w:lang w:eastAsia="en-GB"/>
        </w:rPr>
        <w:t>u</w:t>
      </w:r>
      <w:r w:rsidRPr="00796A39">
        <w:rPr>
          <w:rFonts w:ascii="Times New Roman" w:hAnsi="Times New Roman"/>
          <w:sz w:val="24"/>
          <w:szCs w:val="24"/>
          <w:lang w:eastAsia="en-GB"/>
        </w:rPr>
        <w:t>, kadangi atsakydam</w:t>
      </w:r>
      <w:r w:rsidR="00FD2A58">
        <w:rPr>
          <w:rFonts w:ascii="Times New Roman" w:hAnsi="Times New Roman"/>
          <w:sz w:val="24"/>
          <w:szCs w:val="24"/>
          <w:lang w:eastAsia="en-GB"/>
        </w:rPr>
        <w:t>os</w:t>
      </w:r>
      <w:r w:rsidRPr="00796A39">
        <w:rPr>
          <w:rFonts w:ascii="Times New Roman" w:hAnsi="Times New Roman"/>
          <w:sz w:val="24"/>
          <w:szCs w:val="24"/>
          <w:lang w:eastAsia="en-GB"/>
        </w:rPr>
        <w:t xml:space="preserve"> į 5 klausimą VLK nurodė, jog tyrimo metu nebuvo renkami duomenys, kokį vaistinį preparatą vartotojai pasirinktų, jeigu priemoka už lygiagrečiai importuojamą vaistą būtų tokia pati kaip už referencinį vaistą.</w:t>
      </w:r>
    </w:p>
    <w:p w14:paraId="28E9EEA5" w14:textId="2B0B7571" w:rsidR="00754963" w:rsidRPr="00B54D00"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B54D00">
        <w:rPr>
          <w:rFonts w:asciiTheme="majorBidi" w:hAnsiTheme="majorBidi" w:cstheme="majorBidi"/>
          <w:sz w:val="24"/>
          <w:szCs w:val="24"/>
          <w:lang w:eastAsia="en-GB"/>
        </w:rPr>
        <w:t xml:space="preserve">Teisėjų kolegija pažymi, kad nors pagal ESTT praktiką būtent lygiagrečiam importuotojui tenka pareiga įrodyti visų šios nutarties </w:t>
      </w:r>
      <w:r w:rsidRPr="00235143">
        <w:rPr>
          <w:rFonts w:asciiTheme="majorBidi" w:hAnsiTheme="majorBidi" w:cstheme="majorBidi"/>
          <w:sz w:val="24"/>
          <w:szCs w:val="24"/>
          <w:lang w:eastAsia="en-GB"/>
        </w:rPr>
        <w:t>32</w:t>
      </w:r>
      <w:r w:rsidRPr="00B54D00">
        <w:rPr>
          <w:rFonts w:asciiTheme="majorBidi" w:hAnsiTheme="majorBidi" w:cstheme="majorBidi"/>
          <w:sz w:val="24"/>
          <w:szCs w:val="24"/>
          <w:lang w:eastAsia="en-GB"/>
        </w:rPr>
        <w:t xml:space="preserve"> punkte nurodytų sąlygų, k</w:t>
      </w:r>
      <w:r w:rsidR="00933A0C">
        <w:rPr>
          <w:rFonts w:asciiTheme="majorBidi" w:hAnsiTheme="majorBidi" w:cstheme="majorBidi"/>
          <w:sz w:val="24"/>
          <w:szCs w:val="24"/>
          <w:lang w:eastAsia="en-GB"/>
        </w:rPr>
        <w:t>ai</w:t>
      </w:r>
      <w:r w:rsidRPr="00B54D00">
        <w:rPr>
          <w:rFonts w:asciiTheme="majorBidi" w:hAnsiTheme="majorBidi" w:cstheme="majorBidi"/>
          <w:sz w:val="24"/>
          <w:szCs w:val="24"/>
          <w:lang w:eastAsia="en-GB"/>
        </w:rPr>
        <w:t xml:space="preserve"> galimas lygiagrečiai importuojamo vaistinio preparato perpakavimas ir perženklinimas, buvimą, įskaitant ir tai, ar </w:t>
      </w:r>
      <w:r w:rsidRPr="00B54D00">
        <w:rPr>
          <w:rFonts w:asciiTheme="majorBidi" w:hAnsiTheme="majorBidi" w:cstheme="majorBidi"/>
          <w:iCs/>
          <w:sz w:val="24"/>
          <w:szCs w:val="24"/>
        </w:rPr>
        <w:t>prekių ženklo savininko naudojimasis prekių ženklo suteiktomis teisėmis tam, kad užprotestuotų prekybą perpakuotomis šiuo prekių ženklu pažymėtomis prekėmis, prisidėtų prie dirbtinio valstybių narių rinkų atskyrimo</w:t>
      </w:r>
      <w:r w:rsidR="00FD2A58">
        <w:rPr>
          <w:rFonts w:asciiTheme="majorBidi" w:hAnsiTheme="majorBidi" w:cstheme="majorBidi"/>
          <w:iCs/>
          <w:sz w:val="24"/>
          <w:szCs w:val="24"/>
        </w:rPr>
        <w:t>,</w:t>
      </w:r>
      <w:r w:rsidRPr="00B54D00">
        <w:rPr>
          <w:rFonts w:asciiTheme="majorBidi" w:hAnsiTheme="majorBidi" w:cstheme="majorBidi"/>
          <w:iCs/>
          <w:sz w:val="24"/>
          <w:szCs w:val="24"/>
        </w:rPr>
        <w:t xml:space="preserve"> bei būtinumą lygiagrečiam importuotojui perpakuoti tą patį vaistinį preparatą, kuriuo prekės ženklo savininkas importo valstybėje prekiauja kitu pavadinimu</w:t>
      </w:r>
      <w:r w:rsidRPr="00B54D00">
        <w:rPr>
          <w:rFonts w:asciiTheme="majorBidi" w:hAnsiTheme="majorBidi" w:cstheme="majorBidi"/>
          <w:sz w:val="24"/>
          <w:szCs w:val="24"/>
          <w:lang w:eastAsia="en-GB"/>
        </w:rPr>
        <w:t xml:space="preserve"> (</w:t>
      </w:r>
      <w:r w:rsidRPr="00B54D00">
        <w:rPr>
          <w:rFonts w:asciiTheme="majorBidi" w:hAnsiTheme="majorBidi" w:cstheme="majorBidi"/>
          <w:iCs/>
          <w:sz w:val="24"/>
          <w:szCs w:val="24"/>
        </w:rPr>
        <w:t xml:space="preserve">ESTT 2007 m. balandžio 26 d. </w:t>
      </w:r>
      <w:proofErr w:type="spellStart"/>
      <w:r w:rsidRPr="00B54D00">
        <w:rPr>
          <w:rFonts w:asciiTheme="majorBidi" w:hAnsiTheme="majorBidi" w:cstheme="majorBidi"/>
          <w:iCs/>
          <w:sz w:val="24"/>
          <w:szCs w:val="24"/>
        </w:rPr>
        <w:t>prejudicini</w:t>
      </w:r>
      <w:r w:rsidR="00933A0C">
        <w:rPr>
          <w:rFonts w:asciiTheme="majorBidi" w:hAnsiTheme="majorBidi" w:cstheme="majorBidi"/>
          <w:iCs/>
          <w:sz w:val="24"/>
          <w:szCs w:val="24"/>
        </w:rPr>
        <w:t>s</w:t>
      </w:r>
      <w:proofErr w:type="spellEnd"/>
      <w:r w:rsidRPr="00B54D00">
        <w:rPr>
          <w:rFonts w:asciiTheme="majorBidi" w:hAnsiTheme="majorBidi" w:cstheme="majorBidi"/>
          <w:iCs/>
          <w:sz w:val="24"/>
          <w:szCs w:val="24"/>
        </w:rPr>
        <w:t xml:space="preserve"> sprendim</w:t>
      </w:r>
      <w:r w:rsidR="00933A0C">
        <w:rPr>
          <w:rFonts w:asciiTheme="majorBidi" w:hAnsiTheme="majorBidi" w:cstheme="majorBidi"/>
          <w:iCs/>
          <w:sz w:val="24"/>
          <w:szCs w:val="24"/>
        </w:rPr>
        <w:t>as</w:t>
      </w:r>
      <w:r w:rsidRPr="00B54D00">
        <w:rPr>
          <w:rFonts w:asciiTheme="majorBidi" w:hAnsiTheme="majorBidi" w:cstheme="majorBidi"/>
          <w:iCs/>
          <w:sz w:val="24"/>
          <w:szCs w:val="24"/>
        </w:rPr>
        <w:t xml:space="preserve"> byloje </w:t>
      </w:r>
      <w:proofErr w:type="spellStart"/>
      <w:r w:rsidRPr="00B54D00">
        <w:rPr>
          <w:rFonts w:asciiTheme="majorBidi" w:hAnsiTheme="majorBidi" w:cstheme="majorBidi"/>
          <w:i/>
          <w:sz w:val="24"/>
          <w:szCs w:val="24"/>
        </w:rPr>
        <w:t>Boehringer</w:t>
      </w:r>
      <w:proofErr w:type="spellEnd"/>
      <w:r w:rsidRPr="00B54D00">
        <w:rPr>
          <w:rFonts w:asciiTheme="majorBidi" w:hAnsiTheme="majorBidi" w:cstheme="majorBidi"/>
          <w:i/>
          <w:sz w:val="24"/>
          <w:szCs w:val="24"/>
        </w:rPr>
        <w:t xml:space="preserve"> </w:t>
      </w:r>
      <w:proofErr w:type="spellStart"/>
      <w:r w:rsidRPr="00B54D00">
        <w:rPr>
          <w:rFonts w:asciiTheme="majorBidi" w:hAnsiTheme="majorBidi" w:cstheme="majorBidi"/>
          <w:i/>
          <w:sz w:val="24"/>
          <w:szCs w:val="24"/>
        </w:rPr>
        <w:t>Ingelheim</w:t>
      </w:r>
      <w:proofErr w:type="spellEnd"/>
      <w:r w:rsidRPr="00B54D00">
        <w:rPr>
          <w:rFonts w:asciiTheme="majorBidi" w:hAnsiTheme="majorBidi" w:cstheme="majorBidi"/>
          <w:i/>
          <w:sz w:val="24"/>
          <w:szCs w:val="24"/>
        </w:rPr>
        <w:t xml:space="preserve"> ir kt.</w:t>
      </w:r>
      <w:r w:rsidRPr="00B54D00">
        <w:rPr>
          <w:rFonts w:asciiTheme="majorBidi" w:hAnsiTheme="majorBidi" w:cstheme="majorBidi"/>
          <w:iCs/>
          <w:sz w:val="24"/>
          <w:szCs w:val="24"/>
        </w:rPr>
        <w:t xml:space="preserve">, C‑348/04, </w:t>
      </w:r>
      <w:r w:rsidRPr="00235143">
        <w:rPr>
          <w:rFonts w:asciiTheme="majorBidi" w:hAnsiTheme="majorBidi" w:cstheme="majorBidi"/>
          <w:iCs/>
          <w:sz w:val="24"/>
          <w:szCs w:val="24"/>
        </w:rPr>
        <w:t>52</w:t>
      </w:r>
      <w:r w:rsidRPr="00B54D00">
        <w:rPr>
          <w:rFonts w:asciiTheme="majorBidi" w:hAnsiTheme="majorBidi" w:cstheme="majorBidi"/>
          <w:iCs/>
          <w:sz w:val="24"/>
          <w:szCs w:val="24"/>
        </w:rPr>
        <w:t xml:space="preserve"> punktas</w:t>
      </w:r>
      <w:r w:rsidRPr="00B54D00">
        <w:rPr>
          <w:rFonts w:asciiTheme="majorBidi" w:hAnsiTheme="majorBidi" w:cstheme="majorBidi"/>
          <w:sz w:val="24"/>
          <w:szCs w:val="24"/>
          <w:lang w:eastAsia="en-GB"/>
        </w:rPr>
        <w:t>), tokį ginčą nagrinėjantis teismas negali likti pasyvus</w:t>
      </w:r>
      <w:r>
        <w:rPr>
          <w:rFonts w:asciiTheme="majorBidi" w:hAnsiTheme="majorBidi" w:cstheme="majorBidi"/>
          <w:sz w:val="24"/>
          <w:szCs w:val="24"/>
          <w:lang w:eastAsia="en-GB"/>
        </w:rPr>
        <w:t xml:space="preserve"> įrodinėjimo procese</w:t>
      </w:r>
      <w:r w:rsidRPr="00B54D00">
        <w:rPr>
          <w:rFonts w:asciiTheme="majorBidi" w:hAnsiTheme="majorBidi" w:cstheme="majorBidi"/>
          <w:sz w:val="24"/>
          <w:szCs w:val="24"/>
          <w:lang w:eastAsia="en-GB"/>
        </w:rPr>
        <w:t>. Kaip minėta šios nutarties 40 punkte, šioje byloje kilęs ginčas, be kita ko, susijęs ir su konkurencijos teise, t. y. su galimu konkurencijos ribojimu</w:t>
      </w:r>
      <w:r>
        <w:rPr>
          <w:rFonts w:asciiTheme="majorBidi" w:hAnsiTheme="majorBidi" w:cstheme="majorBidi"/>
          <w:sz w:val="24"/>
          <w:szCs w:val="24"/>
          <w:lang w:eastAsia="en-GB"/>
        </w:rPr>
        <w:t xml:space="preserve"> vaistų rinkoje</w:t>
      </w:r>
      <w:r w:rsidRPr="00B54D00">
        <w:rPr>
          <w:rFonts w:asciiTheme="majorBidi" w:hAnsiTheme="majorBidi" w:cstheme="majorBidi"/>
          <w:sz w:val="24"/>
          <w:szCs w:val="24"/>
          <w:lang w:eastAsia="en-GB"/>
        </w:rPr>
        <w:t>.</w:t>
      </w:r>
    </w:p>
    <w:p w14:paraId="3174FB52" w14:textId="77777777" w:rsidR="00754963" w:rsidRPr="00B54D00"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B54D00">
        <w:rPr>
          <w:rFonts w:asciiTheme="majorBidi" w:hAnsiTheme="majorBidi" w:cstheme="majorBidi"/>
          <w:iCs/>
          <w:sz w:val="24"/>
          <w:szCs w:val="24"/>
        </w:rPr>
        <w:t>CPK 179 straipsnio 1 dalyje nustatyta, kad įrodymus pateikia šalys ir kiti dalyvaujantys byloje asmenys. Jeigu pateiktų įrodymų neužtenka, teismas gali pasiūlyti šalims ar kitiems byloje dalyvaujantiems asmenims pateikti papildomus įrodymus ir nustato terminą jiems pateikti. CPK 135 straipsnio 2 dalyje nustatyta, kad įrodymai, kuriais grindžiami ieškinio reikalavimai, pateikiami kartu su ieškiniu. Esant poreikiui jie gali būti renkami ir teikiami iki bylos pirmosios instancijos teisme nagrinėjimo iš esmės pabaigos (CPK 251 straipsnis).</w:t>
      </w:r>
    </w:p>
    <w:p w14:paraId="6FDA4849" w14:textId="7AA6E437" w:rsidR="00754963" w:rsidRPr="00B54D00"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B54D00">
        <w:rPr>
          <w:rFonts w:asciiTheme="majorBidi" w:hAnsiTheme="majorBidi" w:cstheme="majorBidi"/>
          <w:iCs/>
          <w:sz w:val="24"/>
          <w:szCs w:val="24"/>
        </w:rPr>
        <w:t>Kasacinis teismas yra išaiškinęs, kad nors įrodinėjimo pareiga, remiantis dispozityvumo ir rungimosi principais, tenka šalims, vis dėlto teismas, jeigu egzistuoja toks procesinis poreikis, turi ją patikslinti arba paskirstyti (CPK 225 straipsnio 1 punktas). CPK 8 straipsnyje nustatyta, kad teismas, bendradarbiaudamas su dalyvaujančiais byloje asmenimis, imasi priemonių, jog byla būtų tinkamai išnagrinėta; taigi teismas, likdamas nešališkas ir neutralus, nepažeisdamas dispozityvumo, rungimosi, šalių lygiateisiškumo ir kitų proceso principų, vadovauja procesui, vykdo CPK nustatytus procesinius veiksmus. Teismas bendrais procesiniais atvejais savo iniciatyva nerenka įrodymų, kita vertus, teismas, manydamas, kad bylai teisingai išspręsti neužtenka pateiktų įrodymų, gali pasiūlyti šalims pateikti papildomus įrodymus (CPK 179</w:t>
      </w:r>
      <w:r w:rsidR="006703CE">
        <w:rPr>
          <w:rFonts w:asciiTheme="majorBidi" w:hAnsiTheme="majorBidi" w:cstheme="majorBidi"/>
          <w:iCs/>
          <w:sz w:val="24"/>
          <w:szCs w:val="24"/>
        </w:rPr>
        <w:t> </w:t>
      </w:r>
      <w:r w:rsidRPr="00B54D00">
        <w:rPr>
          <w:rFonts w:asciiTheme="majorBidi" w:hAnsiTheme="majorBidi" w:cstheme="majorBidi"/>
          <w:iCs/>
          <w:sz w:val="24"/>
          <w:szCs w:val="24"/>
        </w:rPr>
        <w:t>straipsnio 1 dalis), spręsti dėl ekspertizės byloje paskyrimo CPK 212 straipsnio 1 dalies nustatyta tvarka (</w:t>
      </w:r>
      <w:r w:rsidR="00933A0C">
        <w:rPr>
          <w:rFonts w:asciiTheme="majorBidi" w:hAnsiTheme="majorBidi" w:cstheme="majorBidi"/>
          <w:iCs/>
          <w:sz w:val="24"/>
          <w:szCs w:val="24"/>
        </w:rPr>
        <w:t xml:space="preserve">žr. </w:t>
      </w:r>
      <w:r w:rsidRPr="00B54D00">
        <w:rPr>
          <w:rFonts w:asciiTheme="majorBidi" w:hAnsiTheme="majorBidi" w:cstheme="majorBidi"/>
          <w:iCs/>
          <w:sz w:val="24"/>
          <w:szCs w:val="24"/>
        </w:rPr>
        <w:t>Lietuvos Aukščiausiojo Teismo 2008 m. rugsėjo 29 d. nutartį civilinėje byloje Nr. 3K-3-436/2008; 2019 m. vasario 7 d. nutarties civilinėje byloje Nr. e3K-3-15-701/2019 22</w:t>
      </w:r>
      <w:r w:rsidR="006703CE">
        <w:rPr>
          <w:rFonts w:asciiTheme="majorBidi" w:hAnsiTheme="majorBidi" w:cstheme="majorBidi"/>
          <w:iCs/>
          <w:sz w:val="24"/>
          <w:szCs w:val="24"/>
        </w:rPr>
        <w:t> </w:t>
      </w:r>
      <w:r w:rsidRPr="00B54D00">
        <w:rPr>
          <w:rFonts w:asciiTheme="majorBidi" w:hAnsiTheme="majorBidi" w:cstheme="majorBidi"/>
          <w:iCs/>
          <w:sz w:val="24"/>
          <w:szCs w:val="24"/>
        </w:rPr>
        <w:t xml:space="preserve">punktą). Kilus abejonių dėl fakto buvimo (nebuvimo), teismas turėtų patikslinti </w:t>
      </w:r>
      <w:r w:rsidRPr="00B54D00">
        <w:rPr>
          <w:rFonts w:asciiTheme="majorBidi" w:hAnsiTheme="majorBidi" w:cstheme="majorBidi"/>
          <w:iCs/>
          <w:sz w:val="24"/>
          <w:szCs w:val="24"/>
        </w:rPr>
        <w:lastRenderedPageBreak/>
        <w:t>šalių naštą įrodinėti, įgyvendindamas išaiškinimo pareigą (CPK 159 straipsnis, 179 straipsnio 1</w:t>
      </w:r>
      <w:r w:rsidR="00933A0C">
        <w:rPr>
          <w:rFonts w:asciiTheme="majorBidi" w:hAnsiTheme="majorBidi" w:cstheme="majorBidi"/>
          <w:iCs/>
          <w:sz w:val="24"/>
          <w:szCs w:val="24"/>
        </w:rPr>
        <w:t> </w:t>
      </w:r>
      <w:r w:rsidRPr="00B54D00">
        <w:rPr>
          <w:rFonts w:asciiTheme="majorBidi" w:hAnsiTheme="majorBidi" w:cstheme="majorBidi"/>
          <w:iCs/>
          <w:sz w:val="24"/>
          <w:szCs w:val="24"/>
        </w:rPr>
        <w:t>dalis, 225</w:t>
      </w:r>
      <w:r w:rsidR="006703CE">
        <w:rPr>
          <w:rFonts w:asciiTheme="majorBidi" w:hAnsiTheme="majorBidi" w:cstheme="majorBidi"/>
          <w:iCs/>
          <w:sz w:val="24"/>
          <w:szCs w:val="24"/>
        </w:rPr>
        <w:t> </w:t>
      </w:r>
      <w:r w:rsidRPr="00B54D00">
        <w:rPr>
          <w:rFonts w:asciiTheme="majorBidi" w:hAnsiTheme="majorBidi" w:cstheme="majorBidi"/>
          <w:iCs/>
          <w:sz w:val="24"/>
          <w:szCs w:val="24"/>
        </w:rPr>
        <w:t>straipsnis) (Lietuvos Aukščiausiojo Teismo 2010 m. gegužės 10 d. nutartis civilinėje byloje Nr. 3K-3-206/2010; kt.).</w:t>
      </w:r>
    </w:p>
    <w:p w14:paraId="24140E02" w14:textId="77777777" w:rsidR="00754963" w:rsidRPr="00F32E0A"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E90F03">
        <w:rPr>
          <w:rFonts w:asciiTheme="majorBidi" w:hAnsiTheme="majorBidi" w:cstheme="majorBidi"/>
          <w:sz w:val="24"/>
          <w:szCs w:val="24"/>
          <w:lang w:eastAsia="en-GB"/>
        </w:rPr>
        <w:t>Pagal ESTT</w:t>
      </w:r>
      <w:r>
        <w:rPr>
          <w:rFonts w:asciiTheme="majorBidi" w:hAnsiTheme="majorBidi" w:cstheme="majorBidi"/>
          <w:sz w:val="24"/>
          <w:szCs w:val="24"/>
          <w:lang w:eastAsia="en-GB"/>
        </w:rPr>
        <w:t xml:space="preserve"> formuojamą</w:t>
      </w:r>
      <w:r w:rsidRPr="00E90F03">
        <w:rPr>
          <w:rFonts w:asciiTheme="majorBidi" w:hAnsiTheme="majorBidi" w:cstheme="majorBidi"/>
          <w:sz w:val="24"/>
          <w:szCs w:val="24"/>
          <w:lang w:eastAsia="en-GB"/>
        </w:rPr>
        <w:t xml:space="preserve"> praktiką, veiksmingos konkurencijos užtikrinimas </w:t>
      </w:r>
      <w:r>
        <w:rPr>
          <w:rFonts w:asciiTheme="majorBidi" w:hAnsiTheme="majorBidi" w:cstheme="majorBidi"/>
          <w:sz w:val="24"/>
          <w:szCs w:val="24"/>
          <w:lang w:eastAsia="en-GB"/>
        </w:rPr>
        <w:t>sudaro</w:t>
      </w:r>
      <w:r w:rsidRPr="00E90F03">
        <w:rPr>
          <w:rFonts w:asciiTheme="majorBidi" w:hAnsiTheme="majorBidi" w:cstheme="majorBidi"/>
          <w:sz w:val="24"/>
          <w:szCs w:val="24"/>
          <w:lang w:eastAsia="en-GB"/>
        </w:rPr>
        <w:t xml:space="preserve"> viešosios tvarkos</w:t>
      </w:r>
      <w:r>
        <w:rPr>
          <w:rFonts w:asciiTheme="majorBidi" w:hAnsiTheme="majorBidi" w:cstheme="majorBidi"/>
          <w:sz w:val="24"/>
          <w:szCs w:val="24"/>
          <w:lang w:eastAsia="en-GB"/>
        </w:rPr>
        <w:t xml:space="preserve"> turinį</w:t>
      </w:r>
      <w:r w:rsidRPr="00E90F03">
        <w:rPr>
          <w:rFonts w:asciiTheme="majorBidi" w:hAnsiTheme="majorBidi" w:cstheme="majorBidi"/>
          <w:sz w:val="24"/>
          <w:szCs w:val="24"/>
          <w:lang w:eastAsia="en-GB"/>
        </w:rPr>
        <w:t xml:space="preserve"> (žr. ESTT 1999 m. birželio 1 d. sprendimą byloje </w:t>
      </w:r>
      <w:proofErr w:type="spellStart"/>
      <w:r w:rsidRPr="00E90F03">
        <w:rPr>
          <w:rFonts w:asciiTheme="majorBidi" w:hAnsiTheme="majorBidi" w:cstheme="majorBidi"/>
          <w:i/>
          <w:iCs/>
          <w:sz w:val="24"/>
          <w:szCs w:val="24"/>
          <w:lang w:eastAsia="en-GB"/>
        </w:rPr>
        <w:t>Eco</w:t>
      </w:r>
      <w:proofErr w:type="spellEnd"/>
      <w:r w:rsidRPr="00E90F03">
        <w:rPr>
          <w:rFonts w:asciiTheme="majorBidi" w:hAnsiTheme="majorBidi" w:cstheme="majorBidi"/>
          <w:i/>
          <w:iCs/>
          <w:sz w:val="24"/>
          <w:szCs w:val="24"/>
          <w:lang w:eastAsia="en-GB"/>
        </w:rPr>
        <w:t xml:space="preserve"> </w:t>
      </w:r>
      <w:proofErr w:type="spellStart"/>
      <w:r w:rsidRPr="00E90F03">
        <w:rPr>
          <w:rFonts w:asciiTheme="majorBidi" w:hAnsiTheme="majorBidi" w:cstheme="majorBidi"/>
          <w:i/>
          <w:iCs/>
          <w:sz w:val="24"/>
          <w:szCs w:val="24"/>
          <w:lang w:eastAsia="en-GB"/>
        </w:rPr>
        <w:t>Swiss</w:t>
      </w:r>
      <w:proofErr w:type="spellEnd"/>
      <w:r w:rsidRPr="00E90F03">
        <w:rPr>
          <w:rFonts w:asciiTheme="majorBidi" w:hAnsiTheme="majorBidi" w:cstheme="majorBidi"/>
          <w:i/>
          <w:iCs/>
          <w:sz w:val="24"/>
          <w:szCs w:val="24"/>
          <w:lang w:eastAsia="en-GB"/>
        </w:rPr>
        <w:t xml:space="preserve"> </w:t>
      </w:r>
      <w:proofErr w:type="spellStart"/>
      <w:r w:rsidRPr="00E90F03">
        <w:rPr>
          <w:rFonts w:asciiTheme="majorBidi" w:hAnsiTheme="majorBidi" w:cstheme="majorBidi"/>
          <w:i/>
          <w:iCs/>
          <w:sz w:val="24"/>
          <w:szCs w:val="24"/>
          <w:lang w:eastAsia="en-GB"/>
        </w:rPr>
        <w:t>China</w:t>
      </w:r>
      <w:proofErr w:type="spellEnd"/>
      <w:r w:rsidRPr="00E90F03">
        <w:rPr>
          <w:rFonts w:asciiTheme="majorBidi" w:hAnsiTheme="majorBidi" w:cstheme="majorBidi"/>
          <w:i/>
          <w:iCs/>
          <w:sz w:val="24"/>
          <w:szCs w:val="24"/>
          <w:lang w:eastAsia="en-GB"/>
        </w:rPr>
        <w:t xml:space="preserve"> Time </w:t>
      </w:r>
      <w:proofErr w:type="spellStart"/>
      <w:r w:rsidRPr="00E90F03">
        <w:rPr>
          <w:rFonts w:asciiTheme="majorBidi" w:hAnsiTheme="majorBidi" w:cstheme="majorBidi"/>
          <w:i/>
          <w:iCs/>
          <w:sz w:val="24"/>
          <w:szCs w:val="24"/>
          <w:lang w:eastAsia="en-GB"/>
        </w:rPr>
        <w:t>Ltd</w:t>
      </w:r>
      <w:proofErr w:type="spellEnd"/>
      <w:r w:rsidRPr="00E90F03">
        <w:rPr>
          <w:rFonts w:asciiTheme="majorBidi" w:hAnsiTheme="majorBidi" w:cstheme="majorBidi"/>
          <w:i/>
          <w:iCs/>
          <w:sz w:val="24"/>
          <w:szCs w:val="24"/>
          <w:lang w:eastAsia="en-GB"/>
        </w:rPr>
        <w:t xml:space="preserve"> prieš </w:t>
      </w:r>
      <w:proofErr w:type="spellStart"/>
      <w:r w:rsidRPr="00E90F03">
        <w:rPr>
          <w:rFonts w:asciiTheme="majorBidi" w:hAnsiTheme="majorBidi" w:cstheme="majorBidi"/>
          <w:i/>
          <w:iCs/>
          <w:sz w:val="24"/>
          <w:szCs w:val="24"/>
          <w:lang w:eastAsia="en-GB"/>
        </w:rPr>
        <w:t>Benetton</w:t>
      </w:r>
      <w:proofErr w:type="spellEnd"/>
      <w:r w:rsidRPr="00E90F03">
        <w:rPr>
          <w:rFonts w:asciiTheme="majorBidi" w:hAnsiTheme="majorBidi" w:cstheme="majorBidi"/>
          <w:i/>
          <w:iCs/>
          <w:sz w:val="24"/>
          <w:szCs w:val="24"/>
          <w:lang w:eastAsia="en-GB"/>
        </w:rPr>
        <w:t xml:space="preserve"> International NV</w:t>
      </w:r>
      <w:r w:rsidRPr="00E90F03">
        <w:rPr>
          <w:rFonts w:asciiTheme="majorBidi" w:hAnsiTheme="majorBidi" w:cstheme="majorBidi"/>
          <w:sz w:val="24"/>
          <w:szCs w:val="24"/>
          <w:lang w:eastAsia="en-GB"/>
        </w:rPr>
        <w:t>, C-126/97).</w:t>
      </w:r>
    </w:p>
    <w:p w14:paraId="306A3560" w14:textId="11CA766D" w:rsidR="00754963" w:rsidRPr="00E90F03"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E90F03">
        <w:rPr>
          <w:rFonts w:asciiTheme="majorBidi" w:hAnsiTheme="majorBidi" w:cstheme="majorBidi"/>
          <w:sz w:val="24"/>
          <w:szCs w:val="24"/>
          <w:lang w:eastAsia="en-GB"/>
        </w:rPr>
        <w:t xml:space="preserve">Teisėjų kolegijos vertinimu, </w:t>
      </w:r>
      <w:bookmarkStart w:id="19" w:name="_Hlk155773408"/>
      <w:r w:rsidRPr="00E90F03">
        <w:rPr>
          <w:rFonts w:asciiTheme="majorBidi" w:hAnsiTheme="majorBidi" w:cstheme="majorBidi"/>
          <w:sz w:val="24"/>
          <w:szCs w:val="24"/>
          <w:lang w:eastAsia="en-GB"/>
        </w:rPr>
        <w:t>tokio pobūdžio bylose, kuriose sprendžiama dėl būtinumo lygiagrečiam importuotojui perpakuoti ir perženklinti lygiagrečia</w:t>
      </w:r>
      <w:r w:rsidR="00933A0C">
        <w:rPr>
          <w:rFonts w:asciiTheme="majorBidi" w:hAnsiTheme="majorBidi" w:cstheme="majorBidi"/>
          <w:sz w:val="24"/>
          <w:szCs w:val="24"/>
          <w:lang w:eastAsia="en-GB"/>
        </w:rPr>
        <w:t>i</w:t>
      </w:r>
      <w:r w:rsidRPr="00E90F03">
        <w:rPr>
          <w:rFonts w:asciiTheme="majorBidi" w:hAnsiTheme="majorBidi" w:cstheme="majorBidi"/>
          <w:sz w:val="24"/>
          <w:szCs w:val="24"/>
          <w:lang w:eastAsia="en-GB"/>
        </w:rPr>
        <w:t xml:space="preserve"> importuojam</w:t>
      </w:r>
      <w:r w:rsidR="00933A0C">
        <w:rPr>
          <w:rFonts w:asciiTheme="majorBidi" w:hAnsiTheme="majorBidi" w:cstheme="majorBidi"/>
          <w:sz w:val="24"/>
          <w:szCs w:val="24"/>
          <w:lang w:eastAsia="en-GB"/>
        </w:rPr>
        <w:t>ą</w:t>
      </w:r>
      <w:r w:rsidRPr="00E90F03">
        <w:rPr>
          <w:rFonts w:asciiTheme="majorBidi" w:hAnsiTheme="majorBidi" w:cstheme="majorBidi"/>
          <w:sz w:val="24"/>
          <w:szCs w:val="24"/>
          <w:lang w:eastAsia="en-GB"/>
        </w:rPr>
        <w:t xml:space="preserve"> vaistinį preparatą ir dėl prekių ženklo savininko prieštaravimo tokiam perpakavimui ir perženklinimui teisėtumo, teismo vaidmuo įrodinėjimo procese privalo būti aktyvesnis, siekiant išsiaiškinti visas ginčui teisingai išnagrinėti reikšmingas aplinkybes ir nu</w:t>
      </w:r>
      <w:r w:rsidR="00933A0C">
        <w:rPr>
          <w:rFonts w:asciiTheme="majorBidi" w:hAnsiTheme="majorBidi" w:cstheme="majorBidi"/>
          <w:sz w:val="24"/>
          <w:szCs w:val="24"/>
          <w:lang w:eastAsia="en-GB"/>
        </w:rPr>
        <w:t>s</w:t>
      </w:r>
      <w:r w:rsidRPr="00E90F03">
        <w:rPr>
          <w:rFonts w:asciiTheme="majorBidi" w:hAnsiTheme="majorBidi" w:cstheme="majorBidi"/>
          <w:sz w:val="24"/>
          <w:szCs w:val="24"/>
          <w:lang w:eastAsia="en-GB"/>
        </w:rPr>
        <w:t>tatyti, ar prekių ženklo savininkas</w:t>
      </w:r>
      <w:r w:rsidR="00933A0C">
        <w:rPr>
          <w:rFonts w:asciiTheme="majorBidi" w:hAnsiTheme="majorBidi" w:cstheme="majorBidi"/>
          <w:sz w:val="24"/>
          <w:szCs w:val="24"/>
          <w:lang w:eastAsia="en-GB"/>
        </w:rPr>
        <w:t>,</w:t>
      </w:r>
      <w:r w:rsidRPr="00E90F03">
        <w:rPr>
          <w:rFonts w:asciiTheme="majorBidi" w:hAnsiTheme="majorBidi" w:cstheme="majorBidi"/>
          <w:sz w:val="24"/>
          <w:szCs w:val="24"/>
          <w:lang w:eastAsia="en-GB"/>
        </w:rPr>
        <w:t xml:space="preserve"> skirtingose valstybėse narėse tą patį vaistinį preparatą žymėdamas skirtingais pavadinimais</w:t>
      </w:r>
      <w:r w:rsidR="00933A0C">
        <w:rPr>
          <w:rFonts w:asciiTheme="majorBidi" w:hAnsiTheme="majorBidi" w:cstheme="majorBidi"/>
          <w:sz w:val="24"/>
          <w:szCs w:val="24"/>
          <w:lang w:eastAsia="en-GB"/>
        </w:rPr>
        <w:t>,</w:t>
      </w:r>
      <w:r w:rsidRPr="00E90F03">
        <w:rPr>
          <w:rFonts w:asciiTheme="majorBidi" w:hAnsiTheme="majorBidi" w:cstheme="majorBidi"/>
          <w:sz w:val="24"/>
          <w:szCs w:val="24"/>
          <w:lang w:eastAsia="en-GB"/>
        </w:rPr>
        <w:t xml:space="preserve"> neprisideda prie dirbtinio valstybių narių rinkų skaidymo. Toks teismo aktyvumas įrodinėjimo procese išplaukia būtent iš tokio ginčo, susijusio su konkurencijos vaistų rinkoje galimu ribojimu ir atitinkamai pacientų (vartotojų) interesu</w:t>
      </w:r>
      <w:r w:rsidR="00BA6A56">
        <w:rPr>
          <w:rFonts w:asciiTheme="majorBidi" w:hAnsiTheme="majorBidi" w:cstheme="majorBidi"/>
          <w:sz w:val="24"/>
          <w:szCs w:val="24"/>
          <w:lang w:eastAsia="en-GB"/>
        </w:rPr>
        <w:t>, kad vaistų rinkoje būtų</w:t>
      </w:r>
      <w:r w:rsidRPr="00E90F03">
        <w:rPr>
          <w:rFonts w:asciiTheme="majorBidi" w:hAnsiTheme="majorBidi" w:cstheme="majorBidi"/>
          <w:sz w:val="24"/>
          <w:szCs w:val="24"/>
          <w:lang w:eastAsia="en-GB"/>
        </w:rPr>
        <w:t xml:space="preserve"> </w:t>
      </w:r>
      <w:r w:rsidR="00933A0C">
        <w:rPr>
          <w:rFonts w:asciiTheme="majorBidi" w:hAnsiTheme="majorBidi" w:cstheme="majorBidi"/>
          <w:sz w:val="24"/>
          <w:szCs w:val="24"/>
          <w:lang w:eastAsia="en-GB"/>
        </w:rPr>
        <w:t>veiksminga</w:t>
      </w:r>
      <w:r w:rsidRPr="00E90F03">
        <w:rPr>
          <w:rFonts w:asciiTheme="majorBidi" w:hAnsiTheme="majorBidi" w:cstheme="majorBidi"/>
          <w:sz w:val="24"/>
          <w:szCs w:val="24"/>
          <w:lang w:eastAsia="en-GB"/>
        </w:rPr>
        <w:t xml:space="preserve"> ir didesn</w:t>
      </w:r>
      <w:r w:rsidR="00BA6A56">
        <w:rPr>
          <w:rFonts w:asciiTheme="majorBidi" w:hAnsiTheme="majorBidi" w:cstheme="majorBidi"/>
          <w:sz w:val="24"/>
          <w:szCs w:val="24"/>
          <w:lang w:eastAsia="en-GB"/>
        </w:rPr>
        <w:t>ė</w:t>
      </w:r>
      <w:r w:rsidRPr="00E90F03">
        <w:rPr>
          <w:rFonts w:asciiTheme="majorBidi" w:hAnsiTheme="majorBidi" w:cstheme="majorBidi"/>
          <w:sz w:val="24"/>
          <w:szCs w:val="24"/>
          <w:lang w:eastAsia="en-GB"/>
        </w:rPr>
        <w:t xml:space="preserve"> konkurencija, pobūdžio. Todėl tai lemia aktyvesnį teismo vaidmenį įrodinėjimo procese paskirstant tarp šalių įrodinėjimo naštą ir pareikalaujant papildomai įrodinėti aplinkybes, kurioms nustatyti byloje pateiktų įrodymų nepakanka. </w:t>
      </w:r>
      <w:bookmarkEnd w:id="19"/>
      <w:r w:rsidRPr="00E90F03">
        <w:rPr>
          <w:rFonts w:asciiTheme="majorBidi" w:hAnsiTheme="majorBidi" w:cstheme="majorBidi"/>
          <w:sz w:val="24"/>
          <w:szCs w:val="24"/>
          <w:lang w:eastAsia="en-GB"/>
        </w:rPr>
        <w:t>Toks teismo aktyvu</w:t>
      </w:r>
      <w:r>
        <w:rPr>
          <w:rFonts w:asciiTheme="majorBidi" w:hAnsiTheme="majorBidi" w:cstheme="majorBidi"/>
          <w:sz w:val="24"/>
          <w:szCs w:val="24"/>
          <w:lang w:eastAsia="en-GB"/>
        </w:rPr>
        <w:t>mas</w:t>
      </w:r>
      <w:r w:rsidRPr="00E90F03">
        <w:rPr>
          <w:rFonts w:asciiTheme="majorBidi" w:hAnsiTheme="majorBidi" w:cstheme="majorBidi"/>
          <w:sz w:val="24"/>
          <w:szCs w:val="24"/>
          <w:lang w:eastAsia="en-GB"/>
        </w:rPr>
        <w:t xml:space="preserve"> šio pobūdžio bylose, teisėjų kolegijos nuomone, pateisinamas siekiu teisingai išnagrinėti byloje kilusį ginčą, t. y. užtikrinti teisingą pusiausvyrą tarp prek</w:t>
      </w:r>
      <w:r w:rsidR="00933A0C">
        <w:rPr>
          <w:rFonts w:asciiTheme="majorBidi" w:hAnsiTheme="majorBidi" w:cstheme="majorBidi"/>
          <w:sz w:val="24"/>
          <w:szCs w:val="24"/>
          <w:lang w:eastAsia="en-GB"/>
        </w:rPr>
        <w:t>ių</w:t>
      </w:r>
      <w:r w:rsidRPr="00E90F03">
        <w:rPr>
          <w:rFonts w:asciiTheme="majorBidi" w:hAnsiTheme="majorBidi" w:cstheme="majorBidi"/>
          <w:sz w:val="24"/>
          <w:szCs w:val="24"/>
          <w:lang w:eastAsia="en-GB"/>
        </w:rPr>
        <w:t xml:space="preserve"> ženklo savininko interesų ir siekio užtikrinti veiksmingą konkurenciją vaistų rinkoje, apribojant prek</w:t>
      </w:r>
      <w:r w:rsidR="00933A0C">
        <w:rPr>
          <w:rFonts w:asciiTheme="majorBidi" w:hAnsiTheme="majorBidi" w:cstheme="majorBidi"/>
          <w:sz w:val="24"/>
          <w:szCs w:val="24"/>
          <w:lang w:eastAsia="en-GB"/>
        </w:rPr>
        <w:t>ių</w:t>
      </w:r>
      <w:r w:rsidRPr="00E90F03">
        <w:rPr>
          <w:rFonts w:asciiTheme="majorBidi" w:hAnsiTheme="majorBidi" w:cstheme="majorBidi"/>
          <w:sz w:val="24"/>
          <w:szCs w:val="24"/>
          <w:lang w:eastAsia="en-GB"/>
        </w:rPr>
        <w:t xml:space="preserve"> ženklo savininkui per šio ženklo suteikiamas teises skaidyti valstybių narių vaistų rinkas. </w:t>
      </w:r>
    </w:p>
    <w:p w14:paraId="758E64C3" w14:textId="03EBF827" w:rsidR="00754963" w:rsidRPr="00B66F04"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sidRPr="00B66F04">
        <w:rPr>
          <w:rFonts w:asciiTheme="majorBidi" w:hAnsiTheme="majorBidi" w:cstheme="majorBidi"/>
          <w:sz w:val="24"/>
          <w:szCs w:val="24"/>
          <w:lang w:eastAsia="en-GB"/>
        </w:rPr>
        <w:t>Apibendrin</w:t>
      </w:r>
      <w:r w:rsidR="00933A0C">
        <w:rPr>
          <w:rFonts w:asciiTheme="majorBidi" w:hAnsiTheme="majorBidi" w:cstheme="majorBidi"/>
          <w:sz w:val="24"/>
          <w:szCs w:val="24"/>
          <w:lang w:eastAsia="en-GB"/>
        </w:rPr>
        <w:t>dama</w:t>
      </w:r>
      <w:r w:rsidR="00826202">
        <w:rPr>
          <w:rFonts w:asciiTheme="majorBidi" w:hAnsiTheme="majorBidi" w:cstheme="majorBidi"/>
          <w:sz w:val="24"/>
          <w:szCs w:val="24"/>
          <w:lang w:eastAsia="en-GB"/>
        </w:rPr>
        <w:t xml:space="preserve"> nurodytus argumentus,</w:t>
      </w:r>
      <w:r w:rsidRPr="00B66F04">
        <w:rPr>
          <w:rFonts w:asciiTheme="majorBidi" w:hAnsiTheme="majorBidi" w:cstheme="majorBidi"/>
          <w:sz w:val="24"/>
          <w:szCs w:val="24"/>
          <w:lang w:eastAsia="en-GB"/>
        </w:rPr>
        <w:t xml:space="preserve"> teisėjų kolegija </w:t>
      </w:r>
      <w:r w:rsidR="00933A0C">
        <w:rPr>
          <w:rFonts w:asciiTheme="majorBidi" w:hAnsiTheme="majorBidi" w:cstheme="majorBidi"/>
          <w:sz w:val="24"/>
          <w:szCs w:val="24"/>
          <w:lang w:eastAsia="en-GB"/>
        </w:rPr>
        <w:t>pa</w:t>
      </w:r>
      <w:r w:rsidRPr="00B66F04">
        <w:rPr>
          <w:rFonts w:asciiTheme="majorBidi" w:hAnsiTheme="majorBidi" w:cstheme="majorBidi"/>
          <w:sz w:val="24"/>
          <w:szCs w:val="24"/>
          <w:lang w:eastAsia="en-GB"/>
        </w:rPr>
        <w:t xml:space="preserve">daro išvadą, kad nagrinėjamu atveju teismai, vertindami atsakovės veiksmus perpakuojant lygiagrečiai iš </w:t>
      </w:r>
      <w:r w:rsidR="00826202" w:rsidRPr="00B66F04">
        <w:rPr>
          <w:rFonts w:asciiTheme="majorBidi" w:hAnsiTheme="majorBidi" w:cstheme="majorBidi"/>
          <w:sz w:val="24"/>
          <w:szCs w:val="24"/>
          <w:lang w:eastAsia="en-GB"/>
        </w:rPr>
        <w:t xml:space="preserve">Vengriją </w:t>
      </w:r>
      <w:r w:rsidRPr="00B66F04">
        <w:rPr>
          <w:rFonts w:asciiTheme="majorBidi" w:hAnsiTheme="majorBidi" w:cstheme="majorBidi"/>
          <w:sz w:val="24"/>
          <w:szCs w:val="24"/>
          <w:lang w:eastAsia="en-GB"/>
        </w:rPr>
        <w:t xml:space="preserve">į </w:t>
      </w:r>
      <w:r w:rsidR="00826202" w:rsidRPr="00B66F04">
        <w:rPr>
          <w:rFonts w:asciiTheme="majorBidi" w:hAnsiTheme="majorBidi" w:cstheme="majorBidi"/>
          <w:sz w:val="24"/>
          <w:szCs w:val="24"/>
          <w:lang w:eastAsia="en-GB"/>
        </w:rPr>
        <w:t xml:space="preserve">Lietuvos </w:t>
      </w:r>
      <w:r w:rsidRPr="00B66F04">
        <w:rPr>
          <w:rFonts w:asciiTheme="majorBidi" w:hAnsiTheme="majorBidi" w:cstheme="majorBidi"/>
          <w:sz w:val="24"/>
          <w:szCs w:val="24"/>
          <w:lang w:eastAsia="en-GB"/>
        </w:rPr>
        <w:t>importuojamą vaistinį preparatą be šio prek</w:t>
      </w:r>
      <w:r w:rsidR="00933A0C">
        <w:rPr>
          <w:rFonts w:asciiTheme="majorBidi" w:hAnsiTheme="majorBidi" w:cstheme="majorBidi"/>
          <w:sz w:val="24"/>
          <w:szCs w:val="24"/>
          <w:lang w:eastAsia="en-GB"/>
        </w:rPr>
        <w:t>ių</w:t>
      </w:r>
      <w:r w:rsidRPr="00B66F04">
        <w:rPr>
          <w:rFonts w:asciiTheme="majorBidi" w:hAnsiTheme="majorBidi" w:cstheme="majorBidi"/>
          <w:sz w:val="24"/>
          <w:szCs w:val="24"/>
          <w:lang w:eastAsia="en-GB"/>
        </w:rPr>
        <w:t xml:space="preserve"> ženklo savininko sutikimo, nenustatė: </w:t>
      </w:r>
      <w:r w:rsidRPr="00B66F04">
        <w:rPr>
          <w:rFonts w:asciiTheme="majorBidi" w:hAnsiTheme="majorBidi" w:cstheme="majorBidi"/>
          <w:i/>
          <w:iCs/>
          <w:sz w:val="24"/>
          <w:szCs w:val="24"/>
          <w:lang w:eastAsia="en-GB"/>
        </w:rPr>
        <w:t>pirma</w:t>
      </w:r>
      <w:r w:rsidRPr="00B66F04">
        <w:rPr>
          <w:rFonts w:asciiTheme="majorBidi" w:hAnsiTheme="majorBidi" w:cstheme="majorBidi"/>
          <w:sz w:val="24"/>
          <w:szCs w:val="24"/>
          <w:lang w:eastAsia="en-GB"/>
        </w:rPr>
        <w:t>, ar ieškovė, siekdama jai priklausančio prekės ženklo apsaugos</w:t>
      </w:r>
      <w:r>
        <w:rPr>
          <w:rFonts w:asciiTheme="majorBidi" w:hAnsiTheme="majorBidi" w:cstheme="majorBidi"/>
          <w:sz w:val="24"/>
          <w:szCs w:val="24"/>
          <w:lang w:eastAsia="en-GB"/>
        </w:rPr>
        <w:t>,</w:t>
      </w:r>
      <w:r w:rsidR="00C92B65">
        <w:rPr>
          <w:rFonts w:asciiTheme="majorBidi" w:hAnsiTheme="majorBidi" w:cstheme="majorBidi"/>
          <w:sz w:val="24"/>
          <w:szCs w:val="24"/>
          <w:lang w:eastAsia="en-GB"/>
        </w:rPr>
        <w:t xml:space="preserve"> prekės ženklo suteikiamomis teisėmis naudojasi pagal paskirtį ir</w:t>
      </w:r>
      <w:r w:rsidRPr="00B66F04">
        <w:rPr>
          <w:rFonts w:asciiTheme="majorBidi" w:hAnsiTheme="majorBidi" w:cstheme="majorBidi"/>
          <w:sz w:val="24"/>
          <w:szCs w:val="24"/>
          <w:lang w:eastAsia="en-GB"/>
        </w:rPr>
        <w:t xml:space="preserve"> nesiekia dirbtinai padalyti rink</w:t>
      </w:r>
      <w:r w:rsidR="00933A0C">
        <w:rPr>
          <w:rFonts w:asciiTheme="majorBidi" w:hAnsiTheme="majorBidi" w:cstheme="majorBidi"/>
          <w:sz w:val="24"/>
          <w:szCs w:val="24"/>
          <w:lang w:eastAsia="en-GB"/>
        </w:rPr>
        <w:t>ų</w:t>
      </w:r>
      <w:r w:rsidRPr="00B66F04">
        <w:rPr>
          <w:rFonts w:asciiTheme="majorBidi" w:hAnsiTheme="majorBidi" w:cstheme="majorBidi"/>
          <w:sz w:val="24"/>
          <w:szCs w:val="24"/>
          <w:lang w:eastAsia="en-GB"/>
        </w:rPr>
        <w:t xml:space="preserve">; </w:t>
      </w:r>
      <w:r w:rsidRPr="00B66F04">
        <w:rPr>
          <w:rFonts w:asciiTheme="majorBidi" w:hAnsiTheme="majorBidi" w:cstheme="majorBidi"/>
          <w:i/>
          <w:iCs/>
          <w:sz w:val="24"/>
          <w:szCs w:val="24"/>
          <w:lang w:eastAsia="en-GB"/>
        </w:rPr>
        <w:t>antra</w:t>
      </w:r>
      <w:r w:rsidRPr="00B66F04">
        <w:rPr>
          <w:rFonts w:asciiTheme="majorBidi" w:hAnsiTheme="majorBidi" w:cstheme="majorBidi"/>
          <w:sz w:val="24"/>
          <w:szCs w:val="24"/>
          <w:lang w:eastAsia="en-GB"/>
        </w:rPr>
        <w:t>, kokios priežastys lėmė kito lygiagretaus importuotojo pasitraukimą iš rinkos. Nors pirmosios instancijos teismas šia aplinkybe rėmėsi kaip patvirtinanči</w:t>
      </w:r>
      <w:r>
        <w:rPr>
          <w:rFonts w:asciiTheme="majorBidi" w:hAnsiTheme="majorBidi" w:cstheme="majorBidi"/>
          <w:sz w:val="24"/>
          <w:szCs w:val="24"/>
          <w:lang w:eastAsia="en-GB"/>
        </w:rPr>
        <w:t>a</w:t>
      </w:r>
      <w:r w:rsidRPr="00B66F04">
        <w:rPr>
          <w:rFonts w:asciiTheme="majorBidi" w:hAnsiTheme="majorBidi" w:cstheme="majorBidi"/>
          <w:sz w:val="24"/>
          <w:szCs w:val="24"/>
          <w:lang w:eastAsia="en-GB"/>
        </w:rPr>
        <w:t xml:space="preserve"> būtinumą atsakovei perpakuoti ginčo vaistinius preparatus, vis dėlto byloje liko nenustatytos nei šio lygiagretaus importuotojo pasitraukimo iš rinkos priežastys, nei jų įtaka veiksmingam lygiagretaus importuoto patekimui į rinką neperpakuojant ginčo vaistinių preparatų. Teisėjų kolegijos vertinimu, šiuo atveju reikšminga įvertinti, ar iš rinkos pasitraukęs kitas lygiagretus importuotojas Lietuvos rinkoje prekiavo Lietuvoje ginčo vaistiniu preparatu tuo pačiu pavadinimu kaip ir ieškovė, ar šis lygiagretus importuotojas taip pat perpakavo lygiagrečiai importuojamą vaistą. Tuo atveju, jeigu teismas nustatytų, kad lygiagretus iš rinkos pasitraukęs importuotojas taip pat perpakavo vaistinį preparatą</w:t>
      </w:r>
      <w:r w:rsidR="00933A0C">
        <w:rPr>
          <w:rFonts w:asciiTheme="majorBidi" w:hAnsiTheme="majorBidi" w:cstheme="majorBidi"/>
          <w:sz w:val="24"/>
          <w:szCs w:val="24"/>
          <w:lang w:eastAsia="en-GB"/>
        </w:rPr>
        <w:t>,</w:t>
      </w:r>
      <w:r w:rsidRPr="00B66F04">
        <w:rPr>
          <w:rFonts w:asciiTheme="majorBidi" w:hAnsiTheme="majorBidi" w:cstheme="majorBidi"/>
          <w:sz w:val="24"/>
          <w:szCs w:val="24"/>
          <w:lang w:eastAsia="en-GB"/>
        </w:rPr>
        <w:t xml:space="preserve"> reikšminga įvertinti, ar ieškovė taip pat prieštaravo šiam perpakavimui; </w:t>
      </w:r>
      <w:r w:rsidRPr="00B66F04">
        <w:rPr>
          <w:rFonts w:asciiTheme="majorBidi" w:hAnsiTheme="majorBidi" w:cstheme="majorBidi"/>
          <w:i/>
          <w:iCs/>
          <w:sz w:val="24"/>
          <w:szCs w:val="24"/>
          <w:lang w:eastAsia="en-GB"/>
        </w:rPr>
        <w:t xml:space="preserve">trečia, </w:t>
      </w:r>
      <w:r w:rsidR="00C92B65" w:rsidRPr="00C92B65">
        <w:rPr>
          <w:rFonts w:asciiTheme="majorBidi" w:hAnsiTheme="majorBidi" w:cstheme="majorBidi"/>
          <w:sz w:val="24"/>
          <w:szCs w:val="24"/>
          <w:lang w:eastAsia="en-GB"/>
        </w:rPr>
        <w:t xml:space="preserve">ar vaistinės ir kokia jų dalis </w:t>
      </w:r>
      <w:r w:rsidRPr="00C92B65">
        <w:rPr>
          <w:rFonts w:asciiTheme="majorBidi" w:hAnsiTheme="majorBidi" w:cstheme="majorBidi"/>
          <w:sz w:val="24"/>
          <w:szCs w:val="24"/>
          <w:lang w:eastAsia="en-GB"/>
        </w:rPr>
        <w:t>kokia</w:t>
      </w:r>
      <w:r w:rsidRPr="00B66F04">
        <w:rPr>
          <w:rFonts w:asciiTheme="majorBidi" w:hAnsiTheme="majorBidi" w:cstheme="majorBidi"/>
          <w:sz w:val="24"/>
          <w:szCs w:val="24"/>
          <w:lang w:eastAsia="en-GB"/>
        </w:rPr>
        <w:t xml:space="preserve"> dalis vaistinių atsisako prekiauti </w:t>
      </w:r>
      <w:r w:rsidR="00BA6A56">
        <w:rPr>
          <w:rFonts w:asciiTheme="majorBidi" w:hAnsiTheme="majorBidi" w:cstheme="majorBidi"/>
          <w:sz w:val="24"/>
          <w:szCs w:val="24"/>
          <w:lang w:eastAsia="en-GB"/>
        </w:rPr>
        <w:t xml:space="preserve">neperpakuotais </w:t>
      </w:r>
      <w:r w:rsidRPr="00B66F04">
        <w:rPr>
          <w:rFonts w:asciiTheme="majorBidi" w:hAnsiTheme="majorBidi" w:cstheme="majorBidi"/>
          <w:sz w:val="24"/>
          <w:szCs w:val="24"/>
          <w:lang w:eastAsia="en-GB"/>
        </w:rPr>
        <w:t xml:space="preserve">atsakovės lygiagrečiai importuojamais vaistiniais preparatais. </w:t>
      </w:r>
      <w:r>
        <w:rPr>
          <w:rFonts w:asciiTheme="majorBidi" w:hAnsiTheme="majorBidi" w:cstheme="majorBidi"/>
          <w:sz w:val="24"/>
          <w:szCs w:val="24"/>
          <w:lang w:eastAsia="en-GB"/>
        </w:rPr>
        <w:t>B</w:t>
      </w:r>
      <w:r w:rsidRPr="00B66F04">
        <w:rPr>
          <w:rFonts w:asciiTheme="majorBidi" w:hAnsiTheme="majorBidi" w:cstheme="majorBidi"/>
          <w:sz w:val="24"/>
          <w:szCs w:val="24"/>
          <w:lang w:eastAsia="en-GB"/>
        </w:rPr>
        <w:t>yloje atsakovė šią aplinkybę įrodinėjo</w:t>
      </w:r>
      <w:r w:rsidR="00C92B65">
        <w:rPr>
          <w:rFonts w:asciiTheme="majorBidi" w:hAnsiTheme="majorBidi" w:cstheme="majorBidi"/>
          <w:sz w:val="24"/>
          <w:szCs w:val="24"/>
          <w:lang w:eastAsia="en-GB"/>
        </w:rPr>
        <w:t xml:space="preserve"> tik</w:t>
      </w:r>
      <w:r w:rsidRPr="00B66F04">
        <w:rPr>
          <w:rFonts w:asciiTheme="majorBidi" w:hAnsiTheme="majorBidi" w:cstheme="majorBidi"/>
          <w:sz w:val="24"/>
          <w:szCs w:val="24"/>
          <w:lang w:eastAsia="en-GB"/>
        </w:rPr>
        <w:t xml:space="preserve"> dviem elektroniniais laiškais,</w:t>
      </w:r>
      <w:r>
        <w:rPr>
          <w:rFonts w:asciiTheme="majorBidi" w:hAnsiTheme="majorBidi" w:cstheme="majorBidi"/>
          <w:sz w:val="24"/>
          <w:szCs w:val="24"/>
          <w:lang w:eastAsia="en-GB"/>
        </w:rPr>
        <w:t xml:space="preserve"> dėl kurių, kaip pagrįstai nurodo atsakovė kasaciniame skunde, apeliacinės instancijos teismas skundžiam</w:t>
      </w:r>
      <w:r w:rsidR="00933A0C">
        <w:rPr>
          <w:rFonts w:asciiTheme="majorBidi" w:hAnsiTheme="majorBidi" w:cstheme="majorBidi"/>
          <w:sz w:val="24"/>
          <w:szCs w:val="24"/>
          <w:lang w:eastAsia="en-GB"/>
        </w:rPr>
        <w:t>am</w:t>
      </w:r>
      <w:r>
        <w:rPr>
          <w:rFonts w:asciiTheme="majorBidi" w:hAnsiTheme="majorBidi" w:cstheme="majorBidi"/>
          <w:sz w:val="24"/>
          <w:szCs w:val="24"/>
          <w:lang w:eastAsia="en-GB"/>
        </w:rPr>
        <w:t>e sprendime nepasisekė ir jų nevertino.</w:t>
      </w:r>
      <w:r w:rsidRPr="00B66F04">
        <w:rPr>
          <w:rFonts w:asciiTheme="majorBidi" w:hAnsiTheme="majorBidi" w:cstheme="majorBidi"/>
          <w:sz w:val="24"/>
          <w:szCs w:val="24"/>
          <w:lang w:eastAsia="en-GB"/>
        </w:rPr>
        <w:t xml:space="preserve"> </w:t>
      </w:r>
      <w:r>
        <w:rPr>
          <w:rFonts w:asciiTheme="majorBidi" w:hAnsiTheme="majorBidi" w:cstheme="majorBidi"/>
          <w:sz w:val="24"/>
          <w:szCs w:val="24"/>
          <w:lang w:eastAsia="en-GB"/>
        </w:rPr>
        <w:t>T</w:t>
      </w:r>
      <w:r w:rsidRPr="00B66F04">
        <w:rPr>
          <w:rFonts w:asciiTheme="majorBidi" w:hAnsiTheme="majorBidi" w:cstheme="majorBidi"/>
          <w:sz w:val="24"/>
          <w:szCs w:val="24"/>
          <w:lang w:eastAsia="en-GB"/>
        </w:rPr>
        <w:t xml:space="preserve">eisėjų kolegijos vertinimu, šiuo atveju </w:t>
      </w:r>
      <w:r>
        <w:rPr>
          <w:rFonts w:asciiTheme="majorBidi" w:hAnsiTheme="majorBidi" w:cstheme="majorBidi"/>
          <w:sz w:val="24"/>
          <w:szCs w:val="24"/>
          <w:lang w:eastAsia="en-GB"/>
        </w:rPr>
        <w:t>ši aplinkybė</w:t>
      </w:r>
      <w:r w:rsidR="00C92B65">
        <w:rPr>
          <w:rFonts w:asciiTheme="majorBidi" w:hAnsiTheme="majorBidi" w:cstheme="majorBidi"/>
          <w:sz w:val="24"/>
          <w:szCs w:val="24"/>
          <w:lang w:eastAsia="en-GB"/>
        </w:rPr>
        <w:t>, be kita ko, gali būti</w:t>
      </w:r>
      <w:r>
        <w:rPr>
          <w:rFonts w:asciiTheme="majorBidi" w:hAnsiTheme="majorBidi" w:cstheme="majorBidi"/>
          <w:sz w:val="24"/>
          <w:szCs w:val="24"/>
          <w:lang w:eastAsia="en-GB"/>
        </w:rPr>
        <w:t xml:space="preserve"> svarbi siekiant įvertinti objektyvų būtinumą perpakuojant ginčo vaistinius preparatus</w:t>
      </w:r>
      <w:r w:rsidRPr="00B66F04">
        <w:rPr>
          <w:rFonts w:asciiTheme="majorBidi" w:hAnsiTheme="majorBidi" w:cstheme="majorBidi"/>
          <w:sz w:val="24"/>
          <w:szCs w:val="24"/>
          <w:lang w:eastAsia="en-GB"/>
        </w:rPr>
        <w:t xml:space="preserve">; </w:t>
      </w:r>
      <w:r w:rsidRPr="00B66F04">
        <w:rPr>
          <w:rFonts w:asciiTheme="majorBidi" w:hAnsiTheme="majorBidi" w:cstheme="majorBidi"/>
          <w:i/>
          <w:iCs/>
          <w:sz w:val="24"/>
          <w:szCs w:val="24"/>
          <w:lang w:eastAsia="en-GB"/>
        </w:rPr>
        <w:t>ketvirta</w:t>
      </w:r>
      <w:r w:rsidRPr="00B66F04">
        <w:rPr>
          <w:rFonts w:asciiTheme="majorBidi" w:hAnsiTheme="majorBidi" w:cstheme="majorBidi"/>
          <w:sz w:val="24"/>
          <w:szCs w:val="24"/>
          <w:lang w:eastAsia="en-GB"/>
        </w:rPr>
        <w:t>, ar byloje yra įmanoma atlikti rinkos tyrimą, siekiant išsiaiškinti vais</w:t>
      </w:r>
      <w:r w:rsidR="00826202">
        <w:rPr>
          <w:rFonts w:asciiTheme="majorBidi" w:hAnsiTheme="majorBidi" w:cstheme="majorBidi"/>
          <w:sz w:val="24"/>
          <w:szCs w:val="24"/>
          <w:lang w:eastAsia="en-GB"/>
        </w:rPr>
        <w:t>tinių</w:t>
      </w:r>
      <w:r w:rsidRPr="00B66F04">
        <w:rPr>
          <w:rFonts w:asciiTheme="majorBidi" w:hAnsiTheme="majorBidi" w:cstheme="majorBidi"/>
          <w:sz w:val="24"/>
          <w:szCs w:val="24"/>
          <w:lang w:eastAsia="en-GB"/>
        </w:rPr>
        <w:t xml:space="preserve"> ir pacientų poziciją dėl neperpakuoto lygiagrečiai importuojamo vaistinio preparato. Šiuo klausimu byloje išsiskyrė šalių pozicijos dėl galimybės byloje atlikti tokį tyrimą, o šie prieštaravimai byloje teismų nebuvo išanalizuoti ir įvertinti.</w:t>
      </w:r>
    </w:p>
    <w:p w14:paraId="72BC7237" w14:textId="7E171198" w:rsidR="00754963" w:rsidRPr="0049705B"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Pr>
          <w:rFonts w:asciiTheme="majorBidi" w:hAnsiTheme="majorBidi" w:cstheme="majorBidi"/>
          <w:sz w:val="24"/>
          <w:szCs w:val="24"/>
          <w:lang w:eastAsia="en-GB"/>
        </w:rPr>
        <w:t xml:space="preserve">Kita vertus, sutiktina su atsakove, kad </w:t>
      </w:r>
      <w:bookmarkStart w:id="20" w:name="_Hlk155773545"/>
      <w:r>
        <w:rPr>
          <w:rFonts w:asciiTheme="majorBidi" w:hAnsiTheme="majorBidi" w:cstheme="majorBidi"/>
          <w:sz w:val="24"/>
          <w:szCs w:val="24"/>
          <w:lang w:eastAsia="en-GB"/>
        </w:rPr>
        <w:t>nagrinėjamu atveju apeliacinės instancijos teismas, vertindamas bylo</w:t>
      </w:r>
      <w:r w:rsidR="001A437D">
        <w:rPr>
          <w:rFonts w:asciiTheme="majorBidi" w:hAnsiTheme="majorBidi" w:cstheme="majorBidi"/>
          <w:sz w:val="24"/>
          <w:szCs w:val="24"/>
          <w:lang w:eastAsia="en-GB"/>
        </w:rPr>
        <w:t>j</w:t>
      </w:r>
      <w:r>
        <w:rPr>
          <w:rFonts w:asciiTheme="majorBidi" w:hAnsiTheme="majorBidi" w:cstheme="majorBidi"/>
          <w:sz w:val="24"/>
          <w:szCs w:val="24"/>
          <w:lang w:eastAsia="en-GB"/>
        </w:rPr>
        <w:t>e esančius įrodymus, neatsižvelgė į jų visumą, t. y.</w:t>
      </w:r>
      <w:r w:rsidR="00BA6A56">
        <w:rPr>
          <w:rFonts w:asciiTheme="majorBidi" w:hAnsiTheme="majorBidi" w:cstheme="majorBidi"/>
          <w:sz w:val="24"/>
          <w:szCs w:val="24"/>
          <w:lang w:eastAsia="en-GB"/>
        </w:rPr>
        <w:t>,</w:t>
      </w:r>
      <w:r>
        <w:rPr>
          <w:rFonts w:asciiTheme="majorBidi" w:hAnsiTheme="majorBidi" w:cstheme="majorBidi"/>
          <w:sz w:val="24"/>
          <w:szCs w:val="24"/>
          <w:lang w:eastAsia="en-GB"/>
        </w:rPr>
        <w:t xml:space="preserve"> vertindamas tik dalį atsakovės į bylą pateiktų įrodymų dėl pacientų pasipriešinimo tam pačiam lygiagrečiai importuojam vaistiniam preparatui</w:t>
      </w:r>
      <w:r w:rsidR="001A437D">
        <w:rPr>
          <w:rFonts w:asciiTheme="majorBidi" w:hAnsiTheme="majorBidi" w:cstheme="majorBidi"/>
          <w:sz w:val="24"/>
          <w:szCs w:val="24"/>
          <w:lang w:eastAsia="en-GB"/>
        </w:rPr>
        <w:t>,</w:t>
      </w:r>
      <w:r>
        <w:rPr>
          <w:rFonts w:asciiTheme="majorBidi" w:hAnsiTheme="majorBidi" w:cstheme="majorBidi"/>
          <w:sz w:val="24"/>
          <w:szCs w:val="24"/>
          <w:lang w:eastAsia="en-GB"/>
        </w:rPr>
        <w:t xml:space="preserve"> tik kitu pavadinimu</w:t>
      </w:r>
      <w:r w:rsidR="001A437D">
        <w:rPr>
          <w:rFonts w:asciiTheme="majorBidi" w:hAnsiTheme="majorBidi" w:cstheme="majorBidi"/>
          <w:sz w:val="24"/>
          <w:szCs w:val="24"/>
          <w:lang w:eastAsia="en-GB"/>
        </w:rPr>
        <w:t>,</w:t>
      </w:r>
      <w:r>
        <w:rPr>
          <w:rFonts w:asciiTheme="majorBidi" w:hAnsiTheme="majorBidi" w:cstheme="majorBidi"/>
          <w:sz w:val="24"/>
          <w:szCs w:val="24"/>
          <w:lang w:eastAsia="en-GB"/>
        </w:rPr>
        <w:t xml:space="preserve"> nei juo prekiaujama importo valstybėje </w:t>
      </w:r>
      <w:r>
        <w:rPr>
          <w:rFonts w:asciiTheme="majorBidi" w:hAnsiTheme="majorBidi" w:cstheme="majorBidi"/>
          <w:sz w:val="24"/>
          <w:szCs w:val="24"/>
          <w:lang w:eastAsia="en-GB"/>
        </w:rPr>
        <w:lastRenderedPageBreak/>
        <w:t>narė</w:t>
      </w:r>
      <w:r w:rsidR="001A437D">
        <w:rPr>
          <w:rFonts w:asciiTheme="majorBidi" w:hAnsiTheme="majorBidi" w:cstheme="majorBidi"/>
          <w:sz w:val="24"/>
          <w:szCs w:val="24"/>
          <w:lang w:eastAsia="en-GB"/>
        </w:rPr>
        <w:t>je</w:t>
      </w:r>
      <w:r>
        <w:rPr>
          <w:rFonts w:asciiTheme="majorBidi" w:hAnsiTheme="majorBidi" w:cstheme="majorBidi"/>
          <w:sz w:val="24"/>
          <w:szCs w:val="24"/>
          <w:lang w:eastAsia="en-GB"/>
        </w:rPr>
        <w:t xml:space="preserve">, nevertino pirmiau nurodytų aplinkybių ir jų įtakos atsakovės veiksmingam patekimui į rinką buvimo. Nors šiuo atveju būtent atsakovei tenka įrodinėjimo pareiga įrodyti visų sąlygų, įskaitant ir objektyvųjį būtinumą perpakuoti vaistinius preparatus siekiant veiksmingai patekti į rinką, </w:t>
      </w:r>
      <w:r w:rsidR="001A437D">
        <w:rPr>
          <w:rFonts w:asciiTheme="majorBidi" w:hAnsiTheme="majorBidi" w:cstheme="majorBidi"/>
          <w:sz w:val="24"/>
          <w:szCs w:val="24"/>
          <w:lang w:eastAsia="en-GB"/>
        </w:rPr>
        <w:t xml:space="preserve">buvimą, </w:t>
      </w:r>
      <w:r>
        <w:rPr>
          <w:rFonts w:asciiTheme="majorBidi" w:hAnsiTheme="majorBidi" w:cstheme="majorBidi"/>
          <w:sz w:val="24"/>
          <w:szCs w:val="24"/>
          <w:lang w:eastAsia="en-GB"/>
        </w:rPr>
        <w:t>vis dėlto, kaip minėta, byloje nėra pakankamai duomenų, leidžiančių tinkamai išnagrinėti ši</w:t>
      </w:r>
      <w:r w:rsidR="001A437D">
        <w:rPr>
          <w:rFonts w:asciiTheme="majorBidi" w:hAnsiTheme="majorBidi" w:cstheme="majorBidi"/>
          <w:sz w:val="24"/>
          <w:szCs w:val="24"/>
          <w:lang w:eastAsia="en-GB"/>
        </w:rPr>
        <w:t>ą</w:t>
      </w:r>
      <w:r>
        <w:rPr>
          <w:rFonts w:asciiTheme="majorBidi" w:hAnsiTheme="majorBidi" w:cstheme="majorBidi"/>
          <w:sz w:val="24"/>
          <w:szCs w:val="24"/>
          <w:lang w:eastAsia="en-GB"/>
        </w:rPr>
        <w:t xml:space="preserve"> bylą kasaciniame teisme</w:t>
      </w:r>
      <w:r w:rsidR="001A437D">
        <w:rPr>
          <w:rFonts w:asciiTheme="majorBidi" w:hAnsiTheme="majorBidi" w:cstheme="majorBidi"/>
          <w:sz w:val="24"/>
          <w:szCs w:val="24"/>
          <w:lang w:eastAsia="en-GB"/>
        </w:rPr>
        <w:t>,</w:t>
      </w:r>
      <w:r>
        <w:rPr>
          <w:rFonts w:asciiTheme="majorBidi" w:hAnsiTheme="majorBidi" w:cstheme="majorBidi"/>
          <w:sz w:val="24"/>
          <w:szCs w:val="24"/>
          <w:lang w:eastAsia="en-GB"/>
        </w:rPr>
        <w:t xml:space="preserve"> dėl netinkamo ir neišsamaus bylos teisingam išnagrinėjimui reikšmingų aplinkybių nustatymo ir įvertinimo. Teisėjų kolegijos vertinimu, tinkamas teisingam bylos išnagrinėjimui reikšmingų aplinkybių nenustatymas ir neįvertinimas sudaro pagrindą konstatuoti, kad teismai netinkamai atskleidė kilusio ginčo esmę, o t</w:t>
      </w:r>
      <w:r w:rsidRPr="00192A41">
        <w:rPr>
          <w:rFonts w:asciiTheme="majorBidi" w:hAnsiTheme="majorBidi" w:cstheme="majorBidi"/>
          <w:sz w:val="24"/>
          <w:szCs w:val="24"/>
          <w:lang w:eastAsia="en-GB"/>
        </w:rPr>
        <w:t>ai sudaro pagrindą panaikinti pirmosios ir apeliacinės instancijos teism</w:t>
      </w:r>
      <w:r w:rsidR="00A667E9">
        <w:rPr>
          <w:rFonts w:asciiTheme="majorBidi" w:hAnsiTheme="majorBidi" w:cstheme="majorBidi"/>
          <w:sz w:val="24"/>
          <w:szCs w:val="24"/>
          <w:lang w:eastAsia="en-GB"/>
        </w:rPr>
        <w:t>ų</w:t>
      </w:r>
      <w:r w:rsidRPr="00192A41">
        <w:rPr>
          <w:rFonts w:asciiTheme="majorBidi" w:hAnsiTheme="majorBidi" w:cstheme="majorBidi"/>
          <w:sz w:val="24"/>
          <w:szCs w:val="24"/>
          <w:lang w:eastAsia="en-GB"/>
        </w:rPr>
        <w:t xml:space="preserve"> </w:t>
      </w:r>
      <w:r>
        <w:rPr>
          <w:rFonts w:asciiTheme="majorBidi" w:hAnsiTheme="majorBidi" w:cstheme="majorBidi"/>
          <w:sz w:val="24"/>
          <w:szCs w:val="24"/>
          <w:lang w:eastAsia="en-GB"/>
        </w:rPr>
        <w:t xml:space="preserve">sprendimų dalis, kuriomis buvo netinkamai įvertinta pirmoji sąlyga, </w:t>
      </w:r>
      <w:r w:rsidR="001A437D">
        <w:rPr>
          <w:rFonts w:asciiTheme="majorBidi" w:hAnsiTheme="majorBidi" w:cstheme="majorBidi"/>
          <w:sz w:val="24"/>
          <w:szCs w:val="24"/>
          <w:lang w:eastAsia="en-GB"/>
        </w:rPr>
        <w:t>kuri</w:t>
      </w:r>
      <w:r>
        <w:rPr>
          <w:rFonts w:asciiTheme="majorBidi" w:hAnsiTheme="majorBidi" w:cstheme="majorBidi"/>
          <w:sz w:val="24"/>
          <w:szCs w:val="24"/>
          <w:lang w:eastAsia="en-GB"/>
        </w:rPr>
        <w:t xml:space="preserve"> lygiagrečiam importuotojui </w:t>
      </w:r>
      <w:r w:rsidR="001A437D">
        <w:rPr>
          <w:rFonts w:asciiTheme="majorBidi" w:hAnsiTheme="majorBidi" w:cstheme="majorBidi"/>
          <w:sz w:val="24"/>
          <w:szCs w:val="24"/>
          <w:lang w:eastAsia="en-GB"/>
        </w:rPr>
        <w:t>būtina</w:t>
      </w:r>
      <w:r>
        <w:rPr>
          <w:rFonts w:asciiTheme="majorBidi" w:hAnsiTheme="majorBidi" w:cstheme="majorBidi"/>
          <w:sz w:val="24"/>
          <w:szCs w:val="24"/>
          <w:lang w:eastAsia="en-GB"/>
        </w:rPr>
        <w:t xml:space="preserve"> perpakavimo objektyv</w:t>
      </w:r>
      <w:r w:rsidR="001A437D">
        <w:rPr>
          <w:rFonts w:asciiTheme="majorBidi" w:hAnsiTheme="majorBidi" w:cstheme="majorBidi"/>
          <w:sz w:val="24"/>
          <w:szCs w:val="24"/>
          <w:lang w:eastAsia="en-GB"/>
        </w:rPr>
        <w:t>iajam</w:t>
      </w:r>
      <w:r>
        <w:rPr>
          <w:rFonts w:asciiTheme="majorBidi" w:hAnsiTheme="majorBidi" w:cstheme="majorBidi"/>
          <w:sz w:val="24"/>
          <w:szCs w:val="24"/>
          <w:lang w:eastAsia="en-GB"/>
        </w:rPr>
        <w:t xml:space="preserve"> būtinum</w:t>
      </w:r>
      <w:r w:rsidR="001A437D">
        <w:rPr>
          <w:rFonts w:asciiTheme="majorBidi" w:hAnsiTheme="majorBidi" w:cstheme="majorBidi"/>
          <w:sz w:val="24"/>
          <w:szCs w:val="24"/>
          <w:lang w:eastAsia="en-GB"/>
        </w:rPr>
        <w:t>ui pagrįsti</w:t>
      </w:r>
      <w:r>
        <w:rPr>
          <w:rFonts w:asciiTheme="majorBidi" w:hAnsiTheme="majorBidi" w:cstheme="majorBidi"/>
          <w:sz w:val="24"/>
          <w:szCs w:val="24"/>
          <w:lang w:eastAsia="en-GB"/>
        </w:rPr>
        <w:t>,</w:t>
      </w:r>
      <w:r w:rsidRPr="00192A41">
        <w:rPr>
          <w:rFonts w:asciiTheme="majorBidi" w:hAnsiTheme="majorBidi" w:cstheme="majorBidi"/>
          <w:sz w:val="24"/>
          <w:szCs w:val="24"/>
          <w:lang w:eastAsia="en-GB"/>
        </w:rPr>
        <w:t xml:space="preserve"> ir perduoti </w:t>
      </w:r>
      <w:r w:rsidR="001A437D">
        <w:rPr>
          <w:rFonts w:asciiTheme="majorBidi" w:hAnsiTheme="majorBidi" w:cstheme="majorBidi"/>
          <w:sz w:val="24"/>
          <w:szCs w:val="24"/>
          <w:lang w:eastAsia="en-GB"/>
        </w:rPr>
        <w:t xml:space="preserve">šią </w:t>
      </w:r>
      <w:r w:rsidRPr="00192A41">
        <w:rPr>
          <w:rFonts w:asciiTheme="majorBidi" w:hAnsiTheme="majorBidi" w:cstheme="majorBidi"/>
          <w:sz w:val="24"/>
          <w:szCs w:val="24"/>
          <w:lang w:eastAsia="en-GB"/>
        </w:rPr>
        <w:t>byl</w:t>
      </w:r>
      <w:r w:rsidR="001A437D">
        <w:rPr>
          <w:rFonts w:asciiTheme="majorBidi" w:hAnsiTheme="majorBidi" w:cstheme="majorBidi"/>
          <w:sz w:val="24"/>
          <w:szCs w:val="24"/>
          <w:lang w:eastAsia="en-GB"/>
        </w:rPr>
        <w:t>os</w:t>
      </w:r>
      <w:r>
        <w:rPr>
          <w:rFonts w:asciiTheme="majorBidi" w:hAnsiTheme="majorBidi" w:cstheme="majorBidi"/>
          <w:sz w:val="24"/>
          <w:szCs w:val="24"/>
          <w:lang w:eastAsia="en-GB"/>
        </w:rPr>
        <w:t xml:space="preserve"> dal</w:t>
      </w:r>
      <w:r w:rsidR="001A437D">
        <w:rPr>
          <w:rFonts w:asciiTheme="majorBidi" w:hAnsiTheme="majorBidi" w:cstheme="majorBidi"/>
          <w:sz w:val="24"/>
          <w:szCs w:val="24"/>
          <w:lang w:eastAsia="en-GB"/>
        </w:rPr>
        <w:t>į</w:t>
      </w:r>
      <w:r w:rsidRPr="00192A41">
        <w:rPr>
          <w:rFonts w:asciiTheme="majorBidi" w:hAnsiTheme="majorBidi" w:cstheme="majorBidi"/>
          <w:sz w:val="24"/>
          <w:szCs w:val="24"/>
          <w:lang w:eastAsia="en-GB"/>
        </w:rPr>
        <w:t xml:space="preserve"> iš naujo nagrinėti pirmosios instancijos teismui </w:t>
      </w:r>
      <w:bookmarkEnd w:id="20"/>
      <w:r w:rsidRPr="00192A41">
        <w:rPr>
          <w:rFonts w:asciiTheme="majorBidi" w:hAnsiTheme="majorBidi" w:cstheme="majorBidi"/>
          <w:sz w:val="24"/>
          <w:szCs w:val="24"/>
          <w:lang w:eastAsia="en-GB"/>
        </w:rPr>
        <w:t>(CPK 360</w:t>
      </w:r>
      <w:r w:rsidR="006703CE">
        <w:rPr>
          <w:rFonts w:asciiTheme="majorBidi" w:hAnsiTheme="majorBidi" w:cstheme="majorBidi"/>
          <w:sz w:val="24"/>
          <w:szCs w:val="24"/>
          <w:lang w:eastAsia="en-GB"/>
        </w:rPr>
        <w:t> </w:t>
      </w:r>
      <w:r w:rsidRPr="00192A41">
        <w:rPr>
          <w:rFonts w:asciiTheme="majorBidi" w:hAnsiTheme="majorBidi" w:cstheme="majorBidi"/>
          <w:sz w:val="24"/>
          <w:szCs w:val="24"/>
          <w:lang w:eastAsia="en-GB"/>
        </w:rPr>
        <w:t>straipsnis).</w:t>
      </w:r>
    </w:p>
    <w:p w14:paraId="42769F0B" w14:textId="7116D6FB" w:rsidR="00754963" w:rsidRPr="00E31C84" w:rsidRDefault="00754963" w:rsidP="00754963">
      <w:pPr>
        <w:pStyle w:val="ListParagraph"/>
        <w:numPr>
          <w:ilvl w:val="0"/>
          <w:numId w:val="3"/>
        </w:numPr>
        <w:spacing w:before="120" w:after="120" w:line="240" w:lineRule="auto"/>
        <w:contextualSpacing w:val="0"/>
        <w:jc w:val="both"/>
        <w:rPr>
          <w:rFonts w:asciiTheme="majorBidi" w:hAnsiTheme="majorBidi" w:cstheme="majorBidi"/>
          <w:iCs/>
          <w:sz w:val="24"/>
          <w:szCs w:val="24"/>
        </w:rPr>
      </w:pPr>
      <w:r>
        <w:rPr>
          <w:rFonts w:asciiTheme="majorBidi" w:hAnsiTheme="majorBidi" w:cstheme="majorBidi"/>
          <w:sz w:val="24"/>
          <w:szCs w:val="24"/>
          <w:lang w:eastAsia="en-GB"/>
        </w:rPr>
        <w:t xml:space="preserve">Šiuo atveju bylą pakartotinai nagrinėjantis pirmosios instancijos teismas turi nustatyti ir išanalizuoti šios nutarties </w:t>
      </w:r>
      <w:r w:rsidR="00E065AC">
        <w:rPr>
          <w:rFonts w:asciiTheme="majorBidi" w:hAnsiTheme="majorBidi" w:cstheme="majorBidi"/>
          <w:sz w:val="24"/>
          <w:szCs w:val="24"/>
          <w:lang w:eastAsia="en-GB"/>
        </w:rPr>
        <w:t>64</w:t>
      </w:r>
      <w:r w:rsidRPr="00235143">
        <w:rPr>
          <w:rFonts w:asciiTheme="majorBidi" w:hAnsiTheme="majorBidi" w:cstheme="majorBidi"/>
          <w:sz w:val="24"/>
          <w:szCs w:val="24"/>
          <w:lang w:eastAsia="en-GB"/>
        </w:rPr>
        <w:t xml:space="preserve"> punkte nurodytas aplinkybes</w:t>
      </w:r>
      <w:r>
        <w:rPr>
          <w:rFonts w:asciiTheme="majorBidi" w:hAnsiTheme="majorBidi" w:cstheme="majorBidi"/>
          <w:sz w:val="24"/>
          <w:szCs w:val="24"/>
          <w:lang w:eastAsia="en-GB"/>
        </w:rPr>
        <w:t xml:space="preserve"> </w:t>
      </w:r>
      <w:r w:rsidR="00A667E9">
        <w:rPr>
          <w:rFonts w:asciiTheme="majorBidi" w:hAnsiTheme="majorBidi" w:cstheme="majorBidi"/>
          <w:sz w:val="24"/>
          <w:szCs w:val="24"/>
          <w:lang w:eastAsia="en-GB"/>
        </w:rPr>
        <w:t>ir,</w:t>
      </w:r>
      <w:r>
        <w:rPr>
          <w:rFonts w:asciiTheme="majorBidi" w:hAnsiTheme="majorBidi" w:cstheme="majorBidi"/>
          <w:sz w:val="24"/>
          <w:szCs w:val="24"/>
          <w:lang w:eastAsia="en-GB"/>
        </w:rPr>
        <w:t xml:space="preserve"> įvertinęs jų visumą</w:t>
      </w:r>
      <w:r w:rsidR="00A667E9">
        <w:rPr>
          <w:rFonts w:asciiTheme="majorBidi" w:hAnsiTheme="majorBidi" w:cstheme="majorBidi"/>
          <w:sz w:val="24"/>
          <w:szCs w:val="24"/>
          <w:lang w:eastAsia="en-GB"/>
        </w:rPr>
        <w:t>,</w:t>
      </w:r>
      <w:r>
        <w:rPr>
          <w:rFonts w:asciiTheme="majorBidi" w:hAnsiTheme="majorBidi" w:cstheme="majorBidi"/>
          <w:sz w:val="24"/>
          <w:szCs w:val="24"/>
          <w:lang w:eastAsia="en-GB"/>
        </w:rPr>
        <w:t xml:space="preserve"> nuspręsti, ar lygiagretaus importo metu egzistavo kliūtys, sutrukdžiusios atsakovei veiksmingai patekti į rinką, taip pateisinusios objektyvųjį būtinumą perpakuoti tą patį vaistinį preparatą, kuriuo Vengrijoje ir Lietuvoje ieškovė prekiauja skirtingais pavadinimais</w:t>
      </w:r>
      <w:r w:rsidR="00E065AC">
        <w:rPr>
          <w:rFonts w:asciiTheme="majorBidi" w:hAnsiTheme="majorBidi" w:cstheme="majorBidi"/>
          <w:sz w:val="24"/>
          <w:szCs w:val="24"/>
          <w:lang w:eastAsia="en-GB"/>
        </w:rPr>
        <w:t xml:space="preserve"> ir ar ieškovė, prieštaraudama perpakavimui, taip dirbtinai nedalija rinkų</w:t>
      </w:r>
      <w:r>
        <w:rPr>
          <w:rFonts w:asciiTheme="majorBidi" w:hAnsiTheme="majorBidi" w:cstheme="majorBidi"/>
          <w:sz w:val="24"/>
          <w:szCs w:val="24"/>
          <w:lang w:eastAsia="en-GB"/>
        </w:rPr>
        <w:t>.</w:t>
      </w:r>
    </w:p>
    <w:p w14:paraId="5BC03499" w14:textId="77777777" w:rsidR="00754963" w:rsidRPr="00484D1A" w:rsidRDefault="00754963" w:rsidP="00754963">
      <w:pPr>
        <w:spacing w:before="480" w:after="480"/>
        <w:ind w:firstLine="709"/>
        <w:jc w:val="both"/>
        <w:rPr>
          <w:i/>
          <w:iCs/>
        </w:rPr>
      </w:pPr>
      <w:r w:rsidRPr="00484D1A">
        <w:rPr>
          <w:i/>
          <w:iCs/>
        </w:rPr>
        <w:t>Dėl bylinėjimosi išlaidų</w:t>
      </w:r>
    </w:p>
    <w:p w14:paraId="14B0F6A0" w14:textId="223A1E52" w:rsidR="0049705B" w:rsidRPr="00E31C84" w:rsidRDefault="00754963" w:rsidP="00754963">
      <w:pPr>
        <w:pStyle w:val="ListParagraph"/>
        <w:numPr>
          <w:ilvl w:val="0"/>
          <w:numId w:val="3"/>
        </w:numPr>
        <w:spacing w:before="120" w:after="480" w:line="240" w:lineRule="auto"/>
        <w:ind w:left="357" w:hanging="357"/>
        <w:contextualSpacing w:val="0"/>
        <w:jc w:val="both"/>
        <w:rPr>
          <w:rFonts w:asciiTheme="majorBidi" w:hAnsiTheme="majorBidi" w:cstheme="majorBidi"/>
          <w:iCs/>
          <w:sz w:val="24"/>
          <w:szCs w:val="24"/>
        </w:rPr>
      </w:pPr>
      <w:r w:rsidRPr="00192A41">
        <w:rPr>
          <w:rFonts w:ascii="Times New Roman" w:hAnsi="Times New Roman"/>
          <w:color w:val="000000"/>
          <w:sz w:val="24"/>
          <w:szCs w:val="24"/>
          <w:lang w:bidi="lt-LT"/>
        </w:rPr>
        <w:t>Kasaciniam teismui nusprendus, kad byla perduotina iš naujo nagrinėti pirmosios instancijos teismui, bylinėjimosi išlaidų atlyginimo priteisimo klausimas išspręstinas šio teismo iš naujo išnagrinėjus bylą</w:t>
      </w:r>
      <w:r>
        <w:rPr>
          <w:rFonts w:ascii="Times New Roman" w:hAnsi="Times New Roman"/>
          <w:color w:val="000000"/>
          <w:sz w:val="24"/>
          <w:szCs w:val="24"/>
          <w:lang w:bidi="lt-LT"/>
        </w:rPr>
        <w:t>.</w:t>
      </w:r>
      <w:r w:rsidR="007E6A07">
        <w:rPr>
          <w:rFonts w:asciiTheme="majorBidi" w:hAnsiTheme="majorBidi" w:cstheme="majorBidi"/>
          <w:sz w:val="24"/>
          <w:szCs w:val="24"/>
          <w:lang w:eastAsia="en-GB"/>
        </w:rPr>
        <w:t xml:space="preserve"> </w:t>
      </w:r>
    </w:p>
    <w:p w14:paraId="52EDE901" w14:textId="2321C7A1" w:rsidR="00123EE2" w:rsidRPr="00484D1A" w:rsidRDefault="00A80C8A" w:rsidP="00996337">
      <w:pPr>
        <w:spacing w:before="120" w:after="120"/>
        <w:ind w:firstLine="720"/>
        <w:jc w:val="both"/>
      </w:pPr>
      <w:r w:rsidRPr="00484D1A">
        <w:t xml:space="preserve">Lietuvos Aukščiausiojo Teismo Civilinių bylų skyriaus teisėjų kolegija, vadovaudamasi Lietuvos Respublikos civilinio proceso kodekso </w:t>
      </w:r>
      <w:r w:rsidR="00344B11" w:rsidRPr="00484D1A">
        <w:t>360 straipsniu,</w:t>
      </w:r>
      <w:r w:rsidR="00F33A67" w:rsidRPr="00484D1A">
        <w:t xml:space="preserve"> 362 </w:t>
      </w:r>
      <w:r w:rsidRPr="00484D1A">
        <w:t>straipsni</w:t>
      </w:r>
      <w:r w:rsidR="008B3F4F" w:rsidRPr="00484D1A">
        <w:t>u</w:t>
      </w:r>
      <w:r w:rsidRPr="00484D1A">
        <w:t>,</w:t>
      </w:r>
    </w:p>
    <w:p w14:paraId="749059B7" w14:textId="77777777" w:rsidR="00123EE2" w:rsidRPr="00484D1A" w:rsidRDefault="00A80C8A" w:rsidP="00A865C3">
      <w:pPr>
        <w:spacing w:before="240" w:after="240"/>
        <w:jc w:val="both"/>
        <w:rPr>
          <w:b/>
          <w:bCs/>
        </w:rPr>
      </w:pPr>
      <w:r w:rsidRPr="00484D1A">
        <w:t>n u t a r i a :</w:t>
      </w:r>
    </w:p>
    <w:p w14:paraId="03CA1304" w14:textId="49D9E78B" w:rsidR="008B3F4F" w:rsidRDefault="00192A41" w:rsidP="00B35ED2">
      <w:pPr>
        <w:ind w:firstLine="720"/>
        <w:jc w:val="both"/>
      </w:pPr>
      <w:r w:rsidRPr="00192A41">
        <w:t>Lietuvos apeliacinio teismo Civilinių bylų skyriaus teisėjų kolegij</w:t>
      </w:r>
      <w:r>
        <w:t>os</w:t>
      </w:r>
      <w:r w:rsidRPr="00192A41">
        <w:t xml:space="preserve"> 2022 m. gruodžio 14 d. sprendim</w:t>
      </w:r>
      <w:r>
        <w:t xml:space="preserve">ą ir </w:t>
      </w:r>
      <w:r w:rsidRPr="00192A41">
        <w:t>Vilniaus apygardos teismo 2022 m. gegužės 23 d. sprendimą panaikinti ir perduoti bylą iš naujo nagrinėti Vilniaus apygardos teismui</w:t>
      </w:r>
      <w:r w:rsidR="002D2C39" w:rsidRPr="00192A41">
        <w:t>.</w:t>
      </w:r>
    </w:p>
    <w:p w14:paraId="7564EBBF" w14:textId="5534E180" w:rsidR="00123EE2" w:rsidRPr="00484D1A" w:rsidRDefault="00A80C8A" w:rsidP="00344B11">
      <w:pPr>
        <w:spacing w:after="480"/>
        <w:ind w:firstLine="720"/>
        <w:jc w:val="both"/>
      </w:pPr>
      <w:r w:rsidRPr="00484D1A">
        <w:t>Ši Lietuvos Aukščiausiojo Teismo nutartis yra galutinė, neskundžiama ir įsiteisėja nuo priėmimo dienos.</w:t>
      </w:r>
    </w:p>
    <w:p w14:paraId="1D642500" w14:textId="69C6B046" w:rsidR="007F552E" w:rsidRPr="00484D1A" w:rsidRDefault="00A80C8A" w:rsidP="00C37CEF">
      <w:pPr>
        <w:tabs>
          <w:tab w:val="left" w:pos="6237"/>
        </w:tabs>
        <w:spacing w:after="480"/>
        <w:jc w:val="both"/>
      </w:pPr>
      <w:r w:rsidRPr="00484D1A">
        <w:t>Teisėj</w:t>
      </w:r>
      <w:r w:rsidR="00C37CEF">
        <w:t>ai</w:t>
      </w:r>
      <w:r w:rsidRPr="00484D1A">
        <w:tab/>
      </w:r>
      <w:r w:rsidR="00944469">
        <w:t xml:space="preserve">Alė </w:t>
      </w:r>
      <w:proofErr w:type="spellStart"/>
      <w:r w:rsidR="00944469">
        <w:t>Bukavinienė</w:t>
      </w:r>
      <w:proofErr w:type="spellEnd"/>
      <w:r w:rsidR="007F552E" w:rsidRPr="00484D1A">
        <w:tab/>
      </w:r>
    </w:p>
    <w:p w14:paraId="4595A3C7" w14:textId="234604E3" w:rsidR="00960355" w:rsidRDefault="007F552E" w:rsidP="00344B11">
      <w:pPr>
        <w:tabs>
          <w:tab w:val="left" w:pos="6237"/>
        </w:tabs>
        <w:spacing w:after="480"/>
        <w:jc w:val="both"/>
      </w:pPr>
      <w:r w:rsidRPr="00484D1A">
        <w:tab/>
      </w:r>
      <w:r w:rsidR="00C37CEF">
        <w:t xml:space="preserve">Artūras </w:t>
      </w:r>
      <w:proofErr w:type="spellStart"/>
      <w:r w:rsidR="00C37CEF">
        <w:t>Driukas</w:t>
      </w:r>
      <w:proofErr w:type="spellEnd"/>
    </w:p>
    <w:p w14:paraId="4D0382E6" w14:textId="3E760390" w:rsidR="00C37CEF" w:rsidRPr="00484D1A" w:rsidRDefault="00C37CEF" w:rsidP="00344B11">
      <w:pPr>
        <w:tabs>
          <w:tab w:val="left" w:pos="6237"/>
        </w:tabs>
        <w:spacing w:after="480"/>
        <w:jc w:val="both"/>
      </w:pPr>
      <w:r>
        <w:tab/>
        <w:t>Virgilijus Grabinskas</w:t>
      </w:r>
    </w:p>
    <w:sectPr w:rsidR="00C37CEF" w:rsidRPr="00484D1A" w:rsidSect="007B1FCE">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A6A35" w14:textId="77777777" w:rsidR="007B1FCE" w:rsidRDefault="007B1FCE">
      <w:r>
        <w:separator/>
      </w:r>
    </w:p>
  </w:endnote>
  <w:endnote w:type="continuationSeparator" w:id="0">
    <w:p w14:paraId="5EB11497" w14:textId="77777777" w:rsidR="007B1FCE" w:rsidRDefault="007B1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FBC20" w14:textId="77777777" w:rsidR="007B1FCE" w:rsidRDefault="007B1FCE">
      <w:r>
        <w:separator/>
      </w:r>
    </w:p>
  </w:footnote>
  <w:footnote w:type="continuationSeparator" w:id="0">
    <w:p w14:paraId="2BB02156" w14:textId="77777777" w:rsidR="007B1FCE" w:rsidRDefault="007B1F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317633" w:rsidRDefault="00317633">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17633" w:rsidRDefault="00317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317633" w:rsidRDefault="00317633">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B2498">
      <w:rPr>
        <w:rStyle w:val="PageNumber"/>
        <w:noProof/>
      </w:rPr>
      <w:t>11</w:t>
    </w:r>
    <w:r>
      <w:fldChar w:fldCharType="end"/>
    </w:r>
  </w:p>
  <w:p w14:paraId="600C41B9" w14:textId="6AFD196D" w:rsidR="00317633" w:rsidRDefault="00317633">
    <w:pPr>
      <w:pStyle w:val="Header"/>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489205C"/>
    <w:multiLevelType w:val="multilevel"/>
    <w:tmpl w:val="CB32EAF6"/>
    <w:lvl w:ilvl="0">
      <w:start w:val="1"/>
      <w:numFmt w:val="decimal"/>
      <w:lvlText w:val="%1."/>
      <w:lvlJc w:val="left"/>
      <w:pPr>
        <w:ind w:left="360" w:hanging="360"/>
      </w:pPr>
      <w:rPr>
        <w:rFonts w:hint="default"/>
        <w:b w:val="0"/>
        <w:bCs w:val="0"/>
        <w:i w:val="0"/>
        <w:iCs w:val="0"/>
        <w:color w:val="auto"/>
      </w:rPr>
    </w:lvl>
    <w:lvl w:ilvl="1">
      <w:start w:val="1"/>
      <w:numFmt w:val="decimal"/>
      <w:isLgl/>
      <w:lvlText w:val="%1.%2"/>
      <w:lvlJc w:val="left"/>
      <w:pPr>
        <w:ind w:left="502"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85378BD"/>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C11814"/>
    <w:multiLevelType w:val="multilevel"/>
    <w:tmpl w:val="A99C6754"/>
    <w:lvl w:ilvl="0">
      <w:start w:val="1"/>
      <w:numFmt w:val="decimal"/>
      <w:lvlText w:val="%1."/>
      <w:lvlJc w:val="left"/>
      <w:pPr>
        <w:ind w:left="644" w:hanging="360"/>
      </w:pPr>
      <w:rPr>
        <w:rFonts w:hint="default"/>
        <w:b w:val="0"/>
        <w:i w:val="0"/>
        <w:color w:val="auto"/>
        <w:sz w:val="24"/>
        <w:szCs w:val="24"/>
      </w:rPr>
    </w:lvl>
    <w:lvl w:ilvl="1">
      <w:start w:val="1"/>
      <w:numFmt w:val="decimal"/>
      <w:lvlText w:val="%1.%2."/>
      <w:lvlJc w:val="left"/>
      <w:pPr>
        <w:ind w:left="16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A74F0F"/>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1A5C71"/>
    <w:multiLevelType w:val="multilevel"/>
    <w:tmpl w:val="E90402AE"/>
    <w:lvl w:ilvl="0">
      <w:start w:val="6"/>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291643"/>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0059FD"/>
    <w:multiLevelType w:val="multilevel"/>
    <w:tmpl w:val="E90402AE"/>
    <w:lvl w:ilvl="0">
      <w:start w:val="6"/>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0B5EC9"/>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986A55"/>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410E96"/>
    <w:multiLevelType w:val="multilevel"/>
    <w:tmpl w:val="070EE64A"/>
    <w:lvl w:ilvl="0">
      <w:start w:val="3"/>
      <w:numFmt w:val="decimal"/>
      <w:lvlText w:val="%1."/>
      <w:lvlJc w:val="left"/>
      <w:pPr>
        <w:ind w:left="360" w:hanging="360"/>
      </w:pPr>
      <w:rPr>
        <w:rFonts w:hint="default"/>
        <w:i w:val="0"/>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802965"/>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592CA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FE58C6"/>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5471E95"/>
    <w:multiLevelType w:val="hybridMultilevel"/>
    <w:tmpl w:val="1714DF08"/>
    <w:lvl w:ilvl="0" w:tplc="463862AC">
      <w:start w:val="1"/>
      <w:numFmt w:val="upperRoman"/>
      <w:lvlText w:val="%1."/>
      <w:lvlJc w:val="left"/>
      <w:pPr>
        <w:ind w:left="1440" w:hanging="720"/>
      </w:pPr>
      <w:rPr>
        <w:rFonts w:hint="default"/>
      </w:rPr>
    </w:lvl>
    <w:lvl w:ilvl="1" w:tplc="CAB872B4">
      <w:start w:val="2015"/>
      <w:numFmt w:val="decimal"/>
      <w:lvlText w:val="%2"/>
      <w:lvlJc w:val="left"/>
      <w:pPr>
        <w:ind w:left="1920" w:hanging="48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8EB1CDC"/>
    <w:multiLevelType w:val="multilevel"/>
    <w:tmpl w:val="C0D2E3F2"/>
    <w:lvl w:ilvl="0">
      <w:start w:val="30"/>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61626738">
    <w:abstractNumId w:val="7"/>
  </w:num>
  <w:num w:numId="2" w16cid:durableId="191505201">
    <w:abstractNumId w:val="11"/>
  </w:num>
  <w:num w:numId="3" w16cid:durableId="1833906649">
    <w:abstractNumId w:val="16"/>
  </w:num>
  <w:num w:numId="4" w16cid:durableId="646084599">
    <w:abstractNumId w:val="0"/>
  </w:num>
  <w:num w:numId="5" w16cid:durableId="2100179575">
    <w:abstractNumId w:val="6"/>
  </w:num>
  <w:num w:numId="6" w16cid:durableId="503592613">
    <w:abstractNumId w:val="14"/>
  </w:num>
  <w:num w:numId="7" w16cid:durableId="401562152">
    <w:abstractNumId w:val="12"/>
  </w:num>
  <w:num w:numId="8" w16cid:durableId="7830822">
    <w:abstractNumId w:val="4"/>
  </w:num>
  <w:num w:numId="9" w16cid:durableId="632909238">
    <w:abstractNumId w:val="9"/>
  </w:num>
  <w:num w:numId="10" w16cid:durableId="2140566471">
    <w:abstractNumId w:val="15"/>
  </w:num>
  <w:num w:numId="11" w16cid:durableId="206719034">
    <w:abstractNumId w:val="1"/>
  </w:num>
  <w:num w:numId="12" w16cid:durableId="1881433661">
    <w:abstractNumId w:val="3"/>
  </w:num>
  <w:num w:numId="13" w16cid:durableId="1565945112">
    <w:abstractNumId w:val="8"/>
  </w:num>
  <w:num w:numId="14" w16cid:durableId="926962117">
    <w:abstractNumId w:val="2"/>
  </w:num>
  <w:num w:numId="15" w16cid:durableId="1450658673">
    <w:abstractNumId w:val="13"/>
  </w:num>
  <w:num w:numId="16" w16cid:durableId="160857615">
    <w:abstractNumId w:val="10"/>
  </w:num>
  <w:num w:numId="17" w16cid:durableId="702289729">
    <w:abstractNumId w:val="5"/>
  </w:num>
  <w:num w:numId="18" w16cid:durableId="818155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39BA"/>
    <w:rsid w:val="0000471D"/>
    <w:rsid w:val="00005EBE"/>
    <w:rsid w:val="00006B86"/>
    <w:rsid w:val="000072DB"/>
    <w:rsid w:val="00007840"/>
    <w:rsid w:val="0001067D"/>
    <w:rsid w:val="00011F32"/>
    <w:rsid w:val="000128D3"/>
    <w:rsid w:val="00012E5D"/>
    <w:rsid w:val="000149F2"/>
    <w:rsid w:val="00014CC0"/>
    <w:rsid w:val="00016727"/>
    <w:rsid w:val="000172F1"/>
    <w:rsid w:val="00020A3D"/>
    <w:rsid w:val="00022287"/>
    <w:rsid w:val="00022933"/>
    <w:rsid w:val="0002361B"/>
    <w:rsid w:val="0002452D"/>
    <w:rsid w:val="00024966"/>
    <w:rsid w:val="00025B7F"/>
    <w:rsid w:val="000260AA"/>
    <w:rsid w:val="00026BF6"/>
    <w:rsid w:val="00030C59"/>
    <w:rsid w:val="00031909"/>
    <w:rsid w:val="00031B5D"/>
    <w:rsid w:val="00031C9F"/>
    <w:rsid w:val="00032422"/>
    <w:rsid w:val="00032F86"/>
    <w:rsid w:val="00034495"/>
    <w:rsid w:val="000358EF"/>
    <w:rsid w:val="00035915"/>
    <w:rsid w:val="00035CB0"/>
    <w:rsid w:val="00035E79"/>
    <w:rsid w:val="00036B19"/>
    <w:rsid w:val="00040D3E"/>
    <w:rsid w:val="000412EC"/>
    <w:rsid w:val="00041859"/>
    <w:rsid w:val="000441D7"/>
    <w:rsid w:val="00044B1C"/>
    <w:rsid w:val="00044D97"/>
    <w:rsid w:val="00045F43"/>
    <w:rsid w:val="000505D3"/>
    <w:rsid w:val="00050763"/>
    <w:rsid w:val="00051C3E"/>
    <w:rsid w:val="00051CCD"/>
    <w:rsid w:val="00052EE9"/>
    <w:rsid w:val="00053D96"/>
    <w:rsid w:val="00054309"/>
    <w:rsid w:val="00054442"/>
    <w:rsid w:val="00057869"/>
    <w:rsid w:val="0006133F"/>
    <w:rsid w:val="00061F64"/>
    <w:rsid w:val="000631CB"/>
    <w:rsid w:val="000636D0"/>
    <w:rsid w:val="00064B99"/>
    <w:rsid w:val="000655B3"/>
    <w:rsid w:val="00067999"/>
    <w:rsid w:val="00070ECD"/>
    <w:rsid w:val="00070EE4"/>
    <w:rsid w:val="0007137C"/>
    <w:rsid w:val="000715B7"/>
    <w:rsid w:val="00071C41"/>
    <w:rsid w:val="000729FC"/>
    <w:rsid w:val="0007472C"/>
    <w:rsid w:val="00074B1E"/>
    <w:rsid w:val="0007609B"/>
    <w:rsid w:val="0007797D"/>
    <w:rsid w:val="00077B97"/>
    <w:rsid w:val="000815FD"/>
    <w:rsid w:val="000828C5"/>
    <w:rsid w:val="00084147"/>
    <w:rsid w:val="000854A0"/>
    <w:rsid w:val="00085EF8"/>
    <w:rsid w:val="0008625E"/>
    <w:rsid w:val="000867E9"/>
    <w:rsid w:val="00086B11"/>
    <w:rsid w:val="00086EBD"/>
    <w:rsid w:val="00086F72"/>
    <w:rsid w:val="0009119A"/>
    <w:rsid w:val="00091F04"/>
    <w:rsid w:val="000928B1"/>
    <w:rsid w:val="00092F02"/>
    <w:rsid w:val="00093048"/>
    <w:rsid w:val="00093539"/>
    <w:rsid w:val="00094558"/>
    <w:rsid w:val="0009456D"/>
    <w:rsid w:val="0009494D"/>
    <w:rsid w:val="00095F45"/>
    <w:rsid w:val="000961F7"/>
    <w:rsid w:val="000A0EFB"/>
    <w:rsid w:val="000A2C25"/>
    <w:rsid w:val="000A3B7F"/>
    <w:rsid w:val="000A6358"/>
    <w:rsid w:val="000B0819"/>
    <w:rsid w:val="000B1001"/>
    <w:rsid w:val="000B228C"/>
    <w:rsid w:val="000B3607"/>
    <w:rsid w:val="000B44BF"/>
    <w:rsid w:val="000B64FF"/>
    <w:rsid w:val="000B6DEF"/>
    <w:rsid w:val="000C24D0"/>
    <w:rsid w:val="000C2577"/>
    <w:rsid w:val="000C3AC0"/>
    <w:rsid w:val="000C55FE"/>
    <w:rsid w:val="000C5B27"/>
    <w:rsid w:val="000C5E8C"/>
    <w:rsid w:val="000C5F3F"/>
    <w:rsid w:val="000C721B"/>
    <w:rsid w:val="000D02E1"/>
    <w:rsid w:val="000D03BE"/>
    <w:rsid w:val="000D1257"/>
    <w:rsid w:val="000D308E"/>
    <w:rsid w:val="000D4AD7"/>
    <w:rsid w:val="000D5218"/>
    <w:rsid w:val="000D5B46"/>
    <w:rsid w:val="000D6A6E"/>
    <w:rsid w:val="000D76CE"/>
    <w:rsid w:val="000E0B60"/>
    <w:rsid w:val="000E1BEE"/>
    <w:rsid w:val="000E3A9D"/>
    <w:rsid w:val="000E4134"/>
    <w:rsid w:val="000E651C"/>
    <w:rsid w:val="000E65F0"/>
    <w:rsid w:val="000E7E9A"/>
    <w:rsid w:val="000F19C0"/>
    <w:rsid w:val="000F1AD4"/>
    <w:rsid w:val="000F1ADF"/>
    <w:rsid w:val="000F1E7B"/>
    <w:rsid w:val="000F2102"/>
    <w:rsid w:val="000F2108"/>
    <w:rsid w:val="000F2EF6"/>
    <w:rsid w:val="000F3643"/>
    <w:rsid w:val="000F3F7B"/>
    <w:rsid w:val="000F4CC7"/>
    <w:rsid w:val="000F4EFD"/>
    <w:rsid w:val="000F507E"/>
    <w:rsid w:val="000F515A"/>
    <w:rsid w:val="000F5486"/>
    <w:rsid w:val="000F5EC5"/>
    <w:rsid w:val="000F64ED"/>
    <w:rsid w:val="000F69B3"/>
    <w:rsid w:val="000F7802"/>
    <w:rsid w:val="000F7C66"/>
    <w:rsid w:val="000F7F61"/>
    <w:rsid w:val="00100AD1"/>
    <w:rsid w:val="00100E1B"/>
    <w:rsid w:val="00101FF8"/>
    <w:rsid w:val="001027A6"/>
    <w:rsid w:val="00103B6E"/>
    <w:rsid w:val="001043A1"/>
    <w:rsid w:val="0010449C"/>
    <w:rsid w:val="001046F5"/>
    <w:rsid w:val="0010479C"/>
    <w:rsid w:val="00104881"/>
    <w:rsid w:val="00105097"/>
    <w:rsid w:val="0010642B"/>
    <w:rsid w:val="00107504"/>
    <w:rsid w:val="00112A63"/>
    <w:rsid w:val="001145F9"/>
    <w:rsid w:val="00115E3E"/>
    <w:rsid w:val="001170BD"/>
    <w:rsid w:val="0011765D"/>
    <w:rsid w:val="00120A95"/>
    <w:rsid w:val="00120C6E"/>
    <w:rsid w:val="00120FA1"/>
    <w:rsid w:val="0012249A"/>
    <w:rsid w:val="00123EE2"/>
    <w:rsid w:val="00124E49"/>
    <w:rsid w:val="001305F7"/>
    <w:rsid w:val="001310D5"/>
    <w:rsid w:val="0013113E"/>
    <w:rsid w:val="0013198E"/>
    <w:rsid w:val="001320DE"/>
    <w:rsid w:val="00132E5E"/>
    <w:rsid w:val="00133099"/>
    <w:rsid w:val="00133B84"/>
    <w:rsid w:val="001349F4"/>
    <w:rsid w:val="00134F4C"/>
    <w:rsid w:val="00135118"/>
    <w:rsid w:val="00135666"/>
    <w:rsid w:val="00135E96"/>
    <w:rsid w:val="00136E0A"/>
    <w:rsid w:val="001402C6"/>
    <w:rsid w:val="0014116D"/>
    <w:rsid w:val="00142ACD"/>
    <w:rsid w:val="00142B59"/>
    <w:rsid w:val="00143101"/>
    <w:rsid w:val="00143119"/>
    <w:rsid w:val="00143691"/>
    <w:rsid w:val="00143D05"/>
    <w:rsid w:val="00143D48"/>
    <w:rsid w:val="001448DA"/>
    <w:rsid w:val="001450B1"/>
    <w:rsid w:val="00145DF1"/>
    <w:rsid w:val="001466F8"/>
    <w:rsid w:val="00146825"/>
    <w:rsid w:val="00146A41"/>
    <w:rsid w:val="001474C8"/>
    <w:rsid w:val="00147502"/>
    <w:rsid w:val="00147793"/>
    <w:rsid w:val="001505A0"/>
    <w:rsid w:val="00150BE4"/>
    <w:rsid w:val="00150FAD"/>
    <w:rsid w:val="001510FB"/>
    <w:rsid w:val="0015178F"/>
    <w:rsid w:val="00151FB8"/>
    <w:rsid w:val="001524FD"/>
    <w:rsid w:val="001526CC"/>
    <w:rsid w:val="00152B33"/>
    <w:rsid w:val="00152CC2"/>
    <w:rsid w:val="00153AA0"/>
    <w:rsid w:val="00153F92"/>
    <w:rsid w:val="00154C50"/>
    <w:rsid w:val="00154CBE"/>
    <w:rsid w:val="00154DC4"/>
    <w:rsid w:val="00155D9C"/>
    <w:rsid w:val="00155F1E"/>
    <w:rsid w:val="00156ECF"/>
    <w:rsid w:val="00157334"/>
    <w:rsid w:val="00162EB2"/>
    <w:rsid w:val="00163148"/>
    <w:rsid w:val="00163EA1"/>
    <w:rsid w:val="001648BE"/>
    <w:rsid w:val="00164946"/>
    <w:rsid w:val="00165313"/>
    <w:rsid w:val="00165818"/>
    <w:rsid w:val="00165CB7"/>
    <w:rsid w:val="00165E24"/>
    <w:rsid w:val="001662FC"/>
    <w:rsid w:val="001663BD"/>
    <w:rsid w:val="00166704"/>
    <w:rsid w:val="00166E8F"/>
    <w:rsid w:val="00167D61"/>
    <w:rsid w:val="00167DE3"/>
    <w:rsid w:val="00170F45"/>
    <w:rsid w:val="001710C4"/>
    <w:rsid w:val="0017160D"/>
    <w:rsid w:val="00171739"/>
    <w:rsid w:val="00172CBF"/>
    <w:rsid w:val="00175891"/>
    <w:rsid w:val="00175F98"/>
    <w:rsid w:val="001766B6"/>
    <w:rsid w:val="00176FC2"/>
    <w:rsid w:val="00180501"/>
    <w:rsid w:val="001818E3"/>
    <w:rsid w:val="00181A63"/>
    <w:rsid w:val="00181D56"/>
    <w:rsid w:val="00181EF9"/>
    <w:rsid w:val="00182004"/>
    <w:rsid w:val="00184D0B"/>
    <w:rsid w:val="0018511B"/>
    <w:rsid w:val="00185CA3"/>
    <w:rsid w:val="001864AD"/>
    <w:rsid w:val="00192251"/>
    <w:rsid w:val="00192A41"/>
    <w:rsid w:val="001950AC"/>
    <w:rsid w:val="001963E4"/>
    <w:rsid w:val="00196946"/>
    <w:rsid w:val="00196989"/>
    <w:rsid w:val="00197799"/>
    <w:rsid w:val="00197C6A"/>
    <w:rsid w:val="00197CC1"/>
    <w:rsid w:val="00197E53"/>
    <w:rsid w:val="001A097C"/>
    <w:rsid w:val="001A119B"/>
    <w:rsid w:val="001A1777"/>
    <w:rsid w:val="001A1DD2"/>
    <w:rsid w:val="001A28DD"/>
    <w:rsid w:val="001A39F0"/>
    <w:rsid w:val="001A42CC"/>
    <w:rsid w:val="001A437D"/>
    <w:rsid w:val="001A5159"/>
    <w:rsid w:val="001A5513"/>
    <w:rsid w:val="001A601E"/>
    <w:rsid w:val="001A679B"/>
    <w:rsid w:val="001A7662"/>
    <w:rsid w:val="001A7C1C"/>
    <w:rsid w:val="001B053C"/>
    <w:rsid w:val="001B0729"/>
    <w:rsid w:val="001B07B4"/>
    <w:rsid w:val="001B153A"/>
    <w:rsid w:val="001B19E0"/>
    <w:rsid w:val="001B1C84"/>
    <w:rsid w:val="001B2A91"/>
    <w:rsid w:val="001B5273"/>
    <w:rsid w:val="001B54AD"/>
    <w:rsid w:val="001B5C7D"/>
    <w:rsid w:val="001B647B"/>
    <w:rsid w:val="001C0EBD"/>
    <w:rsid w:val="001C264D"/>
    <w:rsid w:val="001C2B3F"/>
    <w:rsid w:val="001C2C3C"/>
    <w:rsid w:val="001C3831"/>
    <w:rsid w:val="001C4AFE"/>
    <w:rsid w:val="001C4E92"/>
    <w:rsid w:val="001C5E57"/>
    <w:rsid w:val="001D046B"/>
    <w:rsid w:val="001D0722"/>
    <w:rsid w:val="001D184F"/>
    <w:rsid w:val="001D609C"/>
    <w:rsid w:val="001D7684"/>
    <w:rsid w:val="001D7BE5"/>
    <w:rsid w:val="001E18D6"/>
    <w:rsid w:val="001E3685"/>
    <w:rsid w:val="001E395D"/>
    <w:rsid w:val="001E4AA4"/>
    <w:rsid w:val="001E4BB8"/>
    <w:rsid w:val="001E6216"/>
    <w:rsid w:val="001E6F2D"/>
    <w:rsid w:val="001E797D"/>
    <w:rsid w:val="001F0BE8"/>
    <w:rsid w:val="001F2C31"/>
    <w:rsid w:val="001F41C0"/>
    <w:rsid w:val="001F5847"/>
    <w:rsid w:val="001F60EE"/>
    <w:rsid w:val="001F6CC1"/>
    <w:rsid w:val="001F7232"/>
    <w:rsid w:val="001F7401"/>
    <w:rsid w:val="00201BC0"/>
    <w:rsid w:val="00201DED"/>
    <w:rsid w:val="00202E3A"/>
    <w:rsid w:val="00203A6A"/>
    <w:rsid w:val="00203C22"/>
    <w:rsid w:val="00203FBF"/>
    <w:rsid w:val="00205560"/>
    <w:rsid w:val="00205BD6"/>
    <w:rsid w:val="002062C3"/>
    <w:rsid w:val="00206C89"/>
    <w:rsid w:val="00206CE1"/>
    <w:rsid w:val="00206F6F"/>
    <w:rsid w:val="002128FA"/>
    <w:rsid w:val="002133B1"/>
    <w:rsid w:val="0021409F"/>
    <w:rsid w:val="0021473E"/>
    <w:rsid w:val="00215E52"/>
    <w:rsid w:val="00215EF8"/>
    <w:rsid w:val="00217625"/>
    <w:rsid w:val="002178FB"/>
    <w:rsid w:val="00222066"/>
    <w:rsid w:val="00222DA1"/>
    <w:rsid w:val="00222FFB"/>
    <w:rsid w:val="002239DE"/>
    <w:rsid w:val="00225E1B"/>
    <w:rsid w:val="00226A3E"/>
    <w:rsid w:val="00231384"/>
    <w:rsid w:val="00231707"/>
    <w:rsid w:val="002319D7"/>
    <w:rsid w:val="00231AFC"/>
    <w:rsid w:val="00231BC6"/>
    <w:rsid w:val="00231C75"/>
    <w:rsid w:val="00231ED9"/>
    <w:rsid w:val="00232007"/>
    <w:rsid w:val="0023247F"/>
    <w:rsid w:val="002325CA"/>
    <w:rsid w:val="0023424C"/>
    <w:rsid w:val="00234776"/>
    <w:rsid w:val="00235D43"/>
    <w:rsid w:val="00235E84"/>
    <w:rsid w:val="00236E3B"/>
    <w:rsid w:val="00237307"/>
    <w:rsid w:val="00240200"/>
    <w:rsid w:val="00240735"/>
    <w:rsid w:val="00240C01"/>
    <w:rsid w:val="00241151"/>
    <w:rsid w:val="00242291"/>
    <w:rsid w:val="00242D91"/>
    <w:rsid w:val="00242EC6"/>
    <w:rsid w:val="00243599"/>
    <w:rsid w:val="00243C1D"/>
    <w:rsid w:val="002455BE"/>
    <w:rsid w:val="00246052"/>
    <w:rsid w:val="0024657E"/>
    <w:rsid w:val="0024663B"/>
    <w:rsid w:val="00246C4C"/>
    <w:rsid w:val="00246D81"/>
    <w:rsid w:val="00247630"/>
    <w:rsid w:val="00251CB7"/>
    <w:rsid w:val="002524D4"/>
    <w:rsid w:val="00252CE7"/>
    <w:rsid w:val="00253807"/>
    <w:rsid w:val="0025394B"/>
    <w:rsid w:val="002549E4"/>
    <w:rsid w:val="00256959"/>
    <w:rsid w:val="00256B75"/>
    <w:rsid w:val="002576C5"/>
    <w:rsid w:val="002579D4"/>
    <w:rsid w:val="00257D6F"/>
    <w:rsid w:val="00257F43"/>
    <w:rsid w:val="0026145E"/>
    <w:rsid w:val="0026169A"/>
    <w:rsid w:val="002619B4"/>
    <w:rsid w:val="00263290"/>
    <w:rsid w:val="002634E4"/>
    <w:rsid w:val="002635D9"/>
    <w:rsid w:val="00263CB3"/>
    <w:rsid w:val="00265375"/>
    <w:rsid w:val="00267BB2"/>
    <w:rsid w:val="00267C98"/>
    <w:rsid w:val="0027030F"/>
    <w:rsid w:val="002723B2"/>
    <w:rsid w:val="00273A5B"/>
    <w:rsid w:val="002740A1"/>
    <w:rsid w:val="002743BF"/>
    <w:rsid w:val="0027456F"/>
    <w:rsid w:val="00275184"/>
    <w:rsid w:val="002751A8"/>
    <w:rsid w:val="0027598A"/>
    <w:rsid w:val="0027627D"/>
    <w:rsid w:val="00276A5D"/>
    <w:rsid w:val="00280A6F"/>
    <w:rsid w:val="00280AC9"/>
    <w:rsid w:val="00281083"/>
    <w:rsid w:val="00282280"/>
    <w:rsid w:val="0028295B"/>
    <w:rsid w:val="00284339"/>
    <w:rsid w:val="00284A2E"/>
    <w:rsid w:val="00284DC1"/>
    <w:rsid w:val="00290CD9"/>
    <w:rsid w:val="00291B79"/>
    <w:rsid w:val="0029270C"/>
    <w:rsid w:val="002927D5"/>
    <w:rsid w:val="00293222"/>
    <w:rsid w:val="002932FF"/>
    <w:rsid w:val="00293874"/>
    <w:rsid w:val="00295A0C"/>
    <w:rsid w:val="00295ECB"/>
    <w:rsid w:val="00296F53"/>
    <w:rsid w:val="00297377"/>
    <w:rsid w:val="00297AE1"/>
    <w:rsid w:val="002A0288"/>
    <w:rsid w:val="002A088A"/>
    <w:rsid w:val="002A122F"/>
    <w:rsid w:val="002A1541"/>
    <w:rsid w:val="002A22F7"/>
    <w:rsid w:val="002A243E"/>
    <w:rsid w:val="002A2A16"/>
    <w:rsid w:val="002A3B59"/>
    <w:rsid w:val="002A3CD9"/>
    <w:rsid w:val="002A5216"/>
    <w:rsid w:val="002A7521"/>
    <w:rsid w:val="002A771D"/>
    <w:rsid w:val="002A7DF0"/>
    <w:rsid w:val="002B4440"/>
    <w:rsid w:val="002B5871"/>
    <w:rsid w:val="002B62DE"/>
    <w:rsid w:val="002C052C"/>
    <w:rsid w:val="002C1365"/>
    <w:rsid w:val="002C2713"/>
    <w:rsid w:val="002C4514"/>
    <w:rsid w:val="002C4EE5"/>
    <w:rsid w:val="002C5AC8"/>
    <w:rsid w:val="002C6221"/>
    <w:rsid w:val="002C65DD"/>
    <w:rsid w:val="002C6785"/>
    <w:rsid w:val="002C6AB9"/>
    <w:rsid w:val="002D04F8"/>
    <w:rsid w:val="002D0E0C"/>
    <w:rsid w:val="002D1C3B"/>
    <w:rsid w:val="002D2C39"/>
    <w:rsid w:val="002D30C7"/>
    <w:rsid w:val="002D4102"/>
    <w:rsid w:val="002D5EF1"/>
    <w:rsid w:val="002D6511"/>
    <w:rsid w:val="002D7656"/>
    <w:rsid w:val="002D76ED"/>
    <w:rsid w:val="002E0ABA"/>
    <w:rsid w:val="002E0CD1"/>
    <w:rsid w:val="002E0EB2"/>
    <w:rsid w:val="002E1C94"/>
    <w:rsid w:val="002E2D5C"/>
    <w:rsid w:val="002E3944"/>
    <w:rsid w:val="002E4339"/>
    <w:rsid w:val="002E449F"/>
    <w:rsid w:val="002E5325"/>
    <w:rsid w:val="002E57A7"/>
    <w:rsid w:val="002E588B"/>
    <w:rsid w:val="002E5F37"/>
    <w:rsid w:val="002E705C"/>
    <w:rsid w:val="002E75A7"/>
    <w:rsid w:val="002E782D"/>
    <w:rsid w:val="002E7BAB"/>
    <w:rsid w:val="002F051F"/>
    <w:rsid w:val="002F082A"/>
    <w:rsid w:val="002F0EF2"/>
    <w:rsid w:val="002F0EF9"/>
    <w:rsid w:val="002F144F"/>
    <w:rsid w:val="002F3C7A"/>
    <w:rsid w:val="002F3D57"/>
    <w:rsid w:val="002F4126"/>
    <w:rsid w:val="00300342"/>
    <w:rsid w:val="00304536"/>
    <w:rsid w:val="00304DE0"/>
    <w:rsid w:val="003061F3"/>
    <w:rsid w:val="00306327"/>
    <w:rsid w:val="0030711A"/>
    <w:rsid w:val="00310B70"/>
    <w:rsid w:val="003126CA"/>
    <w:rsid w:val="00312B4E"/>
    <w:rsid w:val="00312F21"/>
    <w:rsid w:val="003134DC"/>
    <w:rsid w:val="0031408E"/>
    <w:rsid w:val="003153C8"/>
    <w:rsid w:val="00315477"/>
    <w:rsid w:val="00315C82"/>
    <w:rsid w:val="0031600C"/>
    <w:rsid w:val="00316D2A"/>
    <w:rsid w:val="00316EFA"/>
    <w:rsid w:val="00316FFA"/>
    <w:rsid w:val="00317384"/>
    <w:rsid w:val="003173A4"/>
    <w:rsid w:val="00317633"/>
    <w:rsid w:val="00320DA5"/>
    <w:rsid w:val="003211AF"/>
    <w:rsid w:val="003213B9"/>
    <w:rsid w:val="00321F2B"/>
    <w:rsid w:val="00322AE5"/>
    <w:rsid w:val="003235C6"/>
    <w:rsid w:val="0032660F"/>
    <w:rsid w:val="003307CA"/>
    <w:rsid w:val="003335F0"/>
    <w:rsid w:val="00334088"/>
    <w:rsid w:val="003344D4"/>
    <w:rsid w:val="00334774"/>
    <w:rsid w:val="00334EEA"/>
    <w:rsid w:val="003350EB"/>
    <w:rsid w:val="00337FD0"/>
    <w:rsid w:val="0034073B"/>
    <w:rsid w:val="00341C2E"/>
    <w:rsid w:val="003434C5"/>
    <w:rsid w:val="00343CD2"/>
    <w:rsid w:val="00344360"/>
    <w:rsid w:val="00344AE1"/>
    <w:rsid w:val="00344B11"/>
    <w:rsid w:val="00346A99"/>
    <w:rsid w:val="003474C8"/>
    <w:rsid w:val="00347690"/>
    <w:rsid w:val="00350E23"/>
    <w:rsid w:val="00352FA6"/>
    <w:rsid w:val="00354CBD"/>
    <w:rsid w:val="003559F6"/>
    <w:rsid w:val="00355EE4"/>
    <w:rsid w:val="0035613F"/>
    <w:rsid w:val="00357488"/>
    <w:rsid w:val="0035753C"/>
    <w:rsid w:val="003606CF"/>
    <w:rsid w:val="0036090A"/>
    <w:rsid w:val="00363776"/>
    <w:rsid w:val="00364515"/>
    <w:rsid w:val="003656E7"/>
    <w:rsid w:val="00366601"/>
    <w:rsid w:val="003666F3"/>
    <w:rsid w:val="00366941"/>
    <w:rsid w:val="003704C6"/>
    <w:rsid w:val="00370C55"/>
    <w:rsid w:val="00370F70"/>
    <w:rsid w:val="003716AE"/>
    <w:rsid w:val="00371902"/>
    <w:rsid w:val="00372923"/>
    <w:rsid w:val="003743E4"/>
    <w:rsid w:val="00374822"/>
    <w:rsid w:val="00374F2A"/>
    <w:rsid w:val="00375676"/>
    <w:rsid w:val="00375BA6"/>
    <w:rsid w:val="00375C6C"/>
    <w:rsid w:val="00375F90"/>
    <w:rsid w:val="003763EF"/>
    <w:rsid w:val="00376A1D"/>
    <w:rsid w:val="00377509"/>
    <w:rsid w:val="00380977"/>
    <w:rsid w:val="003813DC"/>
    <w:rsid w:val="00383758"/>
    <w:rsid w:val="00384CFF"/>
    <w:rsid w:val="00385288"/>
    <w:rsid w:val="003914EE"/>
    <w:rsid w:val="003921C9"/>
    <w:rsid w:val="00392D9C"/>
    <w:rsid w:val="00393FF6"/>
    <w:rsid w:val="00394FDB"/>
    <w:rsid w:val="003957FF"/>
    <w:rsid w:val="00395C41"/>
    <w:rsid w:val="003966BA"/>
    <w:rsid w:val="00396726"/>
    <w:rsid w:val="003A36FF"/>
    <w:rsid w:val="003A432F"/>
    <w:rsid w:val="003A5221"/>
    <w:rsid w:val="003A75EA"/>
    <w:rsid w:val="003A78FF"/>
    <w:rsid w:val="003B08E7"/>
    <w:rsid w:val="003B098D"/>
    <w:rsid w:val="003B161A"/>
    <w:rsid w:val="003B17D6"/>
    <w:rsid w:val="003B2679"/>
    <w:rsid w:val="003B3AA7"/>
    <w:rsid w:val="003B3CB9"/>
    <w:rsid w:val="003B405D"/>
    <w:rsid w:val="003B48F6"/>
    <w:rsid w:val="003B493D"/>
    <w:rsid w:val="003B57C4"/>
    <w:rsid w:val="003B64D3"/>
    <w:rsid w:val="003B6FB4"/>
    <w:rsid w:val="003C2B0C"/>
    <w:rsid w:val="003C3132"/>
    <w:rsid w:val="003C688F"/>
    <w:rsid w:val="003C7093"/>
    <w:rsid w:val="003C7322"/>
    <w:rsid w:val="003C74B4"/>
    <w:rsid w:val="003C76B9"/>
    <w:rsid w:val="003C7D5E"/>
    <w:rsid w:val="003D3092"/>
    <w:rsid w:val="003D32BB"/>
    <w:rsid w:val="003D33B5"/>
    <w:rsid w:val="003D384E"/>
    <w:rsid w:val="003E1451"/>
    <w:rsid w:val="003E1630"/>
    <w:rsid w:val="003E1E29"/>
    <w:rsid w:val="003E2E39"/>
    <w:rsid w:val="003E34B7"/>
    <w:rsid w:val="003E4334"/>
    <w:rsid w:val="003E4D60"/>
    <w:rsid w:val="003E5E0D"/>
    <w:rsid w:val="003E7DB3"/>
    <w:rsid w:val="003F0BA7"/>
    <w:rsid w:val="003F133E"/>
    <w:rsid w:val="003F1524"/>
    <w:rsid w:val="003F2A37"/>
    <w:rsid w:val="003F2B3D"/>
    <w:rsid w:val="003F33C2"/>
    <w:rsid w:val="003F3782"/>
    <w:rsid w:val="003F381C"/>
    <w:rsid w:val="003F5AAC"/>
    <w:rsid w:val="003F6512"/>
    <w:rsid w:val="003F6F2E"/>
    <w:rsid w:val="003F6F47"/>
    <w:rsid w:val="003F726E"/>
    <w:rsid w:val="003F73CB"/>
    <w:rsid w:val="004006F0"/>
    <w:rsid w:val="00402F0E"/>
    <w:rsid w:val="00403B98"/>
    <w:rsid w:val="0040402B"/>
    <w:rsid w:val="0040406F"/>
    <w:rsid w:val="00404519"/>
    <w:rsid w:val="0040478B"/>
    <w:rsid w:val="00404AC1"/>
    <w:rsid w:val="00405541"/>
    <w:rsid w:val="00406459"/>
    <w:rsid w:val="004107E0"/>
    <w:rsid w:val="00411179"/>
    <w:rsid w:val="00411220"/>
    <w:rsid w:val="00411A86"/>
    <w:rsid w:val="00411FF5"/>
    <w:rsid w:val="0041202D"/>
    <w:rsid w:val="004120CA"/>
    <w:rsid w:val="00412216"/>
    <w:rsid w:val="0041243E"/>
    <w:rsid w:val="004126A0"/>
    <w:rsid w:val="004137F7"/>
    <w:rsid w:val="00414A8B"/>
    <w:rsid w:val="004153CA"/>
    <w:rsid w:val="0041677B"/>
    <w:rsid w:val="00420B2C"/>
    <w:rsid w:val="00420C1F"/>
    <w:rsid w:val="00420F58"/>
    <w:rsid w:val="00421AE7"/>
    <w:rsid w:val="004222B2"/>
    <w:rsid w:val="00422A50"/>
    <w:rsid w:val="0042302E"/>
    <w:rsid w:val="004238C2"/>
    <w:rsid w:val="00423C7E"/>
    <w:rsid w:val="00424477"/>
    <w:rsid w:val="00424A1E"/>
    <w:rsid w:val="00424FF1"/>
    <w:rsid w:val="00425502"/>
    <w:rsid w:val="00427372"/>
    <w:rsid w:val="004274FB"/>
    <w:rsid w:val="00427987"/>
    <w:rsid w:val="00431A46"/>
    <w:rsid w:val="00432269"/>
    <w:rsid w:val="0043266E"/>
    <w:rsid w:val="004331BC"/>
    <w:rsid w:val="0043432D"/>
    <w:rsid w:val="00434671"/>
    <w:rsid w:val="0043632D"/>
    <w:rsid w:val="0043787E"/>
    <w:rsid w:val="00437A92"/>
    <w:rsid w:val="0044446A"/>
    <w:rsid w:val="004452DB"/>
    <w:rsid w:val="004456F2"/>
    <w:rsid w:val="00446626"/>
    <w:rsid w:val="0044693F"/>
    <w:rsid w:val="004470B2"/>
    <w:rsid w:val="004511C5"/>
    <w:rsid w:val="00452DB7"/>
    <w:rsid w:val="00453FA0"/>
    <w:rsid w:val="004546D5"/>
    <w:rsid w:val="00455138"/>
    <w:rsid w:val="004559A7"/>
    <w:rsid w:val="00456403"/>
    <w:rsid w:val="0045654C"/>
    <w:rsid w:val="0045727D"/>
    <w:rsid w:val="00457A30"/>
    <w:rsid w:val="00457AA8"/>
    <w:rsid w:val="00460278"/>
    <w:rsid w:val="00462B59"/>
    <w:rsid w:val="00463E5A"/>
    <w:rsid w:val="00464EA3"/>
    <w:rsid w:val="00464FB5"/>
    <w:rsid w:val="004652FA"/>
    <w:rsid w:val="00466032"/>
    <w:rsid w:val="0046685B"/>
    <w:rsid w:val="0046785E"/>
    <w:rsid w:val="004678AC"/>
    <w:rsid w:val="00467CD1"/>
    <w:rsid w:val="00470136"/>
    <w:rsid w:val="004726C6"/>
    <w:rsid w:val="004731E1"/>
    <w:rsid w:val="00474215"/>
    <w:rsid w:val="004751DE"/>
    <w:rsid w:val="00475F4D"/>
    <w:rsid w:val="00476177"/>
    <w:rsid w:val="00476340"/>
    <w:rsid w:val="00480BFB"/>
    <w:rsid w:val="004811A4"/>
    <w:rsid w:val="00484D1A"/>
    <w:rsid w:val="00485C56"/>
    <w:rsid w:val="00486BE1"/>
    <w:rsid w:val="00486DBA"/>
    <w:rsid w:val="00487AB4"/>
    <w:rsid w:val="004915E2"/>
    <w:rsid w:val="004917CD"/>
    <w:rsid w:val="00491A0C"/>
    <w:rsid w:val="004939A8"/>
    <w:rsid w:val="004941DA"/>
    <w:rsid w:val="00495012"/>
    <w:rsid w:val="0049705B"/>
    <w:rsid w:val="004A1639"/>
    <w:rsid w:val="004A1753"/>
    <w:rsid w:val="004A259A"/>
    <w:rsid w:val="004A3025"/>
    <w:rsid w:val="004A4232"/>
    <w:rsid w:val="004A46D2"/>
    <w:rsid w:val="004A47A9"/>
    <w:rsid w:val="004A56A4"/>
    <w:rsid w:val="004A62A5"/>
    <w:rsid w:val="004A69C1"/>
    <w:rsid w:val="004A6F50"/>
    <w:rsid w:val="004B0CBB"/>
    <w:rsid w:val="004B1C78"/>
    <w:rsid w:val="004B2018"/>
    <w:rsid w:val="004B2498"/>
    <w:rsid w:val="004B37A4"/>
    <w:rsid w:val="004B38CD"/>
    <w:rsid w:val="004B3A29"/>
    <w:rsid w:val="004B40F8"/>
    <w:rsid w:val="004B4459"/>
    <w:rsid w:val="004B4671"/>
    <w:rsid w:val="004B4956"/>
    <w:rsid w:val="004B745B"/>
    <w:rsid w:val="004B7B86"/>
    <w:rsid w:val="004C0197"/>
    <w:rsid w:val="004C0E6D"/>
    <w:rsid w:val="004C0ECF"/>
    <w:rsid w:val="004C1DF0"/>
    <w:rsid w:val="004C1F40"/>
    <w:rsid w:val="004C2083"/>
    <w:rsid w:val="004C34DD"/>
    <w:rsid w:val="004C4EC6"/>
    <w:rsid w:val="004C5E84"/>
    <w:rsid w:val="004C64E2"/>
    <w:rsid w:val="004C7270"/>
    <w:rsid w:val="004C74F5"/>
    <w:rsid w:val="004C7B4D"/>
    <w:rsid w:val="004C7ECE"/>
    <w:rsid w:val="004C7F4E"/>
    <w:rsid w:val="004D05D3"/>
    <w:rsid w:val="004D10A1"/>
    <w:rsid w:val="004D3A86"/>
    <w:rsid w:val="004D50A4"/>
    <w:rsid w:val="004D6C09"/>
    <w:rsid w:val="004D6C8F"/>
    <w:rsid w:val="004D706C"/>
    <w:rsid w:val="004D7175"/>
    <w:rsid w:val="004D760B"/>
    <w:rsid w:val="004D7D8F"/>
    <w:rsid w:val="004E077E"/>
    <w:rsid w:val="004E1912"/>
    <w:rsid w:val="004E2281"/>
    <w:rsid w:val="004E66FF"/>
    <w:rsid w:val="004E711D"/>
    <w:rsid w:val="004F01B6"/>
    <w:rsid w:val="004F0593"/>
    <w:rsid w:val="004F0800"/>
    <w:rsid w:val="004F1420"/>
    <w:rsid w:val="004F1922"/>
    <w:rsid w:val="004F1DAE"/>
    <w:rsid w:val="004F3951"/>
    <w:rsid w:val="004F3C48"/>
    <w:rsid w:val="004F4178"/>
    <w:rsid w:val="004F6CD8"/>
    <w:rsid w:val="004F7753"/>
    <w:rsid w:val="005021E5"/>
    <w:rsid w:val="00502C38"/>
    <w:rsid w:val="00502E93"/>
    <w:rsid w:val="00502F1F"/>
    <w:rsid w:val="005044EE"/>
    <w:rsid w:val="00504803"/>
    <w:rsid w:val="00504962"/>
    <w:rsid w:val="005057EB"/>
    <w:rsid w:val="00505FDB"/>
    <w:rsid w:val="00506047"/>
    <w:rsid w:val="005060C0"/>
    <w:rsid w:val="00506D0C"/>
    <w:rsid w:val="00510FD6"/>
    <w:rsid w:val="0051174B"/>
    <w:rsid w:val="005127A3"/>
    <w:rsid w:val="00512F5F"/>
    <w:rsid w:val="00514034"/>
    <w:rsid w:val="0051503F"/>
    <w:rsid w:val="005151C2"/>
    <w:rsid w:val="00515C61"/>
    <w:rsid w:val="0051681A"/>
    <w:rsid w:val="00516B93"/>
    <w:rsid w:val="00517CA3"/>
    <w:rsid w:val="00520A66"/>
    <w:rsid w:val="005215F5"/>
    <w:rsid w:val="0052274E"/>
    <w:rsid w:val="0052352A"/>
    <w:rsid w:val="005246B0"/>
    <w:rsid w:val="0052474A"/>
    <w:rsid w:val="005257B0"/>
    <w:rsid w:val="00525E60"/>
    <w:rsid w:val="005264B4"/>
    <w:rsid w:val="00526686"/>
    <w:rsid w:val="005276BD"/>
    <w:rsid w:val="00527A2E"/>
    <w:rsid w:val="00527F09"/>
    <w:rsid w:val="005302A2"/>
    <w:rsid w:val="005307E7"/>
    <w:rsid w:val="0053227C"/>
    <w:rsid w:val="005333AB"/>
    <w:rsid w:val="00535243"/>
    <w:rsid w:val="00535CCB"/>
    <w:rsid w:val="00535DE3"/>
    <w:rsid w:val="00535F79"/>
    <w:rsid w:val="00536DF5"/>
    <w:rsid w:val="005412AB"/>
    <w:rsid w:val="00541DE6"/>
    <w:rsid w:val="00542E32"/>
    <w:rsid w:val="00543A86"/>
    <w:rsid w:val="00544425"/>
    <w:rsid w:val="00544A5B"/>
    <w:rsid w:val="005456B8"/>
    <w:rsid w:val="005470A9"/>
    <w:rsid w:val="00551643"/>
    <w:rsid w:val="00554543"/>
    <w:rsid w:val="00555193"/>
    <w:rsid w:val="0055563C"/>
    <w:rsid w:val="0055567E"/>
    <w:rsid w:val="0055702D"/>
    <w:rsid w:val="0055763F"/>
    <w:rsid w:val="0056038F"/>
    <w:rsid w:val="0056326C"/>
    <w:rsid w:val="00563BE0"/>
    <w:rsid w:val="005648DC"/>
    <w:rsid w:val="00565B94"/>
    <w:rsid w:val="0056608F"/>
    <w:rsid w:val="00566386"/>
    <w:rsid w:val="00566B69"/>
    <w:rsid w:val="00567366"/>
    <w:rsid w:val="00567FB9"/>
    <w:rsid w:val="0057009D"/>
    <w:rsid w:val="00570B3B"/>
    <w:rsid w:val="00571033"/>
    <w:rsid w:val="00571917"/>
    <w:rsid w:val="00572C97"/>
    <w:rsid w:val="00572D3D"/>
    <w:rsid w:val="00572E39"/>
    <w:rsid w:val="00574519"/>
    <w:rsid w:val="00574983"/>
    <w:rsid w:val="00575621"/>
    <w:rsid w:val="00575FE9"/>
    <w:rsid w:val="00576A06"/>
    <w:rsid w:val="005778BC"/>
    <w:rsid w:val="00577BF1"/>
    <w:rsid w:val="00581160"/>
    <w:rsid w:val="00581278"/>
    <w:rsid w:val="00582EEA"/>
    <w:rsid w:val="0058319B"/>
    <w:rsid w:val="0058488F"/>
    <w:rsid w:val="005849E0"/>
    <w:rsid w:val="00584CF5"/>
    <w:rsid w:val="00585499"/>
    <w:rsid w:val="005856DC"/>
    <w:rsid w:val="00587BF9"/>
    <w:rsid w:val="00590B97"/>
    <w:rsid w:val="00591377"/>
    <w:rsid w:val="0059162C"/>
    <w:rsid w:val="00592395"/>
    <w:rsid w:val="00594043"/>
    <w:rsid w:val="00594B3C"/>
    <w:rsid w:val="00596EB7"/>
    <w:rsid w:val="00597294"/>
    <w:rsid w:val="005A0079"/>
    <w:rsid w:val="005A091F"/>
    <w:rsid w:val="005A120E"/>
    <w:rsid w:val="005A24EA"/>
    <w:rsid w:val="005A30E2"/>
    <w:rsid w:val="005A3F98"/>
    <w:rsid w:val="005A473B"/>
    <w:rsid w:val="005A48D3"/>
    <w:rsid w:val="005A5153"/>
    <w:rsid w:val="005A6007"/>
    <w:rsid w:val="005A7AF9"/>
    <w:rsid w:val="005B19FB"/>
    <w:rsid w:val="005B4806"/>
    <w:rsid w:val="005B4D97"/>
    <w:rsid w:val="005B545D"/>
    <w:rsid w:val="005B590D"/>
    <w:rsid w:val="005B6D9F"/>
    <w:rsid w:val="005B7DB6"/>
    <w:rsid w:val="005B7DE1"/>
    <w:rsid w:val="005C0168"/>
    <w:rsid w:val="005C0180"/>
    <w:rsid w:val="005C1324"/>
    <w:rsid w:val="005C132D"/>
    <w:rsid w:val="005C239B"/>
    <w:rsid w:val="005C2E73"/>
    <w:rsid w:val="005C4DDB"/>
    <w:rsid w:val="005C6267"/>
    <w:rsid w:val="005C64CC"/>
    <w:rsid w:val="005C7053"/>
    <w:rsid w:val="005C737B"/>
    <w:rsid w:val="005C7B20"/>
    <w:rsid w:val="005D0056"/>
    <w:rsid w:val="005D2AA3"/>
    <w:rsid w:val="005D4762"/>
    <w:rsid w:val="005D50E5"/>
    <w:rsid w:val="005E0656"/>
    <w:rsid w:val="005E17B0"/>
    <w:rsid w:val="005E4E97"/>
    <w:rsid w:val="005F412E"/>
    <w:rsid w:val="005F4160"/>
    <w:rsid w:val="005F4FCA"/>
    <w:rsid w:val="005F62FB"/>
    <w:rsid w:val="005F7B9E"/>
    <w:rsid w:val="00601626"/>
    <w:rsid w:val="006016DC"/>
    <w:rsid w:val="00602BFA"/>
    <w:rsid w:val="00602E4D"/>
    <w:rsid w:val="00602F0A"/>
    <w:rsid w:val="00603D03"/>
    <w:rsid w:val="00607E0B"/>
    <w:rsid w:val="0061164E"/>
    <w:rsid w:val="006117E2"/>
    <w:rsid w:val="00614EBA"/>
    <w:rsid w:val="00615173"/>
    <w:rsid w:val="00615D70"/>
    <w:rsid w:val="00616168"/>
    <w:rsid w:val="0061764C"/>
    <w:rsid w:val="00617BCE"/>
    <w:rsid w:val="00617FDE"/>
    <w:rsid w:val="00620549"/>
    <w:rsid w:val="0062094D"/>
    <w:rsid w:val="00620A01"/>
    <w:rsid w:val="00622D25"/>
    <w:rsid w:val="0062486A"/>
    <w:rsid w:val="006249B8"/>
    <w:rsid w:val="0062518B"/>
    <w:rsid w:val="00626C81"/>
    <w:rsid w:val="006304C2"/>
    <w:rsid w:val="00631394"/>
    <w:rsid w:val="00632F77"/>
    <w:rsid w:val="00633E1F"/>
    <w:rsid w:val="00634891"/>
    <w:rsid w:val="00634A51"/>
    <w:rsid w:val="006369E3"/>
    <w:rsid w:val="00637380"/>
    <w:rsid w:val="00637453"/>
    <w:rsid w:val="00640643"/>
    <w:rsid w:val="00640AE6"/>
    <w:rsid w:val="0064374B"/>
    <w:rsid w:val="006437CA"/>
    <w:rsid w:val="006438D3"/>
    <w:rsid w:val="0064669D"/>
    <w:rsid w:val="00647D4C"/>
    <w:rsid w:val="0065027D"/>
    <w:rsid w:val="006519E5"/>
    <w:rsid w:val="00652BA1"/>
    <w:rsid w:val="00652BA8"/>
    <w:rsid w:val="00655F83"/>
    <w:rsid w:val="006562D2"/>
    <w:rsid w:val="00656FBD"/>
    <w:rsid w:val="00657133"/>
    <w:rsid w:val="00660C99"/>
    <w:rsid w:val="00662A4E"/>
    <w:rsid w:val="00662D37"/>
    <w:rsid w:val="0066337A"/>
    <w:rsid w:val="006634E0"/>
    <w:rsid w:val="006646A9"/>
    <w:rsid w:val="00664A7D"/>
    <w:rsid w:val="006651FC"/>
    <w:rsid w:val="006654BA"/>
    <w:rsid w:val="00665AC6"/>
    <w:rsid w:val="00665AF0"/>
    <w:rsid w:val="00666348"/>
    <w:rsid w:val="006663D8"/>
    <w:rsid w:val="006673B6"/>
    <w:rsid w:val="00667985"/>
    <w:rsid w:val="00670086"/>
    <w:rsid w:val="00670137"/>
    <w:rsid w:val="00670209"/>
    <w:rsid w:val="006703CE"/>
    <w:rsid w:val="00670D27"/>
    <w:rsid w:val="0067193E"/>
    <w:rsid w:val="00672C68"/>
    <w:rsid w:val="00674444"/>
    <w:rsid w:val="0067529A"/>
    <w:rsid w:val="00675401"/>
    <w:rsid w:val="00676A04"/>
    <w:rsid w:val="00677572"/>
    <w:rsid w:val="00677B79"/>
    <w:rsid w:val="006819A4"/>
    <w:rsid w:val="00682A85"/>
    <w:rsid w:val="00682B46"/>
    <w:rsid w:val="00683076"/>
    <w:rsid w:val="00683976"/>
    <w:rsid w:val="00683D2F"/>
    <w:rsid w:val="00684456"/>
    <w:rsid w:val="00684B29"/>
    <w:rsid w:val="006863AF"/>
    <w:rsid w:val="0068687B"/>
    <w:rsid w:val="00687DF9"/>
    <w:rsid w:val="00690BE4"/>
    <w:rsid w:val="00691DE8"/>
    <w:rsid w:val="00692020"/>
    <w:rsid w:val="00692690"/>
    <w:rsid w:val="006927AD"/>
    <w:rsid w:val="006941E3"/>
    <w:rsid w:val="00694988"/>
    <w:rsid w:val="00696341"/>
    <w:rsid w:val="00696975"/>
    <w:rsid w:val="006A00AE"/>
    <w:rsid w:val="006A010B"/>
    <w:rsid w:val="006A1B5F"/>
    <w:rsid w:val="006A1E40"/>
    <w:rsid w:val="006A2212"/>
    <w:rsid w:val="006A3242"/>
    <w:rsid w:val="006A3D3F"/>
    <w:rsid w:val="006A6145"/>
    <w:rsid w:val="006A691D"/>
    <w:rsid w:val="006A6D7E"/>
    <w:rsid w:val="006B0015"/>
    <w:rsid w:val="006B0D9A"/>
    <w:rsid w:val="006B12F7"/>
    <w:rsid w:val="006B26B7"/>
    <w:rsid w:val="006B45A5"/>
    <w:rsid w:val="006B62E4"/>
    <w:rsid w:val="006C16FE"/>
    <w:rsid w:val="006C25C7"/>
    <w:rsid w:val="006C3487"/>
    <w:rsid w:val="006C34FD"/>
    <w:rsid w:val="006C35E7"/>
    <w:rsid w:val="006C561A"/>
    <w:rsid w:val="006C57EE"/>
    <w:rsid w:val="006C6069"/>
    <w:rsid w:val="006C6E2B"/>
    <w:rsid w:val="006C7CAF"/>
    <w:rsid w:val="006D04B9"/>
    <w:rsid w:val="006D0988"/>
    <w:rsid w:val="006D0C35"/>
    <w:rsid w:val="006D229C"/>
    <w:rsid w:val="006D3067"/>
    <w:rsid w:val="006D331F"/>
    <w:rsid w:val="006D474F"/>
    <w:rsid w:val="006D4FA9"/>
    <w:rsid w:val="006D501C"/>
    <w:rsid w:val="006D5194"/>
    <w:rsid w:val="006D5B5D"/>
    <w:rsid w:val="006E130D"/>
    <w:rsid w:val="006E15A1"/>
    <w:rsid w:val="006E38AD"/>
    <w:rsid w:val="006E38C8"/>
    <w:rsid w:val="006E3F37"/>
    <w:rsid w:val="006E48E1"/>
    <w:rsid w:val="006E515C"/>
    <w:rsid w:val="006E631C"/>
    <w:rsid w:val="006E7AC9"/>
    <w:rsid w:val="006F3010"/>
    <w:rsid w:val="006F3D8B"/>
    <w:rsid w:val="006F3F47"/>
    <w:rsid w:val="006F598E"/>
    <w:rsid w:val="006F5EBA"/>
    <w:rsid w:val="006F5F20"/>
    <w:rsid w:val="006F7F0A"/>
    <w:rsid w:val="007010DC"/>
    <w:rsid w:val="00701762"/>
    <w:rsid w:val="007040C2"/>
    <w:rsid w:val="007042C6"/>
    <w:rsid w:val="00704493"/>
    <w:rsid w:val="00704E9A"/>
    <w:rsid w:val="0070531F"/>
    <w:rsid w:val="007058C3"/>
    <w:rsid w:val="0070632F"/>
    <w:rsid w:val="00706DB8"/>
    <w:rsid w:val="007073A6"/>
    <w:rsid w:val="00707D84"/>
    <w:rsid w:val="00710BE3"/>
    <w:rsid w:val="00710CFB"/>
    <w:rsid w:val="00710F28"/>
    <w:rsid w:val="00711D67"/>
    <w:rsid w:val="007127AD"/>
    <w:rsid w:val="00714AD7"/>
    <w:rsid w:val="00715408"/>
    <w:rsid w:val="007157D5"/>
    <w:rsid w:val="00715A02"/>
    <w:rsid w:val="00716C61"/>
    <w:rsid w:val="007170D9"/>
    <w:rsid w:val="00717AD3"/>
    <w:rsid w:val="0072066B"/>
    <w:rsid w:val="007206EB"/>
    <w:rsid w:val="00720F5E"/>
    <w:rsid w:val="007217C7"/>
    <w:rsid w:val="00721AD0"/>
    <w:rsid w:val="00722760"/>
    <w:rsid w:val="00722A6E"/>
    <w:rsid w:val="00722FDE"/>
    <w:rsid w:val="00723BA0"/>
    <w:rsid w:val="00723BA2"/>
    <w:rsid w:val="00723BCD"/>
    <w:rsid w:val="0072408D"/>
    <w:rsid w:val="00725969"/>
    <w:rsid w:val="00725FC6"/>
    <w:rsid w:val="00726692"/>
    <w:rsid w:val="007267D8"/>
    <w:rsid w:val="007268BF"/>
    <w:rsid w:val="0072691E"/>
    <w:rsid w:val="007275C1"/>
    <w:rsid w:val="00731D5C"/>
    <w:rsid w:val="00733892"/>
    <w:rsid w:val="00733B02"/>
    <w:rsid w:val="00733E8E"/>
    <w:rsid w:val="007371F2"/>
    <w:rsid w:val="00737EAA"/>
    <w:rsid w:val="00740E32"/>
    <w:rsid w:val="00741B3A"/>
    <w:rsid w:val="00741DAF"/>
    <w:rsid w:val="00742A1B"/>
    <w:rsid w:val="00744611"/>
    <w:rsid w:val="007466A7"/>
    <w:rsid w:val="00746C66"/>
    <w:rsid w:val="007500FB"/>
    <w:rsid w:val="00751DBE"/>
    <w:rsid w:val="00752937"/>
    <w:rsid w:val="007535B9"/>
    <w:rsid w:val="00753C13"/>
    <w:rsid w:val="00753DF6"/>
    <w:rsid w:val="00754963"/>
    <w:rsid w:val="00754A67"/>
    <w:rsid w:val="00754FA4"/>
    <w:rsid w:val="007558AE"/>
    <w:rsid w:val="007558DF"/>
    <w:rsid w:val="00755C3C"/>
    <w:rsid w:val="00756ED4"/>
    <w:rsid w:val="00757B7D"/>
    <w:rsid w:val="00761660"/>
    <w:rsid w:val="00762A3F"/>
    <w:rsid w:val="00762D53"/>
    <w:rsid w:val="00763179"/>
    <w:rsid w:val="00763247"/>
    <w:rsid w:val="0076368B"/>
    <w:rsid w:val="00763D56"/>
    <w:rsid w:val="00764DC1"/>
    <w:rsid w:val="00765D05"/>
    <w:rsid w:val="00767421"/>
    <w:rsid w:val="00767CA7"/>
    <w:rsid w:val="00767F4B"/>
    <w:rsid w:val="00770580"/>
    <w:rsid w:val="00771646"/>
    <w:rsid w:val="00771854"/>
    <w:rsid w:val="007731C9"/>
    <w:rsid w:val="007733CE"/>
    <w:rsid w:val="0077342A"/>
    <w:rsid w:val="00773CE2"/>
    <w:rsid w:val="007750C7"/>
    <w:rsid w:val="00775B9B"/>
    <w:rsid w:val="00776E42"/>
    <w:rsid w:val="00777900"/>
    <w:rsid w:val="00781734"/>
    <w:rsid w:val="00781754"/>
    <w:rsid w:val="00782345"/>
    <w:rsid w:val="007848E7"/>
    <w:rsid w:val="00785C16"/>
    <w:rsid w:val="00786067"/>
    <w:rsid w:val="00787BCF"/>
    <w:rsid w:val="00790E86"/>
    <w:rsid w:val="00791391"/>
    <w:rsid w:val="00793167"/>
    <w:rsid w:val="007943CE"/>
    <w:rsid w:val="007944A0"/>
    <w:rsid w:val="00795E5F"/>
    <w:rsid w:val="00795F9C"/>
    <w:rsid w:val="007973AA"/>
    <w:rsid w:val="007974FA"/>
    <w:rsid w:val="00797C9F"/>
    <w:rsid w:val="007A005E"/>
    <w:rsid w:val="007A0808"/>
    <w:rsid w:val="007A2158"/>
    <w:rsid w:val="007A2164"/>
    <w:rsid w:val="007A216A"/>
    <w:rsid w:val="007A2F52"/>
    <w:rsid w:val="007A3C88"/>
    <w:rsid w:val="007A42E4"/>
    <w:rsid w:val="007A5837"/>
    <w:rsid w:val="007A5862"/>
    <w:rsid w:val="007A6EB0"/>
    <w:rsid w:val="007A771B"/>
    <w:rsid w:val="007A7AE5"/>
    <w:rsid w:val="007A7C36"/>
    <w:rsid w:val="007B0362"/>
    <w:rsid w:val="007B1525"/>
    <w:rsid w:val="007B1FCE"/>
    <w:rsid w:val="007B29E8"/>
    <w:rsid w:val="007B3A31"/>
    <w:rsid w:val="007B40A7"/>
    <w:rsid w:val="007B4113"/>
    <w:rsid w:val="007B42A5"/>
    <w:rsid w:val="007B4AF9"/>
    <w:rsid w:val="007B5453"/>
    <w:rsid w:val="007B6665"/>
    <w:rsid w:val="007C0364"/>
    <w:rsid w:val="007C0366"/>
    <w:rsid w:val="007C056B"/>
    <w:rsid w:val="007C0904"/>
    <w:rsid w:val="007C20E3"/>
    <w:rsid w:val="007C3132"/>
    <w:rsid w:val="007C4721"/>
    <w:rsid w:val="007C4835"/>
    <w:rsid w:val="007C5663"/>
    <w:rsid w:val="007D011F"/>
    <w:rsid w:val="007D1018"/>
    <w:rsid w:val="007D2312"/>
    <w:rsid w:val="007D3CCB"/>
    <w:rsid w:val="007D3D3E"/>
    <w:rsid w:val="007D4D9D"/>
    <w:rsid w:val="007D7A9F"/>
    <w:rsid w:val="007E1E07"/>
    <w:rsid w:val="007E25F7"/>
    <w:rsid w:val="007E357E"/>
    <w:rsid w:val="007E3F41"/>
    <w:rsid w:val="007E46F7"/>
    <w:rsid w:val="007E4B57"/>
    <w:rsid w:val="007E5A3F"/>
    <w:rsid w:val="007E6A07"/>
    <w:rsid w:val="007F04BB"/>
    <w:rsid w:val="007F0B23"/>
    <w:rsid w:val="007F1FAE"/>
    <w:rsid w:val="007F3EAD"/>
    <w:rsid w:val="007F4C1F"/>
    <w:rsid w:val="007F552E"/>
    <w:rsid w:val="007F6937"/>
    <w:rsid w:val="008014DB"/>
    <w:rsid w:val="00801837"/>
    <w:rsid w:val="00802E59"/>
    <w:rsid w:val="0080495E"/>
    <w:rsid w:val="008053B0"/>
    <w:rsid w:val="00805620"/>
    <w:rsid w:val="00806850"/>
    <w:rsid w:val="008069B3"/>
    <w:rsid w:val="00807D42"/>
    <w:rsid w:val="008104FC"/>
    <w:rsid w:val="00810B7F"/>
    <w:rsid w:val="00812116"/>
    <w:rsid w:val="0081213E"/>
    <w:rsid w:val="0081293C"/>
    <w:rsid w:val="00812DA0"/>
    <w:rsid w:val="00813B30"/>
    <w:rsid w:val="00816FCD"/>
    <w:rsid w:val="0081756E"/>
    <w:rsid w:val="008177CD"/>
    <w:rsid w:val="00817B92"/>
    <w:rsid w:val="00825443"/>
    <w:rsid w:val="00826202"/>
    <w:rsid w:val="00826BE9"/>
    <w:rsid w:val="00826F45"/>
    <w:rsid w:val="0083136B"/>
    <w:rsid w:val="0083141C"/>
    <w:rsid w:val="008338E2"/>
    <w:rsid w:val="00835430"/>
    <w:rsid w:val="0083641D"/>
    <w:rsid w:val="00837414"/>
    <w:rsid w:val="00837895"/>
    <w:rsid w:val="0083791C"/>
    <w:rsid w:val="00842C29"/>
    <w:rsid w:val="00842DF6"/>
    <w:rsid w:val="00842E6B"/>
    <w:rsid w:val="008447B8"/>
    <w:rsid w:val="00844DE0"/>
    <w:rsid w:val="008457D6"/>
    <w:rsid w:val="00845D6F"/>
    <w:rsid w:val="00850136"/>
    <w:rsid w:val="00850EFE"/>
    <w:rsid w:val="00851945"/>
    <w:rsid w:val="00853454"/>
    <w:rsid w:val="00854B18"/>
    <w:rsid w:val="00856384"/>
    <w:rsid w:val="0085670E"/>
    <w:rsid w:val="00856EF7"/>
    <w:rsid w:val="008600C6"/>
    <w:rsid w:val="00860900"/>
    <w:rsid w:val="00863C99"/>
    <w:rsid w:val="00863D4D"/>
    <w:rsid w:val="00867D05"/>
    <w:rsid w:val="008707B8"/>
    <w:rsid w:val="00871B3A"/>
    <w:rsid w:val="00872337"/>
    <w:rsid w:val="0087390F"/>
    <w:rsid w:val="008740F4"/>
    <w:rsid w:val="00874128"/>
    <w:rsid w:val="008748BA"/>
    <w:rsid w:val="00876596"/>
    <w:rsid w:val="008768E2"/>
    <w:rsid w:val="00877DBB"/>
    <w:rsid w:val="00880AC3"/>
    <w:rsid w:val="00880BF0"/>
    <w:rsid w:val="00881E67"/>
    <w:rsid w:val="00882D07"/>
    <w:rsid w:val="008837D7"/>
    <w:rsid w:val="00883A86"/>
    <w:rsid w:val="008849A1"/>
    <w:rsid w:val="00887187"/>
    <w:rsid w:val="00890BCF"/>
    <w:rsid w:val="008919CB"/>
    <w:rsid w:val="00891AF8"/>
    <w:rsid w:val="00892387"/>
    <w:rsid w:val="0089390E"/>
    <w:rsid w:val="00893C9F"/>
    <w:rsid w:val="008943FE"/>
    <w:rsid w:val="00896268"/>
    <w:rsid w:val="00896340"/>
    <w:rsid w:val="0089707A"/>
    <w:rsid w:val="00897CAB"/>
    <w:rsid w:val="008A04CE"/>
    <w:rsid w:val="008A1472"/>
    <w:rsid w:val="008A2B0E"/>
    <w:rsid w:val="008A418A"/>
    <w:rsid w:val="008A6FEC"/>
    <w:rsid w:val="008A717E"/>
    <w:rsid w:val="008A7E9B"/>
    <w:rsid w:val="008B0382"/>
    <w:rsid w:val="008B0C07"/>
    <w:rsid w:val="008B1FEB"/>
    <w:rsid w:val="008B2FCD"/>
    <w:rsid w:val="008B3355"/>
    <w:rsid w:val="008B34F7"/>
    <w:rsid w:val="008B3F4F"/>
    <w:rsid w:val="008B4205"/>
    <w:rsid w:val="008B4DBF"/>
    <w:rsid w:val="008B4FBA"/>
    <w:rsid w:val="008B5A3B"/>
    <w:rsid w:val="008B719F"/>
    <w:rsid w:val="008B74A3"/>
    <w:rsid w:val="008C08A6"/>
    <w:rsid w:val="008C1A16"/>
    <w:rsid w:val="008C221E"/>
    <w:rsid w:val="008C4434"/>
    <w:rsid w:val="008C4494"/>
    <w:rsid w:val="008C4AE4"/>
    <w:rsid w:val="008C5FF5"/>
    <w:rsid w:val="008D008D"/>
    <w:rsid w:val="008D16C6"/>
    <w:rsid w:val="008D1948"/>
    <w:rsid w:val="008D3568"/>
    <w:rsid w:val="008D4ED0"/>
    <w:rsid w:val="008D6747"/>
    <w:rsid w:val="008D7CBF"/>
    <w:rsid w:val="008E06D9"/>
    <w:rsid w:val="008E277E"/>
    <w:rsid w:val="008E41D0"/>
    <w:rsid w:val="008E4EE3"/>
    <w:rsid w:val="008E5505"/>
    <w:rsid w:val="008E57A8"/>
    <w:rsid w:val="008E69F0"/>
    <w:rsid w:val="008E6AC4"/>
    <w:rsid w:val="008E7CB3"/>
    <w:rsid w:val="008F0F9A"/>
    <w:rsid w:val="008F1288"/>
    <w:rsid w:val="008F1AE5"/>
    <w:rsid w:val="008F2AE5"/>
    <w:rsid w:val="008F2D69"/>
    <w:rsid w:val="008F4008"/>
    <w:rsid w:val="008F47E8"/>
    <w:rsid w:val="008F5470"/>
    <w:rsid w:val="008F5C8D"/>
    <w:rsid w:val="008F7A51"/>
    <w:rsid w:val="008F7EA0"/>
    <w:rsid w:val="009005DA"/>
    <w:rsid w:val="00900C59"/>
    <w:rsid w:val="0090341D"/>
    <w:rsid w:val="009037BB"/>
    <w:rsid w:val="00904CAF"/>
    <w:rsid w:val="00905C13"/>
    <w:rsid w:val="0090643B"/>
    <w:rsid w:val="00907527"/>
    <w:rsid w:val="00907631"/>
    <w:rsid w:val="0091017C"/>
    <w:rsid w:val="00911E1E"/>
    <w:rsid w:val="00913A3F"/>
    <w:rsid w:val="0091435B"/>
    <w:rsid w:val="00916DBD"/>
    <w:rsid w:val="00917DC9"/>
    <w:rsid w:val="00921446"/>
    <w:rsid w:val="009221A3"/>
    <w:rsid w:val="0092295A"/>
    <w:rsid w:val="00923F0D"/>
    <w:rsid w:val="00924167"/>
    <w:rsid w:val="009243C5"/>
    <w:rsid w:val="00924D04"/>
    <w:rsid w:val="00926855"/>
    <w:rsid w:val="00926E8D"/>
    <w:rsid w:val="009275B4"/>
    <w:rsid w:val="00927D53"/>
    <w:rsid w:val="009300D2"/>
    <w:rsid w:val="00930364"/>
    <w:rsid w:val="0093127C"/>
    <w:rsid w:val="009323D8"/>
    <w:rsid w:val="009336B5"/>
    <w:rsid w:val="00933A0C"/>
    <w:rsid w:val="00933C07"/>
    <w:rsid w:val="00934ECA"/>
    <w:rsid w:val="0093502F"/>
    <w:rsid w:val="00935A23"/>
    <w:rsid w:val="009365D0"/>
    <w:rsid w:val="00936915"/>
    <w:rsid w:val="00937559"/>
    <w:rsid w:val="00937AE0"/>
    <w:rsid w:val="00943031"/>
    <w:rsid w:val="0094323D"/>
    <w:rsid w:val="00943C73"/>
    <w:rsid w:val="00943DB0"/>
    <w:rsid w:val="00944296"/>
    <w:rsid w:val="00944469"/>
    <w:rsid w:val="0094538E"/>
    <w:rsid w:val="009465E3"/>
    <w:rsid w:val="009467F2"/>
    <w:rsid w:val="00950916"/>
    <w:rsid w:val="00952575"/>
    <w:rsid w:val="00952BF5"/>
    <w:rsid w:val="00952D83"/>
    <w:rsid w:val="009532B6"/>
    <w:rsid w:val="00953558"/>
    <w:rsid w:val="00954D49"/>
    <w:rsid w:val="00955A0E"/>
    <w:rsid w:val="009565BB"/>
    <w:rsid w:val="00956692"/>
    <w:rsid w:val="00960355"/>
    <w:rsid w:val="009605EF"/>
    <w:rsid w:val="0096184E"/>
    <w:rsid w:val="009618E0"/>
    <w:rsid w:val="009642D1"/>
    <w:rsid w:val="00964D82"/>
    <w:rsid w:val="00964FBC"/>
    <w:rsid w:val="00965A2D"/>
    <w:rsid w:val="00965D6D"/>
    <w:rsid w:val="0096675C"/>
    <w:rsid w:val="00967309"/>
    <w:rsid w:val="00967D35"/>
    <w:rsid w:val="00967D6B"/>
    <w:rsid w:val="00970188"/>
    <w:rsid w:val="0097053D"/>
    <w:rsid w:val="00971257"/>
    <w:rsid w:val="00971738"/>
    <w:rsid w:val="00972FBC"/>
    <w:rsid w:val="00973107"/>
    <w:rsid w:val="009731DF"/>
    <w:rsid w:val="0097325D"/>
    <w:rsid w:val="009735A6"/>
    <w:rsid w:val="00974D57"/>
    <w:rsid w:val="00974ED5"/>
    <w:rsid w:val="00976651"/>
    <w:rsid w:val="009808F1"/>
    <w:rsid w:val="00980E3E"/>
    <w:rsid w:val="00981E8B"/>
    <w:rsid w:val="009861F8"/>
    <w:rsid w:val="0098649F"/>
    <w:rsid w:val="009865A7"/>
    <w:rsid w:val="009878F4"/>
    <w:rsid w:val="009878F5"/>
    <w:rsid w:val="00987C77"/>
    <w:rsid w:val="00990293"/>
    <w:rsid w:val="00991866"/>
    <w:rsid w:val="00991EB7"/>
    <w:rsid w:val="009958FC"/>
    <w:rsid w:val="00995A32"/>
    <w:rsid w:val="0099628A"/>
    <w:rsid w:val="00996337"/>
    <w:rsid w:val="009973B0"/>
    <w:rsid w:val="009975F2"/>
    <w:rsid w:val="009A3714"/>
    <w:rsid w:val="009A3E4F"/>
    <w:rsid w:val="009A3F73"/>
    <w:rsid w:val="009A4947"/>
    <w:rsid w:val="009A499C"/>
    <w:rsid w:val="009A58F4"/>
    <w:rsid w:val="009A61B4"/>
    <w:rsid w:val="009A6D32"/>
    <w:rsid w:val="009B0EBF"/>
    <w:rsid w:val="009B0F3A"/>
    <w:rsid w:val="009B1250"/>
    <w:rsid w:val="009B2CA0"/>
    <w:rsid w:val="009B317C"/>
    <w:rsid w:val="009B39A9"/>
    <w:rsid w:val="009B413C"/>
    <w:rsid w:val="009B4A32"/>
    <w:rsid w:val="009B4BA2"/>
    <w:rsid w:val="009B6B1A"/>
    <w:rsid w:val="009B71A8"/>
    <w:rsid w:val="009C078F"/>
    <w:rsid w:val="009C0EDC"/>
    <w:rsid w:val="009C17D4"/>
    <w:rsid w:val="009C1BFD"/>
    <w:rsid w:val="009C2396"/>
    <w:rsid w:val="009C33D9"/>
    <w:rsid w:val="009C526D"/>
    <w:rsid w:val="009C59DC"/>
    <w:rsid w:val="009C5A8C"/>
    <w:rsid w:val="009C5CAB"/>
    <w:rsid w:val="009C6230"/>
    <w:rsid w:val="009C62FB"/>
    <w:rsid w:val="009C64D1"/>
    <w:rsid w:val="009C6540"/>
    <w:rsid w:val="009C7B96"/>
    <w:rsid w:val="009C7EF5"/>
    <w:rsid w:val="009D0119"/>
    <w:rsid w:val="009D146D"/>
    <w:rsid w:val="009D258E"/>
    <w:rsid w:val="009D4AF3"/>
    <w:rsid w:val="009E11E2"/>
    <w:rsid w:val="009E1DAB"/>
    <w:rsid w:val="009E4500"/>
    <w:rsid w:val="009E57BC"/>
    <w:rsid w:val="009E5A78"/>
    <w:rsid w:val="009E5D00"/>
    <w:rsid w:val="009E664F"/>
    <w:rsid w:val="009E69C8"/>
    <w:rsid w:val="009E6C22"/>
    <w:rsid w:val="009E792D"/>
    <w:rsid w:val="009E7AA5"/>
    <w:rsid w:val="009F036A"/>
    <w:rsid w:val="009F0505"/>
    <w:rsid w:val="009F2E94"/>
    <w:rsid w:val="009F39E7"/>
    <w:rsid w:val="009F4D31"/>
    <w:rsid w:val="009F4D6C"/>
    <w:rsid w:val="009F6321"/>
    <w:rsid w:val="009F65E5"/>
    <w:rsid w:val="009F6F36"/>
    <w:rsid w:val="009F7782"/>
    <w:rsid w:val="009F78CB"/>
    <w:rsid w:val="009F7EA2"/>
    <w:rsid w:val="00A007CE"/>
    <w:rsid w:val="00A0144A"/>
    <w:rsid w:val="00A016C6"/>
    <w:rsid w:val="00A01C15"/>
    <w:rsid w:val="00A04002"/>
    <w:rsid w:val="00A046C0"/>
    <w:rsid w:val="00A06BEA"/>
    <w:rsid w:val="00A06FF3"/>
    <w:rsid w:val="00A107BE"/>
    <w:rsid w:val="00A1117C"/>
    <w:rsid w:val="00A1234C"/>
    <w:rsid w:val="00A1389C"/>
    <w:rsid w:val="00A13990"/>
    <w:rsid w:val="00A14D7C"/>
    <w:rsid w:val="00A14EA6"/>
    <w:rsid w:val="00A157FD"/>
    <w:rsid w:val="00A1633D"/>
    <w:rsid w:val="00A167B6"/>
    <w:rsid w:val="00A17288"/>
    <w:rsid w:val="00A178CE"/>
    <w:rsid w:val="00A17DD6"/>
    <w:rsid w:val="00A2002B"/>
    <w:rsid w:val="00A210A3"/>
    <w:rsid w:val="00A213DD"/>
    <w:rsid w:val="00A21DDC"/>
    <w:rsid w:val="00A221D7"/>
    <w:rsid w:val="00A23322"/>
    <w:rsid w:val="00A2357B"/>
    <w:rsid w:val="00A2367E"/>
    <w:rsid w:val="00A23687"/>
    <w:rsid w:val="00A23B2D"/>
    <w:rsid w:val="00A2687C"/>
    <w:rsid w:val="00A26A18"/>
    <w:rsid w:val="00A26D5A"/>
    <w:rsid w:val="00A3047C"/>
    <w:rsid w:val="00A30C15"/>
    <w:rsid w:val="00A32C93"/>
    <w:rsid w:val="00A332F9"/>
    <w:rsid w:val="00A34DFF"/>
    <w:rsid w:val="00A3514E"/>
    <w:rsid w:val="00A3611B"/>
    <w:rsid w:val="00A36DD3"/>
    <w:rsid w:val="00A36FFB"/>
    <w:rsid w:val="00A37A96"/>
    <w:rsid w:val="00A412D3"/>
    <w:rsid w:val="00A41CFD"/>
    <w:rsid w:val="00A4238B"/>
    <w:rsid w:val="00A43F7D"/>
    <w:rsid w:val="00A44C4C"/>
    <w:rsid w:val="00A45460"/>
    <w:rsid w:val="00A47EB9"/>
    <w:rsid w:val="00A47FBB"/>
    <w:rsid w:val="00A50345"/>
    <w:rsid w:val="00A504DD"/>
    <w:rsid w:val="00A535EC"/>
    <w:rsid w:val="00A539F5"/>
    <w:rsid w:val="00A5619C"/>
    <w:rsid w:val="00A56633"/>
    <w:rsid w:val="00A572DD"/>
    <w:rsid w:val="00A57545"/>
    <w:rsid w:val="00A57B6D"/>
    <w:rsid w:val="00A60155"/>
    <w:rsid w:val="00A607C1"/>
    <w:rsid w:val="00A613F3"/>
    <w:rsid w:val="00A6186E"/>
    <w:rsid w:val="00A619A5"/>
    <w:rsid w:val="00A619C7"/>
    <w:rsid w:val="00A62491"/>
    <w:rsid w:val="00A624AC"/>
    <w:rsid w:val="00A6271C"/>
    <w:rsid w:val="00A63AD9"/>
    <w:rsid w:val="00A64AD6"/>
    <w:rsid w:val="00A65CCB"/>
    <w:rsid w:val="00A665E4"/>
    <w:rsid w:val="00A667E9"/>
    <w:rsid w:val="00A6757B"/>
    <w:rsid w:val="00A71B70"/>
    <w:rsid w:val="00A72A19"/>
    <w:rsid w:val="00A72C1F"/>
    <w:rsid w:val="00A763BE"/>
    <w:rsid w:val="00A80C59"/>
    <w:rsid w:val="00A80C8A"/>
    <w:rsid w:val="00A81008"/>
    <w:rsid w:val="00A82F5C"/>
    <w:rsid w:val="00A831B9"/>
    <w:rsid w:val="00A8324F"/>
    <w:rsid w:val="00A84E77"/>
    <w:rsid w:val="00A865C3"/>
    <w:rsid w:val="00A86B69"/>
    <w:rsid w:val="00A8725B"/>
    <w:rsid w:val="00A877BD"/>
    <w:rsid w:val="00A87884"/>
    <w:rsid w:val="00A87B6E"/>
    <w:rsid w:val="00A92004"/>
    <w:rsid w:val="00A93754"/>
    <w:rsid w:val="00A93B3A"/>
    <w:rsid w:val="00A94A8A"/>
    <w:rsid w:val="00A950F8"/>
    <w:rsid w:val="00A954D3"/>
    <w:rsid w:val="00A96BE0"/>
    <w:rsid w:val="00AA2A29"/>
    <w:rsid w:val="00AA3945"/>
    <w:rsid w:val="00AA530E"/>
    <w:rsid w:val="00AA618C"/>
    <w:rsid w:val="00AA66E7"/>
    <w:rsid w:val="00AA73C7"/>
    <w:rsid w:val="00AB047B"/>
    <w:rsid w:val="00AB0998"/>
    <w:rsid w:val="00AB0F6A"/>
    <w:rsid w:val="00AB0FAC"/>
    <w:rsid w:val="00AB17B5"/>
    <w:rsid w:val="00AB25B2"/>
    <w:rsid w:val="00AB3195"/>
    <w:rsid w:val="00AB3712"/>
    <w:rsid w:val="00AB4280"/>
    <w:rsid w:val="00AB4B1D"/>
    <w:rsid w:val="00AB4FC4"/>
    <w:rsid w:val="00AB54CB"/>
    <w:rsid w:val="00AB64E7"/>
    <w:rsid w:val="00AC10F9"/>
    <w:rsid w:val="00AC18BA"/>
    <w:rsid w:val="00AC2604"/>
    <w:rsid w:val="00AC2904"/>
    <w:rsid w:val="00AC4782"/>
    <w:rsid w:val="00AC57A7"/>
    <w:rsid w:val="00AC5A85"/>
    <w:rsid w:val="00AC77A1"/>
    <w:rsid w:val="00AC7A1A"/>
    <w:rsid w:val="00AD06BB"/>
    <w:rsid w:val="00AD2C43"/>
    <w:rsid w:val="00AD3531"/>
    <w:rsid w:val="00AD4A73"/>
    <w:rsid w:val="00AD4C02"/>
    <w:rsid w:val="00AD5154"/>
    <w:rsid w:val="00AD7520"/>
    <w:rsid w:val="00AE02C5"/>
    <w:rsid w:val="00AE21C0"/>
    <w:rsid w:val="00AE2AA9"/>
    <w:rsid w:val="00AE2F90"/>
    <w:rsid w:val="00AE495D"/>
    <w:rsid w:val="00AE5A7E"/>
    <w:rsid w:val="00AE6FEF"/>
    <w:rsid w:val="00AE70B7"/>
    <w:rsid w:val="00AE7BFB"/>
    <w:rsid w:val="00AE7E45"/>
    <w:rsid w:val="00AF1EB0"/>
    <w:rsid w:val="00AF3594"/>
    <w:rsid w:val="00AF59DE"/>
    <w:rsid w:val="00AF5AF5"/>
    <w:rsid w:val="00AF5C81"/>
    <w:rsid w:val="00B00997"/>
    <w:rsid w:val="00B03BB3"/>
    <w:rsid w:val="00B0486C"/>
    <w:rsid w:val="00B04ABE"/>
    <w:rsid w:val="00B07C44"/>
    <w:rsid w:val="00B12011"/>
    <w:rsid w:val="00B131CA"/>
    <w:rsid w:val="00B13E2A"/>
    <w:rsid w:val="00B143FC"/>
    <w:rsid w:val="00B1588B"/>
    <w:rsid w:val="00B16752"/>
    <w:rsid w:val="00B17A5F"/>
    <w:rsid w:val="00B17C04"/>
    <w:rsid w:val="00B17FA4"/>
    <w:rsid w:val="00B211AE"/>
    <w:rsid w:val="00B22915"/>
    <w:rsid w:val="00B23814"/>
    <w:rsid w:val="00B246F2"/>
    <w:rsid w:val="00B24EAF"/>
    <w:rsid w:val="00B25F3D"/>
    <w:rsid w:val="00B31620"/>
    <w:rsid w:val="00B31624"/>
    <w:rsid w:val="00B31692"/>
    <w:rsid w:val="00B32150"/>
    <w:rsid w:val="00B32F17"/>
    <w:rsid w:val="00B35ED2"/>
    <w:rsid w:val="00B36CAF"/>
    <w:rsid w:val="00B36FF3"/>
    <w:rsid w:val="00B37A1E"/>
    <w:rsid w:val="00B37F19"/>
    <w:rsid w:val="00B403A0"/>
    <w:rsid w:val="00B405F1"/>
    <w:rsid w:val="00B40AB1"/>
    <w:rsid w:val="00B414E5"/>
    <w:rsid w:val="00B425CE"/>
    <w:rsid w:val="00B4277C"/>
    <w:rsid w:val="00B4533D"/>
    <w:rsid w:val="00B46A4B"/>
    <w:rsid w:val="00B46E2B"/>
    <w:rsid w:val="00B509E4"/>
    <w:rsid w:val="00B51BAE"/>
    <w:rsid w:val="00B549ED"/>
    <w:rsid w:val="00B54D00"/>
    <w:rsid w:val="00B55273"/>
    <w:rsid w:val="00B55C94"/>
    <w:rsid w:val="00B56DB5"/>
    <w:rsid w:val="00B60582"/>
    <w:rsid w:val="00B60CC9"/>
    <w:rsid w:val="00B61095"/>
    <w:rsid w:val="00B61FC8"/>
    <w:rsid w:val="00B624FE"/>
    <w:rsid w:val="00B62BAD"/>
    <w:rsid w:val="00B62BB3"/>
    <w:rsid w:val="00B62F0A"/>
    <w:rsid w:val="00B63489"/>
    <w:rsid w:val="00B66546"/>
    <w:rsid w:val="00B66C9F"/>
    <w:rsid w:val="00B71C91"/>
    <w:rsid w:val="00B7201B"/>
    <w:rsid w:val="00B7391F"/>
    <w:rsid w:val="00B745E6"/>
    <w:rsid w:val="00B74A95"/>
    <w:rsid w:val="00B75A87"/>
    <w:rsid w:val="00B75C14"/>
    <w:rsid w:val="00B76DB4"/>
    <w:rsid w:val="00B76FE1"/>
    <w:rsid w:val="00B808DE"/>
    <w:rsid w:val="00B80F08"/>
    <w:rsid w:val="00B8194D"/>
    <w:rsid w:val="00B81B41"/>
    <w:rsid w:val="00B82627"/>
    <w:rsid w:val="00B84966"/>
    <w:rsid w:val="00B87160"/>
    <w:rsid w:val="00B87442"/>
    <w:rsid w:val="00B87B85"/>
    <w:rsid w:val="00B90355"/>
    <w:rsid w:val="00B906D0"/>
    <w:rsid w:val="00B93A5B"/>
    <w:rsid w:val="00B94883"/>
    <w:rsid w:val="00B94EE0"/>
    <w:rsid w:val="00B963B9"/>
    <w:rsid w:val="00B96E04"/>
    <w:rsid w:val="00B96F82"/>
    <w:rsid w:val="00B971B2"/>
    <w:rsid w:val="00B9767A"/>
    <w:rsid w:val="00BA1A95"/>
    <w:rsid w:val="00BA5EA4"/>
    <w:rsid w:val="00BA6821"/>
    <w:rsid w:val="00BA6A56"/>
    <w:rsid w:val="00BB0FCD"/>
    <w:rsid w:val="00BB29A7"/>
    <w:rsid w:val="00BB47F5"/>
    <w:rsid w:val="00BB4CD3"/>
    <w:rsid w:val="00BB4FD2"/>
    <w:rsid w:val="00BB6B5E"/>
    <w:rsid w:val="00BB739B"/>
    <w:rsid w:val="00BB7736"/>
    <w:rsid w:val="00BB79E2"/>
    <w:rsid w:val="00BC0C71"/>
    <w:rsid w:val="00BC1805"/>
    <w:rsid w:val="00BC25A9"/>
    <w:rsid w:val="00BC4661"/>
    <w:rsid w:val="00BC53F5"/>
    <w:rsid w:val="00BC637D"/>
    <w:rsid w:val="00BC6429"/>
    <w:rsid w:val="00BC64B5"/>
    <w:rsid w:val="00BC6BB6"/>
    <w:rsid w:val="00BC6E01"/>
    <w:rsid w:val="00BC7CB9"/>
    <w:rsid w:val="00BD0ED2"/>
    <w:rsid w:val="00BD46F8"/>
    <w:rsid w:val="00BD5515"/>
    <w:rsid w:val="00BD5683"/>
    <w:rsid w:val="00BD6BA2"/>
    <w:rsid w:val="00BE1396"/>
    <w:rsid w:val="00BE19A4"/>
    <w:rsid w:val="00BE1A69"/>
    <w:rsid w:val="00BE2255"/>
    <w:rsid w:val="00BE3A21"/>
    <w:rsid w:val="00BE427A"/>
    <w:rsid w:val="00BE45C5"/>
    <w:rsid w:val="00BE496A"/>
    <w:rsid w:val="00BE6115"/>
    <w:rsid w:val="00BE6F73"/>
    <w:rsid w:val="00BE729B"/>
    <w:rsid w:val="00BE7ACD"/>
    <w:rsid w:val="00BF0AA1"/>
    <w:rsid w:val="00BF1CD5"/>
    <w:rsid w:val="00BF1E8A"/>
    <w:rsid w:val="00BF2994"/>
    <w:rsid w:val="00BF31A3"/>
    <w:rsid w:val="00BF63AE"/>
    <w:rsid w:val="00BF68F1"/>
    <w:rsid w:val="00BF6A3D"/>
    <w:rsid w:val="00BF6E6B"/>
    <w:rsid w:val="00C00534"/>
    <w:rsid w:val="00C00877"/>
    <w:rsid w:val="00C00DA3"/>
    <w:rsid w:val="00C03117"/>
    <w:rsid w:val="00C03439"/>
    <w:rsid w:val="00C038F3"/>
    <w:rsid w:val="00C04CB6"/>
    <w:rsid w:val="00C04E25"/>
    <w:rsid w:val="00C054BF"/>
    <w:rsid w:val="00C056B0"/>
    <w:rsid w:val="00C05FB5"/>
    <w:rsid w:val="00C06CD9"/>
    <w:rsid w:val="00C07472"/>
    <w:rsid w:val="00C1033D"/>
    <w:rsid w:val="00C106CB"/>
    <w:rsid w:val="00C11588"/>
    <w:rsid w:val="00C11609"/>
    <w:rsid w:val="00C12300"/>
    <w:rsid w:val="00C1585B"/>
    <w:rsid w:val="00C15DA3"/>
    <w:rsid w:val="00C15FF9"/>
    <w:rsid w:val="00C160F0"/>
    <w:rsid w:val="00C16457"/>
    <w:rsid w:val="00C2138D"/>
    <w:rsid w:val="00C232D7"/>
    <w:rsid w:val="00C241B4"/>
    <w:rsid w:val="00C24F5E"/>
    <w:rsid w:val="00C2591A"/>
    <w:rsid w:val="00C2605F"/>
    <w:rsid w:val="00C26871"/>
    <w:rsid w:val="00C26C34"/>
    <w:rsid w:val="00C26CA6"/>
    <w:rsid w:val="00C26FB4"/>
    <w:rsid w:val="00C3022E"/>
    <w:rsid w:val="00C302F3"/>
    <w:rsid w:val="00C305C4"/>
    <w:rsid w:val="00C30738"/>
    <w:rsid w:val="00C30FD3"/>
    <w:rsid w:val="00C33E54"/>
    <w:rsid w:val="00C349DB"/>
    <w:rsid w:val="00C34B23"/>
    <w:rsid w:val="00C34DBF"/>
    <w:rsid w:val="00C36950"/>
    <w:rsid w:val="00C36D1B"/>
    <w:rsid w:val="00C37407"/>
    <w:rsid w:val="00C37623"/>
    <w:rsid w:val="00C37CEF"/>
    <w:rsid w:val="00C40566"/>
    <w:rsid w:val="00C40D31"/>
    <w:rsid w:val="00C41114"/>
    <w:rsid w:val="00C433C3"/>
    <w:rsid w:val="00C44890"/>
    <w:rsid w:val="00C450D2"/>
    <w:rsid w:val="00C455A7"/>
    <w:rsid w:val="00C45B7E"/>
    <w:rsid w:val="00C460CA"/>
    <w:rsid w:val="00C46CFB"/>
    <w:rsid w:val="00C46CFC"/>
    <w:rsid w:val="00C51544"/>
    <w:rsid w:val="00C51AE8"/>
    <w:rsid w:val="00C51B9C"/>
    <w:rsid w:val="00C527AC"/>
    <w:rsid w:val="00C528EE"/>
    <w:rsid w:val="00C5315D"/>
    <w:rsid w:val="00C5409A"/>
    <w:rsid w:val="00C56BEA"/>
    <w:rsid w:val="00C56F25"/>
    <w:rsid w:val="00C5702A"/>
    <w:rsid w:val="00C60537"/>
    <w:rsid w:val="00C60C05"/>
    <w:rsid w:val="00C60DAD"/>
    <w:rsid w:val="00C61E6A"/>
    <w:rsid w:val="00C637E9"/>
    <w:rsid w:val="00C64C7F"/>
    <w:rsid w:val="00C66682"/>
    <w:rsid w:val="00C668DE"/>
    <w:rsid w:val="00C67203"/>
    <w:rsid w:val="00C674B6"/>
    <w:rsid w:val="00C707A9"/>
    <w:rsid w:val="00C7092B"/>
    <w:rsid w:val="00C71197"/>
    <w:rsid w:val="00C71954"/>
    <w:rsid w:val="00C7234C"/>
    <w:rsid w:val="00C72DBC"/>
    <w:rsid w:val="00C73136"/>
    <w:rsid w:val="00C73AD8"/>
    <w:rsid w:val="00C74DD7"/>
    <w:rsid w:val="00C75161"/>
    <w:rsid w:val="00C76227"/>
    <w:rsid w:val="00C7690E"/>
    <w:rsid w:val="00C76B9E"/>
    <w:rsid w:val="00C81260"/>
    <w:rsid w:val="00C8343D"/>
    <w:rsid w:val="00C834A6"/>
    <w:rsid w:val="00C83F15"/>
    <w:rsid w:val="00C8500F"/>
    <w:rsid w:val="00C861D2"/>
    <w:rsid w:val="00C86C19"/>
    <w:rsid w:val="00C878E4"/>
    <w:rsid w:val="00C91F88"/>
    <w:rsid w:val="00C922E5"/>
    <w:rsid w:val="00C92B65"/>
    <w:rsid w:val="00C92DBB"/>
    <w:rsid w:val="00C937E0"/>
    <w:rsid w:val="00C93A56"/>
    <w:rsid w:val="00C93B82"/>
    <w:rsid w:val="00C94373"/>
    <w:rsid w:val="00C95413"/>
    <w:rsid w:val="00C9717B"/>
    <w:rsid w:val="00C978B3"/>
    <w:rsid w:val="00CA0F5E"/>
    <w:rsid w:val="00CA2A58"/>
    <w:rsid w:val="00CA30AF"/>
    <w:rsid w:val="00CA38BD"/>
    <w:rsid w:val="00CA4087"/>
    <w:rsid w:val="00CA4568"/>
    <w:rsid w:val="00CA584C"/>
    <w:rsid w:val="00CA5FC4"/>
    <w:rsid w:val="00CA709E"/>
    <w:rsid w:val="00CA7946"/>
    <w:rsid w:val="00CA7D89"/>
    <w:rsid w:val="00CB0133"/>
    <w:rsid w:val="00CB1539"/>
    <w:rsid w:val="00CB15E6"/>
    <w:rsid w:val="00CB1688"/>
    <w:rsid w:val="00CB263A"/>
    <w:rsid w:val="00CB33AB"/>
    <w:rsid w:val="00CB4C8F"/>
    <w:rsid w:val="00CB53D5"/>
    <w:rsid w:val="00CB6452"/>
    <w:rsid w:val="00CC14A6"/>
    <w:rsid w:val="00CC3633"/>
    <w:rsid w:val="00CC4884"/>
    <w:rsid w:val="00CC4EA3"/>
    <w:rsid w:val="00CC7803"/>
    <w:rsid w:val="00CD0F59"/>
    <w:rsid w:val="00CD15FE"/>
    <w:rsid w:val="00CD177B"/>
    <w:rsid w:val="00CD17B7"/>
    <w:rsid w:val="00CD4CA0"/>
    <w:rsid w:val="00CD4DEE"/>
    <w:rsid w:val="00CD5DDB"/>
    <w:rsid w:val="00CD603B"/>
    <w:rsid w:val="00CD7AA7"/>
    <w:rsid w:val="00CE0A03"/>
    <w:rsid w:val="00CE14D2"/>
    <w:rsid w:val="00CE1FF9"/>
    <w:rsid w:val="00CE2C0B"/>
    <w:rsid w:val="00CE33B9"/>
    <w:rsid w:val="00CE44C7"/>
    <w:rsid w:val="00CE4665"/>
    <w:rsid w:val="00CE4EC0"/>
    <w:rsid w:val="00CE55A8"/>
    <w:rsid w:val="00CE59F8"/>
    <w:rsid w:val="00CE7A4A"/>
    <w:rsid w:val="00CE7FE3"/>
    <w:rsid w:val="00CF04F5"/>
    <w:rsid w:val="00CF0F8A"/>
    <w:rsid w:val="00CF106A"/>
    <w:rsid w:val="00CF2402"/>
    <w:rsid w:val="00CF2DC5"/>
    <w:rsid w:val="00CF2E0F"/>
    <w:rsid w:val="00CF5C33"/>
    <w:rsid w:val="00CF6AF6"/>
    <w:rsid w:val="00CF7571"/>
    <w:rsid w:val="00CF7E6C"/>
    <w:rsid w:val="00D01D51"/>
    <w:rsid w:val="00D01F03"/>
    <w:rsid w:val="00D01F7A"/>
    <w:rsid w:val="00D02F52"/>
    <w:rsid w:val="00D03D01"/>
    <w:rsid w:val="00D04F73"/>
    <w:rsid w:val="00D054E8"/>
    <w:rsid w:val="00D057BF"/>
    <w:rsid w:val="00D1032B"/>
    <w:rsid w:val="00D1153B"/>
    <w:rsid w:val="00D11BB0"/>
    <w:rsid w:val="00D13D37"/>
    <w:rsid w:val="00D141F5"/>
    <w:rsid w:val="00D14FBB"/>
    <w:rsid w:val="00D15007"/>
    <w:rsid w:val="00D151A3"/>
    <w:rsid w:val="00D1577C"/>
    <w:rsid w:val="00D15CDD"/>
    <w:rsid w:val="00D164B7"/>
    <w:rsid w:val="00D16A55"/>
    <w:rsid w:val="00D16F2A"/>
    <w:rsid w:val="00D17C7F"/>
    <w:rsid w:val="00D211E4"/>
    <w:rsid w:val="00D2161B"/>
    <w:rsid w:val="00D21A6A"/>
    <w:rsid w:val="00D226DF"/>
    <w:rsid w:val="00D22ECF"/>
    <w:rsid w:val="00D236D2"/>
    <w:rsid w:val="00D26DBE"/>
    <w:rsid w:val="00D275CD"/>
    <w:rsid w:val="00D2783E"/>
    <w:rsid w:val="00D30010"/>
    <w:rsid w:val="00D307C9"/>
    <w:rsid w:val="00D30938"/>
    <w:rsid w:val="00D3296E"/>
    <w:rsid w:val="00D32E1F"/>
    <w:rsid w:val="00D32EBF"/>
    <w:rsid w:val="00D361D3"/>
    <w:rsid w:val="00D3647A"/>
    <w:rsid w:val="00D36B7E"/>
    <w:rsid w:val="00D37893"/>
    <w:rsid w:val="00D412E8"/>
    <w:rsid w:val="00D41317"/>
    <w:rsid w:val="00D4155F"/>
    <w:rsid w:val="00D41810"/>
    <w:rsid w:val="00D41F38"/>
    <w:rsid w:val="00D42856"/>
    <w:rsid w:val="00D42F1F"/>
    <w:rsid w:val="00D434A6"/>
    <w:rsid w:val="00D43D10"/>
    <w:rsid w:val="00D46595"/>
    <w:rsid w:val="00D50037"/>
    <w:rsid w:val="00D5225D"/>
    <w:rsid w:val="00D524BE"/>
    <w:rsid w:val="00D53889"/>
    <w:rsid w:val="00D54F78"/>
    <w:rsid w:val="00D5569C"/>
    <w:rsid w:val="00D562A2"/>
    <w:rsid w:val="00D565AF"/>
    <w:rsid w:val="00D56872"/>
    <w:rsid w:val="00D57612"/>
    <w:rsid w:val="00D577B2"/>
    <w:rsid w:val="00D57BBD"/>
    <w:rsid w:val="00D601C4"/>
    <w:rsid w:val="00D60B32"/>
    <w:rsid w:val="00D61F4E"/>
    <w:rsid w:val="00D634F3"/>
    <w:rsid w:val="00D652A8"/>
    <w:rsid w:val="00D65C57"/>
    <w:rsid w:val="00D662BB"/>
    <w:rsid w:val="00D66E1E"/>
    <w:rsid w:val="00D72C35"/>
    <w:rsid w:val="00D7310F"/>
    <w:rsid w:val="00D737EB"/>
    <w:rsid w:val="00D75AB4"/>
    <w:rsid w:val="00D76A91"/>
    <w:rsid w:val="00D76F07"/>
    <w:rsid w:val="00D8015D"/>
    <w:rsid w:val="00D80746"/>
    <w:rsid w:val="00D81016"/>
    <w:rsid w:val="00D81B9C"/>
    <w:rsid w:val="00D82C15"/>
    <w:rsid w:val="00D84113"/>
    <w:rsid w:val="00D84E27"/>
    <w:rsid w:val="00D8592B"/>
    <w:rsid w:val="00D86AC9"/>
    <w:rsid w:val="00D86EF4"/>
    <w:rsid w:val="00D9077A"/>
    <w:rsid w:val="00D916D8"/>
    <w:rsid w:val="00D93233"/>
    <w:rsid w:val="00D93583"/>
    <w:rsid w:val="00D93B8D"/>
    <w:rsid w:val="00D93F1F"/>
    <w:rsid w:val="00D94292"/>
    <w:rsid w:val="00D94330"/>
    <w:rsid w:val="00D9492D"/>
    <w:rsid w:val="00D954EB"/>
    <w:rsid w:val="00D956C3"/>
    <w:rsid w:val="00D97EAD"/>
    <w:rsid w:val="00DA0D18"/>
    <w:rsid w:val="00DA1B7D"/>
    <w:rsid w:val="00DA1FF8"/>
    <w:rsid w:val="00DA2BE8"/>
    <w:rsid w:val="00DA3913"/>
    <w:rsid w:val="00DA3B5E"/>
    <w:rsid w:val="00DA4714"/>
    <w:rsid w:val="00DA4D5C"/>
    <w:rsid w:val="00DA5843"/>
    <w:rsid w:val="00DA5885"/>
    <w:rsid w:val="00DA5FCD"/>
    <w:rsid w:val="00DA612E"/>
    <w:rsid w:val="00DB1E27"/>
    <w:rsid w:val="00DB2210"/>
    <w:rsid w:val="00DB22A3"/>
    <w:rsid w:val="00DB384E"/>
    <w:rsid w:val="00DB480E"/>
    <w:rsid w:val="00DB5ACE"/>
    <w:rsid w:val="00DC1ACC"/>
    <w:rsid w:val="00DC3C97"/>
    <w:rsid w:val="00DC408F"/>
    <w:rsid w:val="00DC721D"/>
    <w:rsid w:val="00DC739E"/>
    <w:rsid w:val="00DC7658"/>
    <w:rsid w:val="00DC77B0"/>
    <w:rsid w:val="00DD02BA"/>
    <w:rsid w:val="00DD0F82"/>
    <w:rsid w:val="00DD2B93"/>
    <w:rsid w:val="00DD38F5"/>
    <w:rsid w:val="00DD4378"/>
    <w:rsid w:val="00DD47EA"/>
    <w:rsid w:val="00DD7246"/>
    <w:rsid w:val="00DE0F45"/>
    <w:rsid w:val="00DE146C"/>
    <w:rsid w:val="00DE2667"/>
    <w:rsid w:val="00DE3409"/>
    <w:rsid w:val="00DE3F7F"/>
    <w:rsid w:val="00DE5B97"/>
    <w:rsid w:val="00DE61AE"/>
    <w:rsid w:val="00DE61BE"/>
    <w:rsid w:val="00DE64F4"/>
    <w:rsid w:val="00DE65F0"/>
    <w:rsid w:val="00DE6771"/>
    <w:rsid w:val="00DE754C"/>
    <w:rsid w:val="00DF281D"/>
    <w:rsid w:val="00DF282B"/>
    <w:rsid w:val="00DF2A32"/>
    <w:rsid w:val="00DF35DA"/>
    <w:rsid w:val="00DF56AC"/>
    <w:rsid w:val="00DF56BB"/>
    <w:rsid w:val="00DF5E69"/>
    <w:rsid w:val="00DF6627"/>
    <w:rsid w:val="00DF7971"/>
    <w:rsid w:val="00E006FE"/>
    <w:rsid w:val="00E018AE"/>
    <w:rsid w:val="00E02D04"/>
    <w:rsid w:val="00E031D2"/>
    <w:rsid w:val="00E047FE"/>
    <w:rsid w:val="00E065AC"/>
    <w:rsid w:val="00E06786"/>
    <w:rsid w:val="00E07524"/>
    <w:rsid w:val="00E07BB3"/>
    <w:rsid w:val="00E10055"/>
    <w:rsid w:val="00E1164F"/>
    <w:rsid w:val="00E11B10"/>
    <w:rsid w:val="00E11CD7"/>
    <w:rsid w:val="00E12B99"/>
    <w:rsid w:val="00E12C26"/>
    <w:rsid w:val="00E16038"/>
    <w:rsid w:val="00E17E2E"/>
    <w:rsid w:val="00E17EE9"/>
    <w:rsid w:val="00E209FA"/>
    <w:rsid w:val="00E21730"/>
    <w:rsid w:val="00E22319"/>
    <w:rsid w:val="00E22BB5"/>
    <w:rsid w:val="00E235E9"/>
    <w:rsid w:val="00E23B63"/>
    <w:rsid w:val="00E23DA1"/>
    <w:rsid w:val="00E24C7C"/>
    <w:rsid w:val="00E257F4"/>
    <w:rsid w:val="00E25B34"/>
    <w:rsid w:val="00E25B9B"/>
    <w:rsid w:val="00E277A1"/>
    <w:rsid w:val="00E27AA7"/>
    <w:rsid w:val="00E27D3F"/>
    <w:rsid w:val="00E31AA4"/>
    <w:rsid w:val="00E31C84"/>
    <w:rsid w:val="00E3233E"/>
    <w:rsid w:val="00E32412"/>
    <w:rsid w:val="00E32478"/>
    <w:rsid w:val="00E32C54"/>
    <w:rsid w:val="00E34D37"/>
    <w:rsid w:val="00E35D28"/>
    <w:rsid w:val="00E363BF"/>
    <w:rsid w:val="00E369CE"/>
    <w:rsid w:val="00E40086"/>
    <w:rsid w:val="00E4104F"/>
    <w:rsid w:val="00E41629"/>
    <w:rsid w:val="00E41A4E"/>
    <w:rsid w:val="00E41C31"/>
    <w:rsid w:val="00E42737"/>
    <w:rsid w:val="00E42F09"/>
    <w:rsid w:val="00E42F98"/>
    <w:rsid w:val="00E43F0A"/>
    <w:rsid w:val="00E4468E"/>
    <w:rsid w:val="00E4476E"/>
    <w:rsid w:val="00E44B64"/>
    <w:rsid w:val="00E4740F"/>
    <w:rsid w:val="00E50515"/>
    <w:rsid w:val="00E507B7"/>
    <w:rsid w:val="00E51089"/>
    <w:rsid w:val="00E519AA"/>
    <w:rsid w:val="00E52326"/>
    <w:rsid w:val="00E52654"/>
    <w:rsid w:val="00E52C79"/>
    <w:rsid w:val="00E52D29"/>
    <w:rsid w:val="00E53411"/>
    <w:rsid w:val="00E53AEB"/>
    <w:rsid w:val="00E54528"/>
    <w:rsid w:val="00E55903"/>
    <w:rsid w:val="00E55EAD"/>
    <w:rsid w:val="00E56B66"/>
    <w:rsid w:val="00E56C6D"/>
    <w:rsid w:val="00E57E6C"/>
    <w:rsid w:val="00E57E9C"/>
    <w:rsid w:val="00E60C5C"/>
    <w:rsid w:val="00E60F66"/>
    <w:rsid w:val="00E61F0E"/>
    <w:rsid w:val="00E6290A"/>
    <w:rsid w:val="00E634FF"/>
    <w:rsid w:val="00E66326"/>
    <w:rsid w:val="00E6739E"/>
    <w:rsid w:val="00E6750F"/>
    <w:rsid w:val="00E70947"/>
    <w:rsid w:val="00E72AF3"/>
    <w:rsid w:val="00E7318B"/>
    <w:rsid w:val="00E74692"/>
    <w:rsid w:val="00E75C64"/>
    <w:rsid w:val="00E764D7"/>
    <w:rsid w:val="00E772CB"/>
    <w:rsid w:val="00E80A39"/>
    <w:rsid w:val="00E8191A"/>
    <w:rsid w:val="00E81C51"/>
    <w:rsid w:val="00E8234E"/>
    <w:rsid w:val="00E83283"/>
    <w:rsid w:val="00E83DA5"/>
    <w:rsid w:val="00E84EAA"/>
    <w:rsid w:val="00E8596C"/>
    <w:rsid w:val="00E9024F"/>
    <w:rsid w:val="00E91769"/>
    <w:rsid w:val="00E93C58"/>
    <w:rsid w:val="00E96168"/>
    <w:rsid w:val="00E96352"/>
    <w:rsid w:val="00EA0229"/>
    <w:rsid w:val="00EA07D8"/>
    <w:rsid w:val="00EA09AA"/>
    <w:rsid w:val="00EA24F9"/>
    <w:rsid w:val="00EA271C"/>
    <w:rsid w:val="00EA284C"/>
    <w:rsid w:val="00EA304B"/>
    <w:rsid w:val="00EA3C19"/>
    <w:rsid w:val="00EA4317"/>
    <w:rsid w:val="00EA5092"/>
    <w:rsid w:val="00EA5281"/>
    <w:rsid w:val="00EB0162"/>
    <w:rsid w:val="00EB0BE1"/>
    <w:rsid w:val="00EB1032"/>
    <w:rsid w:val="00EB2CCE"/>
    <w:rsid w:val="00EB35E1"/>
    <w:rsid w:val="00EB3F1D"/>
    <w:rsid w:val="00EB3F50"/>
    <w:rsid w:val="00EB57AC"/>
    <w:rsid w:val="00EB5E82"/>
    <w:rsid w:val="00EB60B8"/>
    <w:rsid w:val="00EB6DBB"/>
    <w:rsid w:val="00EC0C42"/>
    <w:rsid w:val="00EC1002"/>
    <w:rsid w:val="00EC20A1"/>
    <w:rsid w:val="00EC47D6"/>
    <w:rsid w:val="00EC489F"/>
    <w:rsid w:val="00EC60BB"/>
    <w:rsid w:val="00ED02AB"/>
    <w:rsid w:val="00ED0506"/>
    <w:rsid w:val="00ED12A4"/>
    <w:rsid w:val="00ED163D"/>
    <w:rsid w:val="00ED203D"/>
    <w:rsid w:val="00ED2852"/>
    <w:rsid w:val="00ED32AF"/>
    <w:rsid w:val="00ED374A"/>
    <w:rsid w:val="00ED3B7D"/>
    <w:rsid w:val="00ED44E2"/>
    <w:rsid w:val="00ED55BF"/>
    <w:rsid w:val="00ED5854"/>
    <w:rsid w:val="00ED7C66"/>
    <w:rsid w:val="00ED7D71"/>
    <w:rsid w:val="00EE0C07"/>
    <w:rsid w:val="00EE1626"/>
    <w:rsid w:val="00EE171A"/>
    <w:rsid w:val="00EE1AA9"/>
    <w:rsid w:val="00EE1E3C"/>
    <w:rsid w:val="00EE2DD6"/>
    <w:rsid w:val="00EE355C"/>
    <w:rsid w:val="00EE38CF"/>
    <w:rsid w:val="00EE4A96"/>
    <w:rsid w:val="00EE5FFE"/>
    <w:rsid w:val="00EE65F6"/>
    <w:rsid w:val="00EE66FC"/>
    <w:rsid w:val="00EE7F04"/>
    <w:rsid w:val="00EF1112"/>
    <w:rsid w:val="00EF1533"/>
    <w:rsid w:val="00EF25AE"/>
    <w:rsid w:val="00EF26A2"/>
    <w:rsid w:val="00EF401C"/>
    <w:rsid w:val="00EF420A"/>
    <w:rsid w:val="00EF4A12"/>
    <w:rsid w:val="00EF4D5B"/>
    <w:rsid w:val="00EF5E80"/>
    <w:rsid w:val="00EF737C"/>
    <w:rsid w:val="00F01B33"/>
    <w:rsid w:val="00F01CA3"/>
    <w:rsid w:val="00F020BC"/>
    <w:rsid w:val="00F02EC0"/>
    <w:rsid w:val="00F042E8"/>
    <w:rsid w:val="00F04C2F"/>
    <w:rsid w:val="00F06B5D"/>
    <w:rsid w:val="00F0759E"/>
    <w:rsid w:val="00F10E63"/>
    <w:rsid w:val="00F12C0F"/>
    <w:rsid w:val="00F13074"/>
    <w:rsid w:val="00F1338B"/>
    <w:rsid w:val="00F152A3"/>
    <w:rsid w:val="00F16349"/>
    <w:rsid w:val="00F20E36"/>
    <w:rsid w:val="00F22B8E"/>
    <w:rsid w:val="00F24ADB"/>
    <w:rsid w:val="00F24C80"/>
    <w:rsid w:val="00F24DAD"/>
    <w:rsid w:val="00F250F4"/>
    <w:rsid w:val="00F2594C"/>
    <w:rsid w:val="00F267BC"/>
    <w:rsid w:val="00F271BB"/>
    <w:rsid w:val="00F31775"/>
    <w:rsid w:val="00F31AD6"/>
    <w:rsid w:val="00F33782"/>
    <w:rsid w:val="00F33A67"/>
    <w:rsid w:val="00F3504B"/>
    <w:rsid w:val="00F3536D"/>
    <w:rsid w:val="00F35765"/>
    <w:rsid w:val="00F3686E"/>
    <w:rsid w:val="00F40609"/>
    <w:rsid w:val="00F4071F"/>
    <w:rsid w:val="00F42496"/>
    <w:rsid w:val="00F42EF5"/>
    <w:rsid w:val="00F438BF"/>
    <w:rsid w:val="00F442CE"/>
    <w:rsid w:val="00F45722"/>
    <w:rsid w:val="00F4623D"/>
    <w:rsid w:val="00F4720A"/>
    <w:rsid w:val="00F472B8"/>
    <w:rsid w:val="00F47357"/>
    <w:rsid w:val="00F47AC3"/>
    <w:rsid w:val="00F503BE"/>
    <w:rsid w:val="00F505E2"/>
    <w:rsid w:val="00F50B23"/>
    <w:rsid w:val="00F526B2"/>
    <w:rsid w:val="00F54266"/>
    <w:rsid w:val="00F57EB6"/>
    <w:rsid w:val="00F60C86"/>
    <w:rsid w:val="00F6156D"/>
    <w:rsid w:val="00F627C2"/>
    <w:rsid w:val="00F631EF"/>
    <w:rsid w:val="00F632B3"/>
    <w:rsid w:val="00F63809"/>
    <w:rsid w:val="00F63E8C"/>
    <w:rsid w:val="00F64A3A"/>
    <w:rsid w:val="00F66308"/>
    <w:rsid w:val="00F66392"/>
    <w:rsid w:val="00F66DD0"/>
    <w:rsid w:val="00F70BD3"/>
    <w:rsid w:val="00F7178A"/>
    <w:rsid w:val="00F71D95"/>
    <w:rsid w:val="00F723FC"/>
    <w:rsid w:val="00F75083"/>
    <w:rsid w:val="00F756B5"/>
    <w:rsid w:val="00F758E0"/>
    <w:rsid w:val="00F75E20"/>
    <w:rsid w:val="00F75E81"/>
    <w:rsid w:val="00F76526"/>
    <w:rsid w:val="00F76800"/>
    <w:rsid w:val="00F77FAD"/>
    <w:rsid w:val="00F80525"/>
    <w:rsid w:val="00F83395"/>
    <w:rsid w:val="00F834B9"/>
    <w:rsid w:val="00F83730"/>
    <w:rsid w:val="00F8457E"/>
    <w:rsid w:val="00F853D5"/>
    <w:rsid w:val="00F85C25"/>
    <w:rsid w:val="00F860D0"/>
    <w:rsid w:val="00F86E74"/>
    <w:rsid w:val="00F91F2E"/>
    <w:rsid w:val="00F94319"/>
    <w:rsid w:val="00F96055"/>
    <w:rsid w:val="00F970A6"/>
    <w:rsid w:val="00FA03B3"/>
    <w:rsid w:val="00FA170C"/>
    <w:rsid w:val="00FA1C91"/>
    <w:rsid w:val="00FA28C4"/>
    <w:rsid w:val="00FA2A15"/>
    <w:rsid w:val="00FA5113"/>
    <w:rsid w:val="00FA6023"/>
    <w:rsid w:val="00FA7298"/>
    <w:rsid w:val="00FB0692"/>
    <w:rsid w:val="00FB0FFA"/>
    <w:rsid w:val="00FB105A"/>
    <w:rsid w:val="00FB16E4"/>
    <w:rsid w:val="00FB2181"/>
    <w:rsid w:val="00FB2957"/>
    <w:rsid w:val="00FB46D5"/>
    <w:rsid w:val="00FB6E2C"/>
    <w:rsid w:val="00FC03EF"/>
    <w:rsid w:val="00FC05B7"/>
    <w:rsid w:val="00FC2A40"/>
    <w:rsid w:val="00FC4BC8"/>
    <w:rsid w:val="00FC617D"/>
    <w:rsid w:val="00FC70A5"/>
    <w:rsid w:val="00FD17BB"/>
    <w:rsid w:val="00FD21E4"/>
    <w:rsid w:val="00FD231A"/>
    <w:rsid w:val="00FD2A58"/>
    <w:rsid w:val="00FD2AE3"/>
    <w:rsid w:val="00FD3225"/>
    <w:rsid w:val="00FD42CF"/>
    <w:rsid w:val="00FD532B"/>
    <w:rsid w:val="00FD6162"/>
    <w:rsid w:val="00FD7E12"/>
    <w:rsid w:val="00FE1685"/>
    <w:rsid w:val="00FE1C42"/>
    <w:rsid w:val="00FE2E9F"/>
    <w:rsid w:val="00FE457A"/>
    <w:rsid w:val="00FE51D6"/>
    <w:rsid w:val="00FE5D9C"/>
    <w:rsid w:val="00FE6C30"/>
    <w:rsid w:val="00FF03A1"/>
    <w:rsid w:val="00FF04A2"/>
    <w:rsid w:val="00FF08AE"/>
    <w:rsid w:val="00FF0A4F"/>
    <w:rsid w:val="00FF1CD0"/>
    <w:rsid w:val="00FF2118"/>
    <w:rsid w:val="00FF254C"/>
    <w:rsid w:val="00FF3A2C"/>
    <w:rsid w:val="00FF46C8"/>
    <w:rsid w:val="00FF5CDD"/>
    <w:rsid w:val="00FF5E93"/>
    <w:rsid w:val="00FF5FCF"/>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CDF80D4A-CB49-4F03-839C-16FB75AB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paragraph" w:styleId="Heading3">
    <w:name w:val="heading 3"/>
    <w:basedOn w:val="Normal"/>
    <w:next w:val="Normal"/>
    <w:link w:val="Heading3Char"/>
    <w:semiHidden/>
    <w:unhideWhenUsed/>
    <w:qFormat/>
    <w:rsid w:val="00F7680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lp1,Bullet 1,Use Case List Paragraph,Bullet EY,List 1 level,Table of contents numbered,List Paragraph21,List Paragraph1,Lentele,List Paragraph2,ERP-List Paragraph,List Paragraph11,Buletai,Numbering,List Paragraph111,Paragraph"/>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iPriority w:val="99"/>
    <w:semiHidden/>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customStyle="1" w:styleId="Bodytext10">
    <w:name w:val="Body text (10)_"/>
    <w:basedOn w:val="DefaultParagraphFont"/>
    <w:rsid w:val="00CF2E0F"/>
    <w:rPr>
      <w:rFonts w:ascii="Times New Roman" w:eastAsia="Times New Roman" w:hAnsi="Times New Roman" w:cs="Times New Roman"/>
      <w:b w:val="0"/>
      <w:bCs w:val="0"/>
      <w:i w:val="0"/>
      <w:iCs w:val="0"/>
      <w:smallCaps w:val="0"/>
      <w:strike w:val="0"/>
      <w:sz w:val="21"/>
      <w:szCs w:val="21"/>
      <w:u w:val="none"/>
    </w:rPr>
  </w:style>
  <w:style w:type="character" w:customStyle="1" w:styleId="Heading3Char">
    <w:name w:val="Heading 3 Char"/>
    <w:basedOn w:val="DefaultParagraphFont"/>
    <w:link w:val="Heading3"/>
    <w:semiHidden/>
    <w:rsid w:val="00F76800"/>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C83F15"/>
    <w:rPr>
      <w:color w:val="0000FF"/>
      <w:u w:val="single"/>
    </w:rPr>
  </w:style>
  <w:style w:type="character" w:customStyle="1" w:styleId="FontStyle19">
    <w:name w:val="Font Style19"/>
    <w:uiPriority w:val="99"/>
    <w:rsid w:val="00035CB0"/>
    <w:rPr>
      <w:rFonts w:ascii="Times New Roman" w:hAnsi="Times New Roman" w:cs="Times New Roman" w:hint="default"/>
      <w:sz w:val="20"/>
      <w:szCs w:val="20"/>
    </w:rPr>
  </w:style>
  <w:style w:type="character" w:customStyle="1" w:styleId="ListParagraphChar">
    <w:name w:val="List Paragraph Char"/>
    <w:aliases w:val="lp1 Char,Bullet 1 Char,Use Case List Paragraph Char,Bullet EY Char,List 1 level Char,Table of contents numbered Char,List Paragraph21 Char,List Paragraph1 Char,Lentele Char,List Paragraph2 Char,ERP-List Paragraph Char,Buletai Char"/>
    <w:link w:val="ListParagraph"/>
    <w:uiPriority w:val="34"/>
    <w:qFormat/>
    <w:locked/>
    <w:rsid w:val="00035CB0"/>
    <w:rPr>
      <w:rFonts w:ascii="Calibri" w:hAnsi="Calibri"/>
      <w:sz w:val="22"/>
      <w:szCs w:val="22"/>
    </w:rPr>
  </w:style>
  <w:style w:type="paragraph" w:customStyle="1" w:styleId="Style1">
    <w:name w:val="Style1"/>
    <w:basedOn w:val="NoSpacing"/>
    <w:link w:val="Style1Char"/>
    <w:qFormat/>
    <w:rsid w:val="00C36950"/>
    <w:pPr>
      <w:suppressAutoHyphens/>
      <w:ind w:firstLine="709"/>
      <w:jc w:val="both"/>
    </w:pPr>
    <w:rPr>
      <w:lang w:eastAsia="ar-SA"/>
    </w:rPr>
  </w:style>
  <w:style w:type="character" w:customStyle="1" w:styleId="Style1Char">
    <w:name w:val="Style1 Char"/>
    <w:basedOn w:val="DefaultParagraphFont"/>
    <w:link w:val="Style1"/>
    <w:rsid w:val="00C36950"/>
    <w:rPr>
      <w:sz w:val="24"/>
      <w:szCs w:val="24"/>
      <w:lang w:eastAsia="ar-SA"/>
    </w:rPr>
  </w:style>
  <w:style w:type="paragraph" w:styleId="NoSpacing">
    <w:name w:val="No Spacing"/>
    <w:link w:val="NoSpacingChar"/>
    <w:uiPriority w:val="1"/>
    <w:qFormat/>
    <w:rsid w:val="00C36950"/>
    <w:rPr>
      <w:sz w:val="24"/>
      <w:szCs w:val="24"/>
    </w:rPr>
  </w:style>
  <w:style w:type="character" w:customStyle="1" w:styleId="NoSpacingChar">
    <w:name w:val="No Spacing Char"/>
    <w:basedOn w:val="DefaultParagraphFont"/>
    <w:link w:val="NoSpacing"/>
    <w:uiPriority w:val="1"/>
    <w:rsid w:val="00C36950"/>
    <w:rPr>
      <w:sz w:val="24"/>
      <w:szCs w:val="24"/>
    </w:rPr>
  </w:style>
  <w:style w:type="character" w:customStyle="1" w:styleId="Bodytext24pt">
    <w:name w:val="Body text (2) + 4 pt"/>
    <w:basedOn w:val="DefaultParagraphFont"/>
    <w:rsid w:val="00C36950"/>
    <w:rPr>
      <w:rFonts w:ascii="Times New Roman" w:eastAsia="Times New Roman" w:hAnsi="Times New Roman"/>
      <w:color w:val="000000"/>
      <w:spacing w:val="0"/>
      <w:w w:val="100"/>
      <w:position w:val="0"/>
      <w:sz w:val="8"/>
      <w:szCs w:val="8"/>
      <w:shd w:val="clear" w:color="auto" w:fill="FFFFFF"/>
      <w:lang w:val="lt-LT" w:eastAsia="lt-LT" w:bidi="lt-LT"/>
    </w:rPr>
  </w:style>
  <w:style w:type="paragraph" w:customStyle="1" w:styleId="tajtip">
    <w:name w:val="tajtip"/>
    <w:basedOn w:val="Normal"/>
    <w:rsid w:val="00655F83"/>
    <w:pPr>
      <w:spacing w:before="100" w:beforeAutospacing="1" w:after="100" w:afterAutospacing="1"/>
    </w:pPr>
    <w:rPr>
      <w:lang w:eastAsia="en-GB"/>
    </w:rPr>
  </w:style>
  <w:style w:type="character" w:customStyle="1" w:styleId="right">
    <w:name w:val="right"/>
    <w:basedOn w:val="DefaultParagraphFont"/>
    <w:rsid w:val="00E12B99"/>
  </w:style>
  <w:style w:type="character" w:customStyle="1" w:styleId="CharStyle10">
    <w:name w:val="Char Style 10"/>
    <w:basedOn w:val="DefaultParagraphFont"/>
    <w:link w:val="Style9"/>
    <w:uiPriority w:val="99"/>
    <w:rsid w:val="001F0BE8"/>
    <w:rPr>
      <w:shd w:val="clear" w:color="auto" w:fill="FFFFFF"/>
    </w:rPr>
  </w:style>
  <w:style w:type="paragraph" w:customStyle="1" w:styleId="Style9">
    <w:name w:val="Style 9"/>
    <w:basedOn w:val="Normal"/>
    <w:link w:val="CharStyle10"/>
    <w:uiPriority w:val="99"/>
    <w:rsid w:val="001F0BE8"/>
    <w:pPr>
      <w:widowControl w:val="0"/>
      <w:shd w:val="clear" w:color="auto" w:fill="FFFFFF"/>
      <w:spacing w:after="240" w:line="326" w:lineRule="exact"/>
      <w:ind w:hanging="58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30169">
      <w:bodyDiv w:val="1"/>
      <w:marLeft w:val="0"/>
      <w:marRight w:val="0"/>
      <w:marTop w:val="0"/>
      <w:marBottom w:val="0"/>
      <w:divBdr>
        <w:top w:val="none" w:sz="0" w:space="0" w:color="auto"/>
        <w:left w:val="none" w:sz="0" w:space="0" w:color="auto"/>
        <w:bottom w:val="none" w:sz="0" w:space="0" w:color="auto"/>
        <w:right w:val="none" w:sz="0" w:space="0" w:color="auto"/>
      </w:divBdr>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86738">
      <w:bodyDiv w:val="1"/>
      <w:marLeft w:val="0"/>
      <w:marRight w:val="0"/>
      <w:marTop w:val="0"/>
      <w:marBottom w:val="0"/>
      <w:divBdr>
        <w:top w:val="none" w:sz="0" w:space="0" w:color="auto"/>
        <w:left w:val="none" w:sz="0" w:space="0" w:color="auto"/>
        <w:bottom w:val="none" w:sz="0" w:space="0" w:color="auto"/>
        <w:right w:val="none" w:sz="0" w:space="0" w:color="auto"/>
      </w:divBdr>
      <w:divsChild>
        <w:div w:id="864565375">
          <w:marLeft w:val="0"/>
          <w:marRight w:val="0"/>
          <w:marTop w:val="0"/>
          <w:marBottom w:val="0"/>
          <w:divBdr>
            <w:top w:val="none" w:sz="0" w:space="0" w:color="auto"/>
            <w:left w:val="none" w:sz="0" w:space="0" w:color="auto"/>
            <w:bottom w:val="none" w:sz="0" w:space="0" w:color="auto"/>
            <w:right w:val="none" w:sz="0" w:space="0" w:color="auto"/>
          </w:divBdr>
          <w:divsChild>
            <w:div w:id="814681664">
              <w:marLeft w:val="0"/>
              <w:marRight w:val="0"/>
              <w:marTop w:val="0"/>
              <w:marBottom w:val="0"/>
              <w:divBdr>
                <w:top w:val="none" w:sz="0" w:space="0" w:color="auto"/>
                <w:left w:val="none" w:sz="0" w:space="0" w:color="auto"/>
                <w:bottom w:val="none" w:sz="0" w:space="0" w:color="auto"/>
                <w:right w:val="none" w:sz="0" w:space="0" w:color="auto"/>
              </w:divBdr>
              <w:divsChild>
                <w:div w:id="82093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38524">
      <w:bodyDiv w:val="1"/>
      <w:marLeft w:val="0"/>
      <w:marRight w:val="0"/>
      <w:marTop w:val="0"/>
      <w:marBottom w:val="0"/>
      <w:divBdr>
        <w:top w:val="none" w:sz="0" w:space="0" w:color="auto"/>
        <w:left w:val="none" w:sz="0" w:space="0" w:color="auto"/>
        <w:bottom w:val="none" w:sz="0" w:space="0" w:color="auto"/>
        <w:right w:val="none" w:sz="0" w:space="0" w:color="auto"/>
      </w:divBdr>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0362">
      <w:bodyDiv w:val="1"/>
      <w:marLeft w:val="0"/>
      <w:marRight w:val="0"/>
      <w:marTop w:val="0"/>
      <w:marBottom w:val="0"/>
      <w:divBdr>
        <w:top w:val="none" w:sz="0" w:space="0" w:color="auto"/>
        <w:left w:val="none" w:sz="0" w:space="0" w:color="auto"/>
        <w:bottom w:val="none" w:sz="0" w:space="0" w:color="auto"/>
        <w:right w:val="none" w:sz="0" w:space="0" w:color="auto"/>
      </w:divBdr>
      <w:divsChild>
        <w:div w:id="1477914811">
          <w:marLeft w:val="0"/>
          <w:marRight w:val="0"/>
          <w:marTop w:val="0"/>
          <w:marBottom w:val="0"/>
          <w:divBdr>
            <w:top w:val="none" w:sz="0" w:space="0" w:color="auto"/>
            <w:left w:val="none" w:sz="0" w:space="0" w:color="auto"/>
            <w:bottom w:val="none" w:sz="0" w:space="0" w:color="auto"/>
            <w:right w:val="none" w:sz="0" w:space="0" w:color="auto"/>
          </w:divBdr>
          <w:divsChild>
            <w:div w:id="2016640038">
              <w:marLeft w:val="0"/>
              <w:marRight w:val="0"/>
              <w:marTop w:val="0"/>
              <w:marBottom w:val="0"/>
              <w:divBdr>
                <w:top w:val="none" w:sz="0" w:space="0" w:color="auto"/>
                <w:left w:val="none" w:sz="0" w:space="0" w:color="auto"/>
                <w:bottom w:val="none" w:sz="0" w:space="0" w:color="auto"/>
                <w:right w:val="none" w:sz="0" w:space="0" w:color="auto"/>
              </w:divBdr>
              <w:divsChild>
                <w:div w:id="2925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0359">
      <w:bodyDiv w:val="1"/>
      <w:marLeft w:val="0"/>
      <w:marRight w:val="0"/>
      <w:marTop w:val="0"/>
      <w:marBottom w:val="0"/>
      <w:divBdr>
        <w:top w:val="none" w:sz="0" w:space="0" w:color="auto"/>
        <w:left w:val="none" w:sz="0" w:space="0" w:color="auto"/>
        <w:bottom w:val="none" w:sz="0" w:space="0" w:color="auto"/>
        <w:right w:val="none" w:sz="0" w:space="0" w:color="auto"/>
      </w:divBdr>
      <w:divsChild>
        <w:div w:id="1620724962">
          <w:marLeft w:val="0"/>
          <w:marRight w:val="0"/>
          <w:marTop w:val="0"/>
          <w:marBottom w:val="0"/>
          <w:divBdr>
            <w:top w:val="none" w:sz="0" w:space="0" w:color="auto"/>
            <w:left w:val="none" w:sz="0" w:space="0" w:color="auto"/>
            <w:bottom w:val="none" w:sz="0" w:space="0" w:color="auto"/>
            <w:right w:val="none" w:sz="0" w:space="0" w:color="auto"/>
          </w:divBdr>
          <w:divsChild>
            <w:div w:id="33122827">
              <w:marLeft w:val="0"/>
              <w:marRight w:val="0"/>
              <w:marTop w:val="0"/>
              <w:marBottom w:val="0"/>
              <w:divBdr>
                <w:top w:val="none" w:sz="0" w:space="0" w:color="auto"/>
                <w:left w:val="none" w:sz="0" w:space="0" w:color="auto"/>
                <w:bottom w:val="none" w:sz="0" w:space="0" w:color="auto"/>
                <w:right w:val="none" w:sz="0" w:space="0" w:color="auto"/>
              </w:divBdr>
              <w:divsChild>
                <w:div w:id="709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9351">
      <w:bodyDiv w:val="1"/>
      <w:marLeft w:val="0"/>
      <w:marRight w:val="0"/>
      <w:marTop w:val="0"/>
      <w:marBottom w:val="0"/>
      <w:divBdr>
        <w:top w:val="none" w:sz="0" w:space="0" w:color="auto"/>
        <w:left w:val="none" w:sz="0" w:space="0" w:color="auto"/>
        <w:bottom w:val="none" w:sz="0" w:space="0" w:color="auto"/>
        <w:right w:val="none" w:sz="0" w:space="0" w:color="auto"/>
      </w:divBdr>
    </w:div>
    <w:div w:id="198973068">
      <w:bodyDiv w:val="1"/>
      <w:marLeft w:val="0"/>
      <w:marRight w:val="0"/>
      <w:marTop w:val="0"/>
      <w:marBottom w:val="0"/>
      <w:divBdr>
        <w:top w:val="none" w:sz="0" w:space="0" w:color="auto"/>
        <w:left w:val="none" w:sz="0" w:space="0" w:color="auto"/>
        <w:bottom w:val="none" w:sz="0" w:space="0" w:color="auto"/>
        <w:right w:val="none" w:sz="0" w:space="0" w:color="auto"/>
      </w:divBdr>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580679">
      <w:bodyDiv w:val="1"/>
      <w:marLeft w:val="0"/>
      <w:marRight w:val="0"/>
      <w:marTop w:val="0"/>
      <w:marBottom w:val="0"/>
      <w:divBdr>
        <w:top w:val="none" w:sz="0" w:space="0" w:color="auto"/>
        <w:left w:val="none" w:sz="0" w:space="0" w:color="auto"/>
        <w:bottom w:val="none" w:sz="0" w:space="0" w:color="auto"/>
        <w:right w:val="none" w:sz="0" w:space="0" w:color="auto"/>
      </w:divBdr>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524977">
      <w:bodyDiv w:val="1"/>
      <w:marLeft w:val="0"/>
      <w:marRight w:val="0"/>
      <w:marTop w:val="0"/>
      <w:marBottom w:val="0"/>
      <w:divBdr>
        <w:top w:val="none" w:sz="0" w:space="0" w:color="auto"/>
        <w:left w:val="none" w:sz="0" w:space="0" w:color="auto"/>
        <w:bottom w:val="none" w:sz="0" w:space="0" w:color="auto"/>
        <w:right w:val="none" w:sz="0" w:space="0" w:color="auto"/>
      </w:divBdr>
      <w:divsChild>
        <w:div w:id="601883071">
          <w:marLeft w:val="0"/>
          <w:marRight w:val="0"/>
          <w:marTop w:val="0"/>
          <w:marBottom w:val="0"/>
          <w:divBdr>
            <w:top w:val="none" w:sz="0" w:space="0" w:color="auto"/>
            <w:left w:val="none" w:sz="0" w:space="0" w:color="auto"/>
            <w:bottom w:val="none" w:sz="0" w:space="0" w:color="auto"/>
            <w:right w:val="none" w:sz="0" w:space="0" w:color="auto"/>
          </w:divBdr>
          <w:divsChild>
            <w:div w:id="776297229">
              <w:marLeft w:val="0"/>
              <w:marRight w:val="0"/>
              <w:marTop w:val="0"/>
              <w:marBottom w:val="0"/>
              <w:divBdr>
                <w:top w:val="none" w:sz="0" w:space="0" w:color="auto"/>
                <w:left w:val="none" w:sz="0" w:space="0" w:color="auto"/>
                <w:bottom w:val="none" w:sz="0" w:space="0" w:color="auto"/>
                <w:right w:val="none" w:sz="0" w:space="0" w:color="auto"/>
              </w:divBdr>
              <w:divsChild>
                <w:div w:id="19073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627982">
      <w:bodyDiv w:val="1"/>
      <w:marLeft w:val="0"/>
      <w:marRight w:val="0"/>
      <w:marTop w:val="0"/>
      <w:marBottom w:val="0"/>
      <w:divBdr>
        <w:top w:val="none" w:sz="0" w:space="0" w:color="auto"/>
        <w:left w:val="none" w:sz="0" w:space="0" w:color="auto"/>
        <w:bottom w:val="none" w:sz="0" w:space="0" w:color="auto"/>
        <w:right w:val="none" w:sz="0" w:space="0" w:color="auto"/>
      </w:divBdr>
      <w:divsChild>
        <w:div w:id="1732653133">
          <w:marLeft w:val="0"/>
          <w:marRight w:val="0"/>
          <w:marTop w:val="0"/>
          <w:marBottom w:val="0"/>
          <w:divBdr>
            <w:top w:val="none" w:sz="0" w:space="0" w:color="auto"/>
            <w:left w:val="none" w:sz="0" w:space="0" w:color="auto"/>
            <w:bottom w:val="none" w:sz="0" w:space="0" w:color="auto"/>
            <w:right w:val="none" w:sz="0" w:space="0" w:color="auto"/>
          </w:divBdr>
          <w:divsChild>
            <w:div w:id="1496918735">
              <w:marLeft w:val="0"/>
              <w:marRight w:val="0"/>
              <w:marTop w:val="0"/>
              <w:marBottom w:val="0"/>
              <w:divBdr>
                <w:top w:val="none" w:sz="0" w:space="0" w:color="auto"/>
                <w:left w:val="none" w:sz="0" w:space="0" w:color="auto"/>
                <w:bottom w:val="none" w:sz="0" w:space="0" w:color="auto"/>
                <w:right w:val="none" w:sz="0" w:space="0" w:color="auto"/>
              </w:divBdr>
              <w:divsChild>
                <w:div w:id="177382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629379">
      <w:bodyDiv w:val="1"/>
      <w:marLeft w:val="0"/>
      <w:marRight w:val="0"/>
      <w:marTop w:val="0"/>
      <w:marBottom w:val="0"/>
      <w:divBdr>
        <w:top w:val="none" w:sz="0" w:space="0" w:color="auto"/>
        <w:left w:val="none" w:sz="0" w:space="0" w:color="auto"/>
        <w:bottom w:val="none" w:sz="0" w:space="0" w:color="auto"/>
        <w:right w:val="none" w:sz="0" w:space="0" w:color="auto"/>
      </w:divBdr>
      <w:divsChild>
        <w:div w:id="369913844">
          <w:marLeft w:val="0"/>
          <w:marRight w:val="0"/>
          <w:marTop w:val="0"/>
          <w:marBottom w:val="0"/>
          <w:divBdr>
            <w:top w:val="none" w:sz="0" w:space="0" w:color="auto"/>
            <w:left w:val="none" w:sz="0" w:space="0" w:color="auto"/>
            <w:bottom w:val="none" w:sz="0" w:space="0" w:color="auto"/>
            <w:right w:val="none" w:sz="0" w:space="0" w:color="auto"/>
          </w:divBdr>
          <w:divsChild>
            <w:div w:id="889919270">
              <w:marLeft w:val="0"/>
              <w:marRight w:val="0"/>
              <w:marTop w:val="0"/>
              <w:marBottom w:val="0"/>
              <w:divBdr>
                <w:top w:val="none" w:sz="0" w:space="0" w:color="auto"/>
                <w:left w:val="none" w:sz="0" w:space="0" w:color="auto"/>
                <w:bottom w:val="none" w:sz="0" w:space="0" w:color="auto"/>
                <w:right w:val="none" w:sz="0" w:space="0" w:color="auto"/>
              </w:divBdr>
              <w:divsChild>
                <w:div w:id="43090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601090">
      <w:bodyDiv w:val="1"/>
      <w:marLeft w:val="0"/>
      <w:marRight w:val="0"/>
      <w:marTop w:val="0"/>
      <w:marBottom w:val="0"/>
      <w:divBdr>
        <w:top w:val="none" w:sz="0" w:space="0" w:color="auto"/>
        <w:left w:val="none" w:sz="0" w:space="0" w:color="auto"/>
        <w:bottom w:val="none" w:sz="0" w:space="0" w:color="auto"/>
        <w:right w:val="none" w:sz="0" w:space="0" w:color="auto"/>
      </w:divBdr>
      <w:divsChild>
        <w:div w:id="1307322968">
          <w:marLeft w:val="0"/>
          <w:marRight w:val="0"/>
          <w:marTop w:val="0"/>
          <w:marBottom w:val="0"/>
          <w:divBdr>
            <w:top w:val="none" w:sz="0" w:space="0" w:color="auto"/>
            <w:left w:val="none" w:sz="0" w:space="0" w:color="auto"/>
            <w:bottom w:val="none" w:sz="0" w:space="0" w:color="auto"/>
            <w:right w:val="none" w:sz="0" w:space="0" w:color="auto"/>
          </w:divBdr>
          <w:divsChild>
            <w:div w:id="622612694">
              <w:marLeft w:val="0"/>
              <w:marRight w:val="0"/>
              <w:marTop w:val="0"/>
              <w:marBottom w:val="0"/>
              <w:divBdr>
                <w:top w:val="none" w:sz="0" w:space="0" w:color="auto"/>
                <w:left w:val="none" w:sz="0" w:space="0" w:color="auto"/>
                <w:bottom w:val="none" w:sz="0" w:space="0" w:color="auto"/>
                <w:right w:val="none" w:sz="0" w:space="0" w:color="auto"/>
              </w:divBdr>
              <w:divsChild>
                <w:div w:id="143100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2271">
      <w:bodyDiv w:val="1"/>
      <w:marLeft w:val="0"/>
      <w:marRight w:val="0"/>
      <w:marTop w:val="0"/>
      <w:marBottom w:val="0"/>
      <w:divBdr>
        <w:top w:val="none" w:sz="0" w:space="0" w:color="auto"/>
        <w:left w:val="none" w:sz="0" w:space="0" w:color="auto"/>
        <w:bottom w:val="none" w:sz="0" w:space="0" w:color="auto"/>
        <w:right w:val="none" w:sz="0" w:space="0" w:color="auto"/>
      </w:divBdr>
      <w:divsChild>
        <w:div w:id="870067641">
          <w:marLeft w:val="0"/>
          <w:marRight w:val="0"/>
          <w:marTop w:val="0"/>
          <w:marBottom w:val="0"/>
          <w:divBdr>
            <w:top w:val="none" w:sz="0" w:space="0" w:color="auto"/>
            <w:left w:val="none" w:sz="0" w:space="0" w:color="auto"/>
            <w:bottom w:val="none" w:sz="0" w:space="0" w:color="auto"/>
            <w:right w:val="none" w:sz="0" w:space="0" w:color="auto"/>
          </w:divBdr>
          <w:divsChild>
            <w:div w:id="2044868323">
              <w:marLeft w:val="0"/>
              <w:marRight w:val="0"/>
              <w:marTop w:val="0"/>
              <w:marBottom w:val="0"/>
              <w:divBdr>
                <w:top w:val="none" w:sz="0" w:space="0" w:color="auto"/>
                <w:left w:val="none" w:sz="0" w:space="0" w:color="auto"/>
                <w:bottom w:val="none" w:sz="0" w:space="0" w:color="auto"/>
                <w:right w:val="none" w:sz="0" w:space="0" w:color="auto"/>
              </w:divBdr>
              <w:divsChild>
                <w:div w:id="150296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12774">
      <w:bodyDiv w:val="1"/>
      <w:marLeft w:val="0"/>
      <w:marRight w:val="0"/>
      <w:marTop w:val="0"/>
      <w:marBottom w:val="0"/>
      <w:divBdr>
        <w:top w:val="none" w:sz="0" w:space="0" w:color="auto"/>
        <w:left w:val="none" w:sz="0" w:space="0" w:color="auto"/>
        <w:bottom w:val="none" w:sz="0" w:space="0" w:color="auto"/>
        <w:right w:val="none" w:sz="0" w:space="0" w:color="auto"/>
      </w:divBdr>
      <w:divsChild>
        <w:div w:id="479418958">
          <w:marLeft w:val="0"/>
          <w:marRight w:val="0"/>
          <w:marTop w:val="0"/>
          <w:marBottom w:val="0"/>
          <w:divBdr>
            <w:top w:val="none" w:sz="0" w:space="0" w:color="auto"/>
            <w:left w:val="none" w:sz="0" w:space="0" w:color="auto"/>
            <w:bottom w:val="none" w:sz="0" w:space="0" w:color="auto"/>
            <w:right w:val="none" w:sz="0" w:space="0" w:color="auto"/>
          </w:divBdr>
          <w:divsChild>
            <w:div w:id="1846901923">
              <w:marLeft w:val="0"/>
              <w:marRight w:val="0"/>
              <w:marTop w:val="0"/>
              <w:marBottom w:val="0"/>
              <w:divBdr>
                <w:top w:val="none" w:sz="0" w:space="0" w:color="auto"/>
                <w:left w:val="none" w:sz="0" w:space="0" w:color="auto"/>
                <w:bottom w:val="none" w:sz="0" w:space="0" w:color="auto"/>
                <w:right w:val="none" w:sz="0" w:space="0" w:color="auto"/>
              </w:divBdr>
              <w:divsChild>
                <w:div w:id="1812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234032">
      <w:bodyDiv w:val="1"/>
      <w:marLeft w:val="0"/>
      <w:marRight w:val="0"/>
      <w:marTop w:val="0"/>
      <w:marBottom w:val="0"/>
      <w:divBdr>
        <w:top w:val="none" w:sz="0" w:space="0" w:color="auto"/>
        <w:left w:val="none" w:sz="0" w:space="0" w:color="auto"/>
        <w:bottom w:val="none" w:sz="0" w:space="0" w:color="auto"/>
        <w:right w:val="none" w:sz="0" w:space="0" w:color="auto"/>
      </w:divBdr>
      <w:divsChild>
        <w:div w:id="2129421743">
          <w:marLeft w:val="0"/>
          <w:marRight w:val="0"/>
          <w:marTop w:val="0"/>
          <w:marBottom w:val="0"/>
          <w:divBdr>
            <w:top w:val="none" w:sz="0" w:space="0" w:color="auto"/>
            <w:left w:val="none" w:sz="0" w:space="0" w:color="auto"/>
            <w:bottom w:val="none" w:sz="0" w:space="0" w:color="auto"/>
            <w:right w:val="none" w:sz="0" w:space="0" w:color="auto"/>
          </w:divBdr>
          <w:divsChild>
            <w:div w:id="1500268586">
              <w:marLeft w:val="0"/>
              <w:marRight w:val="0"/>
              <w:marTop w:val="0"/>
              <w:marBottom w:val="0"/>
              <w:divBdr>
                <w:top w:val="none" w:sz="0" w:space="0" w:color="auto"/>
                <w:left w:val="none" w:sz="0" w:space="0" w:color="auto"/>
                <w:bottom w:val="none" w:sz="0" w:space="0" w:color="auto"/>
                <w:right w:val="none" w:sz="0" w:space="0" w:color="auto"/>
              </w:divBdr>
              <w:divsChild>
                <w:div w:id="78993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781217">
      <w:bodyDiv w:val="1"/>
      <w:marLeft w:val="0"/>
      <w:marRight w:val="0"/>
      <w:marTop w:val="0"/>
      <w:marBottom w:val="0"/>
      <w:divBdr>
        <w:top w:val="none" w:sz="0" w:space="0" w:color="auto"/>
        <w:left w:val="none" w:sz="0" w:space="0" w:color="auto"/>
        <w:bottom w:val="none" w:sz="0" w:space="0" w:color="auto"/>
        <w:right w:val="none" w:sz="0" w:space="0" w:color="auto"/>
      </w:divBdr>
      <w:divsChild>
        <w:div w:id="1980959001">
          <w:marLeft w:val="0"/>
          <w:marRight w:val="0"/>
          <w:marTop w:val="0"/>
          <w:marBottom w:val="0"/>
          <w:divBdr>
            <w:top w:val="none" w:sz="0" w:space="0" w:color="auto"/>
            <w:left w:val="none" w:sz="0" w:space="0" w:color="auto"/>
            <w:bottom w:val="none" w:sz="0" w:space="0" w:color="auto"/>
            <w:right w:val="none" w:sz="0" w:space="0" w:color="auto"/>
          </w:divBdr>
          <w:divsChild>
            <w:div w:id="1760984496">
              <w:marLeft w:val="0"/>
              <w:marRight w:val="0"/>
              <w:marTop w:val="0"/>
              <w:marBottom w:val="0"/>
              <w:divBdr>
                <w:top w:val="none" w:sz="0" w:space="0" w:color="auto"/>
                <w:left w:val="none" w:sz="0" w:space="0" w:color="auto"/>
                <w:bottom w:val="none" w:sz="0" w:space="0" w:color="auto"/>
                <w:right w:val="none" w:sz="0" w:space="0" w:color="auto"/>
              </w:divBdr>
              <w:divsChild>
                <w:div w:id="13825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668649">
      <w:bodyDiv w:val="1"/>
      <w:marLeft w:val="0"/>
      <w:marRight w:val="0"/>
      <w:marTop w:val="0"/>
      <w:marBottom w:val="0"/>
      <w:divBdr>
        <w:top w:val="none" w:sz="0" w:space="0" w:color="auto"/>
        <w:left w:val="none" w:sz="0" w:space="0" w:color="auto"/>
        <w:bottom w:val="none" w:sz="0" w:space="0" w:color="auto"/>
        <w:right w:val="none" w:sz="0" w:space="0" w:color="auto"/>
      </w:divBdr>
      <w:divsChild>
        <w:div w:id="199052984">
          <w:marLeft w:val="0"/>
          <w:marRight w:val="0"/>
          <w:marTop w:val="0"/>
          <w:marBottom w:val="0"/>
          <w:divBdr>
            <w:top w:val="none" w:sz="0" w:space="0" w:color="auto"/>
            <w:left w:val="none" w:sz="0" w:space="0" w:color="auto"/>
            <w:bottom w:val="none" w:sz="0" w:space="0" w:color="auto"/>
            <w:right w:val="none" w:sz="0" w:space="0" w:color="auto"/>
          </w:divBdr>
          <w:divsChild>
            <w:div w:id="153380544">
              <w:marLeft w:val="0"/>
              <w:marRight w:val="0"/>
              <w:marTop w:val="0"/>
              <w:marBottom w:val="0"/>
              <w:divBdr>
                <w:top w:val="none" w:sz="0" w:space="0" w:color="auto"/>
                <w:left w:val="none" w:sz="0" w:space="0" w:color="auto"/>
                <w:bottom w:val="none" w:sz="0" w:space="0" w:color="auto"/>
                <w:right w:val="none" w:sz="0" w:space="0" w:color="auto"/>
              </w:divBdr>
              <w:divsChild>
                <w:div w:id="171940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206800">
      <w:bodyDiv w:val="1"/>
      <w:marLeft w:val="0"/>
      <w:marRight w:val="0"/>
      <w:marTop w:val="0"/>
      <w:marBottom w:val="0"/>
      <w:divBdr>
        <w:top w:val="none" w:sz="0" w:space="0" w:color="auto"/>
        <w:left w:val="none" w:sz="0" w:space="0" w:color="auto"/>
        <w:bottom w:val="none" w:sz="0" w:space="0" w:color="auto"/>
        <w:right w:val="none" w:sz="0" w:space="0" w:color="auto"/>
      </w:divBdr>
      <w:divsChild>
        <w:div w:id="266545255">
          <w:marLeft w:val="0"/>
          <w:marRight w:val="0"/>
          <w:marTop w:val="0"/>
          <w:marBottom w:val="0"/>
          <w:divBdr>
            <w:top w:val="none" w:sz="0" w:space="0" w:color="auto"/>
            <w:left w:val="none" w:sz="0" w:space="0" w:color="auto"/>
            <w:bottom w:val="none" w:sz="0" w:space="0" w:color="auto"/>
            <w:right w:val="none" w:sz="0" w:space="0" w:color="auto"/>
          </w:divBdr>
          <w:divsChild>
            <w:div w:id="1049111469">
              <w:marLeft w:val="0"/>
              <w:marRight w:val="0"/>
              <w:marTop w:val="0"/>
              <w:marBottom w:val="0"/>
              <w:divBdr>
                <w:top w:val="none" w:sz="0" w:space="0" w:color="auto"/>
                <w:left w:val="none" w:sz="0" w:space="0" w:color="auto"/>
                <w:bottom w:val="none" w:sz="0" w:space="0" w:color="auto"/>
                <w:right w:val="none" w:sz="0" w:space="0" w:color="auto"/>
              </w:divBdr>
              <w:divsChild>
                <w:div w:id="108561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097506">
      <w:bodyDiv w:val="1"/>
      <w:marLeft w:val="0"/>
      <w:marRight w:val="0"/>
      <w:marTop w:val="0"/>
      <w:marBottom w:val="0"/>
      <w:divBdr>
        <w:top w:val="none" w:sz="0" w:space="0" w:color="auto"/>
        <w:left w:val="none" w:sz="0" w:space="0" w:color="auto"/>
        <w:bottom w:val="none" w:sz="0" w:space="0" w:color="auto"/>
        <w:right w:val="none" w:sz="0" w:space="0" w:color="auto"/>
      </w:divBdr>
      <w:divsChild>
        <w:div w:id="961376081">
          <w:marLeft w:val="0"/>
          <w:marRight w:val="0"/>
          <w:marTop w:val="0"/>
          <w:marBottom w:val="0"/>
          <w:divBdr>
            <w:top w:val="none" w:sz="0" w:space="0" w:color="auto"/>
            <w:left w:val="none" w:sz="0" w:space="0" w:color="auto"/>
            <w:bottom w:val="none" w:sz="0" w:space="0" w:color="auto"/>
            <w:right w:val="none" w:sz="0" w:space="0" w:color="auto"/>
          </w:divBdr>
          <w:divsChild>
            <w:div w:id="1928272559">
              <w:marLeft w:val="0"/>
              <w:marRight w:val="0"/>
              <w:marTop w:val="0"/>
              <w:marBottom w:val="0"/>
              <w:divBdr>
                <w:top w:val="none" w:sz="0" w:space="0" w:color="auto"/>
                <w:left w:val="none" w:sz="0" w:space="0" w:color="auto"/>
                <w:bottom w:val="none" w:sz="0" w:space="0" w:color="auto"/>
                <w:right w:val="none" w:sz="0" w:space="0" w:color="auto"/>
              </w:divBdr>
              <w:divsChild>
                <w:div w:id="156048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368576">
      <w:bodyDiv w:val="1"/>
      <w:marLeft w:val="0"/>
      <w:marRight w:val="0"/>
      <w:marTop w:val="0"/>
      <w:marBottom w:val="0"/>
      <w:divBdr>
        <w:top w:val="none" w:sz="0" w:space="0" w:color="auto"/>
        <w:left w:val="none" w:sz="0" w:space="0" w:color="auto"/>
        <w:bottom w:val="none" w:sz="0" w:space="0" w:color="auto"/>
        <w:right w:val="none" w:sz="0" w:space="0" w:color="auto"/>
      </w:divBdr>
      <w:divsChild>
        <w:div w:id="2110881017">
          <w:marLeft w:val="0"/>
          <w:marRight w:val="0"/>
          <w:marTop w:val="0"/>
          <w:marBottom w:val="0"/>
          <w:divBdr>
            <w:top w:val="none" w:sz="0" w:space="0" w:color="auto"/>
            <w:left w:val="none" w:sz="0" w:space="0" w:color="auto"/>
            <w:bottom w:val="none" w:sz="0" w:space="0" w:color="auto"/>
            <w:right w:val="none" w:sz="0" w:space="0" w:color="auto"/>
          </w:divBdr>
          <w:divsChild>
            <w:div w:id="28723011">
              <w:marLeft w:val="0"/>
              <w:marRight w:val="0"/>
              <w:marTop w:val="0"/>
              <w:marBottom w:val="0"/>
              <w:divBdr>
                <w:top w:val="none" w:sz="0" w:space="0" w:color="auto"/>
                <w:left w:val="none" w:sz="0" w:space="0" w:color="auto"/>
                <w:bottom w:val="none" w:sz="0" w:space="0" w:color="auto"/>
                <w:right w:val="none" w:sz="0" w:space="0" w:color="auto"/>
              </w:divBdr>
              <w:divsChild>
                <w:div w:id="187861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19794">
      <w:bodyDiv w:val="1"/>
      <w:marLeft w:val="0"/>
      <w:marRight w:val="0"/>
      <w:marTop w:val="0"/>
      <w:marBottom w:val="0"/>
      <w:divBdr>
        <w:top w:val="none" w:sz="0" w:space="0" w:color="auto"/>
        <w:left w:val="none" w:sz="0" w:space="0" w:color="auto"/>
        <w:bottom w:val="none" w:sz="0" w:space="0" w:color="auto"/>
        <w:right w:val="none" w:sz="0" w:space="0" w:color="auto"/>
      </w:divBdr>
      <w:divsChild>
        <w:div w:id="30224752">
          <w:marLeft w:val="0"/>
          <w:marRight w:val="0"/>
          <w:marTop w:val="0"/>
          <w:marBottom w:val="0"/>
          <w:divBdr>
            <w:top w:val="none" w:sz="0" w:space="0" w:color="auto"/>
            <w:left w:val="none" w:sz="0" w:space="0" w:color="auto"/>
            <w:bottom w:val="none" w:sz="0" w:space="0" w:color="auto"/>
            <w:right w:val="none" w:sz="0" w:space="0" w:color="auto"/>
          </w:divBdr>
          <w:divsChild>
            <w:div w:id="1421175582">
              <w:marLeft w:val="0"/>
              <w:marRight w:val="0"/>
              <w:marTop w:val="0"/>
              <w:marBottom w:val="0"/>
              <w:divBdr>
                <w:top w:val="none" w:sz="0" w:space="0" w:color="auto"/>
                <w:left w:val="none" w:sz="0" w:space="0" w:color="auto"/>
                <w:bottom w:val="none" w:sz="0" w:space="0" w:color="auto"/>
                <w:right w:val="none" w:sz="0" w:space="0" w:color="auto"/>
              </w:divBdr>
              <w:divsChild>
                <w:div w:id="4184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58531">
      <w:bodyDiv w:val="1"/>
      <w:marLeft w:val="0"/>
      <w:marRight w:val="0"/>
      <w:marTop w:val="0"/>
      <w:marBottom w:val="0"/>
      <w:divBdr>
        <w:top w:val="none" w:sz="0" w:space="0" w:color="auto"/>
        <w:left w:val="none" w:sz="0" w:space="0" w:color="auto"/>
        <w:bottom w:val="none" w:sz="0" w:space="0" w:color="auto"/>
        <w:right w:val="none" w:sz="0" w:space="0" w:color="auto"/>
      </w:divBdr>
      <w:divsChild>
        <w:div w:id="477651859">
          <w:marLeft w:val="0"/>
          <w:marRight w:val="0"/>
          <w:marTop w:val="0"/>
          <w:marBottom w:val="0"/>
          <w:divBdr>
            <w:top w:val="none" w:sz="0" w:space="0" w:color="auto"/>
            <w:left w:val="none" w:sz="0" w:space="0" w:color="auto"/>
            <w:bottom w:val="none" w:sz="0" w:space="0" w:color="auto"/>
            <w:right w:val="none" w:sz="0" w:space="0" w:color="auto"/>
          </w:divBdr>
          <w:divsChild>
            <w:div w:id="1773816327">
              <w:marLeft w:val="0"/>
              <w:marRight w:val="0"/>
              <w:marTop w:val="0"/>
              <w:marBottom w:val="0"/>
              <w:divBdr>
                <w:top w:val="none" w:sz="0" w:space="0" w:color="auto"/>
                <w:left w:val="none" w:sz="0" w:space="0" w:color="auto"/>
                <w:bottom w:val="none" w:sz="0" w:space="0" w:color="auto"/>
                <w:right w:val="none" w:sz="0" w:space="0" w:color="auto"/>
              </w:divBdr>
              <w:divsChild>
                <w:div w:id="13560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235301">
      <w:bodyDiv w:val="1"/>
      <w:marLeft w:val="0"/>
      <w:marRight w:val="0"/>
      <w:marTop w:val="0"/>
      <w:marBottom w:val="0"/>
      <w:divBdr>
        <w:top w:val="none" w:sz="0" w:space="0" w:color="auto"/>
        <w:left w:val="none" w:sz="0" w:space="0" w:color="auto"/>
        <w:bottom w:val="none" w:sz="0" w:space="0" w:color="auto"/>
        <w:right w:val="none" w:sz="0" w:space="0" w:color="auto"/>
      </w:divBdr>
      <w:divsChild>
        <w:div w:id="1097407951">
          <w:marLeft w:val="0"/>
          <w:marRight w:val="0"/>
          <w:marTop w:val="0"/>
          <w:marBottom w:val="0"/>
          <w:divBdr>
            <w:top w:val="none" w:sz="0" w:space="0" w:color="auto"/>
            <w:left w:val="none" w:sz="0" w:space="0" w:color="auto"/>
            <w:bottom w:val="none" w:sz="0" w:space="0" w:color="auto"/>
            <w:right w:val="none" w:sz="0" w:space="0" w:color="auto"/>
          </w:divBdr>
          <w:divsChild>
            <w:div w:id="441389179">
              <w:marLeft w:val="0"/>
              <w:marRight w:val="0"/>
              <w:marTop w:val="0"/>
              <w:marBottom w:val="0"/>
              <w:divBdr>
                <w:top w:val="none" w:sz="0" w:space="0" w:color="auto"/>
                <w:left w:val="none" w:sz="0" w:space="0" w:color="auto"/>
                <w:bottom w:val="none" w:sz="0" w:space="0" w:color="auto"/>
                <w:right w:val="none" w:sz="0" w:space="0" w:color="auto"/>
              </w:divBdr>
              <w:divsChild>
                <w:div w:id="50648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3528">
      <w:bodyDiv w:val="1"/>
      <w:marLeft w:val="0"/>
      <w:marRight w:val="0"/>
      <w:marTop w:val="0"/>
      <w:marBottom w:val="0"/>
      <w:divBdr>
        <w:top w:val="none" w:sz="0" w:space="0" w:color="auto"/>
        <w:left w:val="none" w:sz="0" w:space="0" w:color="auto"/>
        <w:bottom w:val="none" w:sz="0" w:space="0" w:color="auto"/>
        <w:right w:val="none" w:sz="0" w:space="0" w:color="auto"/>
      </w:divBdr>
      <w:divsChild>
        <w:div w:id="1981226777">
          <w:marLeft w:val="0"/>
          <w:marRight w:val="0"/>
          <w:marTop w:val="0"/>
          <w:marBottom w:val="0"/>
          <w:divBdr>
            <w:top w:val="none" w:sz="0" w:space="0" w:color="auto"/>
            <w:left w:val="none" w:sz="0" w:space="0" w:color="auto"/>
            <w:bottom w:val="none" w:sz="0" w:space="0" w:color="auto"/>
            <w:right w:val="none" w:sz="0" w:space="0" w:color="auto"/>
          </w:divBdr>
          <w:divsChild>
            <w:div w:id="1072657666">
              <w:marLeft w:val="0"/>
              <w:marRight w:val="0"/>
              <w:marTop w:val="0"/>
              <w:marBottom w:val="0"/>
              <w:divBdr>
                <w:top w:val="none" w:sz="0" w:space="0" w:color="auto"/>
                <w:left w:val="none" w:sz="0" w:space="0" w:color="auto"/>
                <w:bottom w:val="none" w:sz="0" w:space="0" w:color="auto"/>
                <w:right w:val="none" w:sz="0" w:space="0" w:color="auto"/>
              </w:divBdr>
              <w:divsChild>
                <w:div w:id="1389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134489">
      <w:bodyDiv w:val="1"/>
      <w:marLeft w:val="0"/>
      <w:marRight w:val="0"/>
      <w:marTop w:val="0"/>
      <w:marBottom w:val="0"/>
      <w:divBdr>
        <w:top w:val="none" w:sz="0" w:space="0" w:color="auto"/>
        <w:left w:val="none" w:sz="0" w:space="0" w:color="auto"/>
        <w:bottom w:val="none" w:sz="0" w:space="0" w:color="auto"/>
        <w:right w:val="none" w:sz="0" w:space="0" w:color="auto"/>
      </w:divBdr>
      <w:divsChild>
        <w:div w:id="1760442223">
          <w:marLeft w:val="0"/>
          <w:marRight w:val="0"/>
          <w:marTop w:val="0"/>
          <w:marBottom w:val="0"/>
          <w:divBdr>
            <w:top w:val="none" w:sz="0" w:space="0" w:color="auto"/>
            <w:left w:val="none" w:sz="0" w:space="0" w:color="auto"/>
            <w:bottom w:val="none" w:sz="0" w:space="0" w:color="auto"/>
            <w:right w:val="none" w:sz="0" w:space="0" w:color="auto"/>
          </w:divBdr>
          <w:divsChild>
            <w:div w:id="1093355214">
              <w:marLeft w:val="0"/>
              <w:marRight w:val="0"/>
              <w:marTop w:val="0"/>
              <w:marBottom w:val="0"/>
              <w:divBdr>
                <w:top w:val="none" w:sz="0" w:space="0" w:color="auto"/>
                <w:left w:val="none" w:sz="0" w:space="0" w:color="auto"/>
                <w:bottom w:val="none" w:sz="0" w:space="0" w:color="auto"/>
                <w:right w:val="none" w:sz="0" w:space="0" w:color="auto"/>
              </w:divBdr>
              <w:divsChild>
                <w:div w:id="171287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961605">
      <w:bodyDiv w:val="1"/>
      <w:marLeft w:val="0"/>
      <w:marRight w:val="0"/>
      <w:marTop w:val="0"/>
      <w:marBottom w:val="0"/>
      <w:divBdr>
        <w:top w:val="none" w:sz="0" w:space="0" w:color="auto"/>
        <w:left w:val="none" w:sz="0" w:space="0" w:color="auto"/>
        <w:bottom w:val="none" w:sz="0" w:space="0" w:color="auto"/>
        <w:right w:val="none" w:sz="0" w:space="0" w:color="auto"/>
      </w:divBdr>
      <w:divsChild>
        <w:div w:id="779305079">
          <w:marLeft w:val="0"/>
          <w:marRight w:val="0"/>
          <w:marTop w:val="0"/>
          <w:marBottom w:val="0"/>
          <w:divBdr>
            <w:top w:val="none" w:sz="0" w:space="0" w:color="auto"/>
            <w:left w:val="none" w:sz="0" w:space="0" w:color="auto"/>
            <w:bottom w:val="none" w:sz="0" w:space="0" w:color="auto"/>
            <w:right w:val="none" w:sz="0" w:space="0" w:color="auto"/>
          </w:divBdr>
          <w:divsChild>
            <w:div w:id="419301451">
              <w:marLeft w:val="0"/>
              <w:marRight w:val="0"/>
              <w:marTop w:val="0"/>
              <w:marBottom w:val="0"/>
              <w:divBdr>
                <w:top w:val="none" w:sz="0" w:space="0" w:color="auto"/>
                <w:left w:val="none" w:sz="0" w:space="0" w:color="auto"/>
                <w:bottom w:val="none" w:sz="0" w:space="0" w:color="auto"/>
                <w:right w:val="none" w:sz="0" w:space="0" w:color="auto"/>
              </w:divBdr>
              <w:divsChild>
                <w:div w:id="78840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87114">
      <w:bodyDiv w:val="1"/>
      <w:marLeft w:val="0"/>
      <w:marRight w:val="0"/>
      <w:marTop w:val="0"/>
      <w:marBottom w:val="0"/>
      <w:divBdr>
        <w:top w:val="none" w:sz="0" w:space="0" w:color="auto"/>
        <w:left w:val="none" w:sz="0" w:space="0" w:color="auto"/>
        <w:bottom w:val="none" w:sz="0" w:space="0" w:color="auto"/>
        <w:right w:val="none" w:sz="0" w:space="0" w:color="auto"/>
      </w:divBdr>
      <w:divsChild>
        <w:div w:id="1045714210">
          <w:marLeft w:val="0"/>
          <w:marRight w:val="0"/>
          <w:marTop w:val="0"/>
          <w:marBottom w:val="0"/>
          <w:divBdr>
            <w:top w:val="none" w:sz="0" w:space="0" w:color="auto"/>
            <w:left w:val="none" w:sz="0" w:space="0" w:color="auto"/>
            <w:bottom w:val="none" w:sz="0" w:space="0" w:color="auto"/>
            <w:right w:val="none" w:sz="0" w:space="0" w:color="auto"/>
          </w:divBdr>
          <w:divsChild>
            <w:div w:id="297343743">
              <w:marLeft w:val="0"/>
              <w:marRight w:val="0"/>
              <w:marTop w:val="0"/>
              <w:marBottom w:val="0"/>
              <w:divBdr>
                <w:top w:val="none" w:sz="0" w:space="0" w:color="auto"/>
                <w:left w:val="none" w:sz="0" w:space="0" w:color="auto"/>
                <w:bottom w:val="none" w:sz="0" w:space="0" w:color="auto"/>
                <w:right w:val="none" w:sz="0" w:space="0" w:color="auto"/>
              </w:divBdr>
              <w:divsChild>
                <w:div w:id="12209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16371">
      <w:bodyDiv w:val="1"/>
      <w:marLeft w:val="0"/>
      <w:marRight w:val="0"/>
      <w:marTop w:val="0"/>
      <w:marBottom w:val="0"/>
      <w:divBdr>
        <w:top w:val="none" w:sz="0" w:space="0" w:color="auto"/>
        <w:left w:val="none" w:sz="0" w:space="0" w:color="auto"/>
        <w:bottom w:val="none" w:sz="0" w:space="0" w:color="auto"/>
        <w:right w:val="none" w:sz="0" w:space="0" w:color="auto"/>
      </w:divBdr>
      <w:divsChild>
        <w:div w:id="182745101">
          <w:marLeft w:val="0"/>
          <w:marRight w:val="0"/>
          <w:marTop w:val="0"/>
          <w:marBottom w:val="0"/>
          <w:divBdr>
            <w:top w:val="none" w:sz="0" w:space="0" w:color="auto"/>
            <w:left w:val="none" w:sz="0" w:space="0" w:color="auto"/>
            <w:bottom w:val="none" w:sz="0" w:space="0" w:color="auto"/>
            <w:right w:val="none" w:sz="0" w:space="0" w:color="auto"/>
          </w:divBdr>
          <w:divsChild>
            <w:div w:id="333799331">
              <w:marLeft w:val="0"/>
              <w:marRight w:val="0"/>
              <w:marTop w:val="0"/>
              <w:marBottom w:val="0"/>
              <w:divBdr>
                <w:top w:val="none" w:sz="0" w:space="0" w:color="auto"/>
                <w:left w:val="none" w:sz="0" w:space="0" w:color="auto"/>
                <w:bottom w:val="none" w:sz="0" w:space="0" w:color="auto"/>
                <w:right w:val="none" w:sz="0" w:space="0" w:color="auto"/>
              </w:divBdr>
              <w:divsChild>
                <w:div w:id="160742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408967">
      <w:bodyDiv w:val="1"/>
      <w:marLeft w:val="0"/>
      <w:marRight w:val="0"/>
      <w:marTop w:val="0"/>
      <w:marBottom w:val="0"/>
      <w:divBdr>
        <w:top w:val="none" w:sz="0" w:space="0" w:color="auto"/>
        <w:left w:val="none" w:sz="0" w:space="0" w:color="auto"/>
        <w:bottom w:val="none" w:sz="0" w:space="0" w:color="auto"/>
        <w:right w:val="none" w:sz="0" w:space="0" w:color="auto"/>
      </w:divBdr>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12278">
      <w:bodyDiv w:val="1"/>
      <w:marLeft w:val="0"/>
      <w:marRight w:val="0"/>
      <w:marTop w:val="0"/>
      <w:marBottom w:val="0"/>
      <w:divBdr>
        <w:top w:val="none" w:sz="0" w:space="0" w:color="auto"/>
        <w:left w:val="none" w:sz="0" w:space="0" w:color="auto"/>
        <w:bottom w:val="none" w:sz="0" w:space="0" w:color="auto"/>
        <w:right w:val="none" w:sz="0" w:space="0" w:color="auto"/>
      </w:divBdr>
      <w:divsChild>
        <w:div w:id="1849952271">
          <w:marLeft w:val="0"/>
          <w:marRight w:val="0"/>
          <w:marTop w:val="0"/>
          <w:marBottom w:val="0"/>
          <w:divBdr>
            <w:top w:val="none" w:sz="0" w:space="0" w:color="auto"/>
            <w:left w:val="none" w:sz="0" w:space="0" w:color="auto"/>
            <w:bottom w:val="none" w:sz="0" w:space="0" w:color="auto"/>
            <w:right w:val="none" w:sz="0" w:space="0" w:color="auto"/>
          </w:divBdr>
          <w:divsChild>
            <w:div w:id="618294636">
              <w:marLeft w:val="0"/>
              <w:marRight w:val="0"/>
              <w:marTop w:val="0"/>
              <w:marBottom w:val="0"/>
              <w:divBdr>
                <w:top w:val="none" w:sz="0" w:space="0" w:color="auto"/>
                <w:left w:val="none" w:sz="0" w:space="0" w:color="auto"/>
                <w:bottom w:val="none" w:sz="0" w:space="0" w:color="auto"/>
                <w:right w:val="none" w:sz="0" w:space="0" w:color="auto"/>
              </w:divBdr>
              <w:divsChild>
                <w:div w:id="75695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96131">
      <w:bodyDiv w:val="1"/>
      <w:marLeft w:val="0"/>
      <w:marRight w:val="0"/>
      <w:marTop w:val="0"/>
      <w:marBottom w:val="0"/>
      <w:divBdr>
        <w:top w:val="none" w:sz="0" w:space="0" w:color="auto"/>
        <w:left w:val="none" w:sz="0" w:space="0" w:color="auto"/>
        <w:bottom w:val="none" w:sz="0" w:space="0" w:color="auto"/>
        <w:right w:val="none" w:sz="0" w:space="0" w:color="auto"/>
      </w:divBdr>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731719">
      <w:bodyDiv w:val="1"/>
      <w:marLeft w:val="0"/>
      <w:marRight w:val="0"/>
      <w:marTop w:val="0"/>
      <w:marBottom w:val="0"/>
      <w:divBdr>
        <w:top w:val="none" w:sz="0" w:space="0" w:color="auto"/>
        <w:left w:val="none" w:sz="0" w:space="0" w:color="auto"/>
        <w:bottom w:val="none" w:sz="0" w:space="0" w:color="auto"/>
        <w:right w:val="none" w:sz="0" w:space="0" w:color="auto"/>
      </w:divBdr>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69311">
      <w:bodyDiv w:val="1"/>
      <w:marLeft w:val="0"/>
      <w:marRight w:val="0"/>
      <w:marTop w:val="0"/>
      <w:marBottom w:val="0"/>
      <w:divBdr>
        <w:top w:val="none" w:sz="0" w:space="0" w:color="auto"/>
        <w:left w:val="none" w:sz="0" w:space="0" w:color="auto"/>
        <w:bottom w:val="none" w:sz="0" w:space="0" w:color="auto"/>
        <w:right w:val="none" w:sz="0" w:space="0" w:color="auto"/>
      </w:divBdr>
      <w:divsChild>
        <w:div w:id="793713183">
          <w:marLeft w:val="0"/>
          <w:marRight w:val="0"/>
          <w:marTop w:val="0"/>
          <w:marBottom w:val="0"/>
          <w:divBdr>
            <w:top w:val="none" w:sz="0" w:space="0" w:color="auto"/>
            <w:left w:val="none" w:sz="0" w:space="0" w:color="auto"/>
            <w:bottom w:val="none" w:sz="0" w:space="0" w:color="auto"/>
            <w:right w:val="none" w:sz="0" w:space="0" w:color="auto"/>
          </w:divBdr>
          <w:divsChild>
            <w:div w:id="1220827634">
              <w:marLeft w:val="0"/>
              <w:marRight w:val="0"/>
              <w:marTop w:val="0"/>
              <w:marBottom w:val="0"/>
              <w:divBdr>
                <w:top w:val="none" w:sz="0" w:space="0" w:color="auto"/>
                <w:left w:val="none" w:sz="0" w:space="0" w:color="auto"/>
                <w:bottom w:val="none" w:sz="0" w:space="0" w:color="auto"/>
                <w:right w:val="none" w:sz="0" w:space="0" w:color="auto"/>
              </w:divBdr>
              <w:divsChild>
                <w:div w:id="146920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297320">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7664">
      <w:bodyDiv w:val="1"/>
      <w:marLeft w:val="0"/>
      <w:marRight w:val="0"/>
      <w:marTop w:val="0"/>
      <w:marBottom w:val="0"/>
      <w:divBdr>
        <w:top w:val="none" w:sz="0" w:space="0" w:color="auto"/>
        <w:left w:val="none" w:sz="0" w:space="0" w:color="auto"/>
        <w:bottom w:val="none" w:sz="0" w:space="0" w:color="auto"/>
        <w:right w:val="none" w:sz="0" w:space="0" w:color="auto"/>
      </w:divBdr>
      <w:divsChild>
        <w:div w:id="600800029">
          <w:marLeft w:val="0"/>
          <w:marRight w:val="0"/>
          <w:marTop w:val="0"/>
          <w:marBottom w:val="0"/>
          <w:divBdr>
            <w:top w:val="none" w:sz="0" w:space="0" w:color="auto"/>
            <w:left w:val="none" w:sz="0" w:space="0" w:color="auto"/>
            <w:bottom w:val="none" w:sz="0" w:space="0" w:color="auto"/>
            <w:right w:val="none" w:sz="0" w:space="0" w:color="auto"/>
          </w:divBdr>
          <w:divsChild>
            <w:div w:id="1052583452">
              <w:marLeft w:val="0"/>
              <w:marRight w:val="0"/>
              <w:marTop w:val="0"/>
              <w:marBottom w:val="0"/>
              <w:divBdr>
                <w:top w:val="none" w:sz="0" w:space="0" w:color="auto"/>
                <w:left w:val="none" w:sz="0" w:space="0" w:color="auto"/>
                <w:bottom w:val="none" w:sz="0" w:space="0" w:color="auto"/>
                <w:right w:val="none" w:sz="0" w:space="0" w:color="auto"/>
              </w:divBdr>
              <w:divsChild>
                <w:div w:id="26963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11907">
      <w:bodyDiv w:val="1"/>
      <w:marLeft w:val="0"/>
      <w:marRight w:val="0"/>
      <w:marTop w:val="0"/>
      <w:marBottom w:val="0"/>
      <w:divBdr>
        <w:top w:val="none" w:sz="0" w:space="0" w:color="auto"/>
        <w:left w:val="none" w:sz="0" w:space="0" w:color="auto"/>
        <w:bottom w:val="none" w:sz="0" w:space="0" w:color="auto"/>
        <w:right w:val="none" w:sz="0" w:space="0" w:color="auto"/>
      </w:divBdr>
    </w:div>
    <w:div w:id="858738690">
      <w:bodyDiv w:val="1"/>
      <w:marLeft w:val="0"/>
      <w:marRight w:val="0"/>
      <w:marTop w:val="0"/>
      <w:marBottom w:val="0"/>
      <w:divBdr>
        <w:top w:val="none" w:sz="0" w:space="0" w:color="auto"/>
        <w:left w:val="none" w:sz="0" w:space="0" w:color="auto"/>
        <w:bottom w:val="none" w:sz="0" w:space="0" w:color="auto"/>
        <w:right w:val="none" w:sz="0" w:space="0" w:color="auto"/>
      </w:divBdr>
      <w:divsChild>
        <w:div w:id="2146728710">
          <w:marLeft w:val="0"/>
          <w:marRight w:val="0"/>
          <w:marTop w:val="0"/>
          <w:marBottom w:val="0"/>
          <w:divBdr>
            <w:top w:val="none" w:sz="0" w:space="0" w:color="auto"/>
            <w:left w:val="none" w:sz="0" w:space="0" w:color="auto"/>
            <w:bottom w:val="none" w:sz="0" w:space="0" w:color="auto"/>
            <w:right w:val="none" w:sz="0" w:space="0" w:color="auto"/>
          </w:divBdr>
          <w:divsChild>
            <w:div w:id="348067945">
              <w:marLeft w:val="0"/>
              <w:marRight w:val="0"/>
              <w:marTop w:val="0"/>
              <w:marBottom w:val="0"/>
              <w:divBdr>
                <w:top w:val="none" w:sz="0" w:space="0" w:color="auto"/>
                <w:left w:val="none" w:sz="0" w:space="0" w:color="auto"/>
                <w:bottom w:val="none" w:sz="0" w:space="0" w:color="auto"/>
                <w:right w:val="none" w:sz="0" w:space="0" w:color="auto"/>
              </w:divBdr>
              <w:divsChild>
                <w:div w:id="78330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556581">
      <w:bodyDiv w:val="1"/>
      <w:marLeft w:val="0"/>
      <w:marRight w:val="0"/>
      <w:marTop w:val="0"/>
      <w:marBottom w:val="0"/>
      <w:divBdr>
        <w:top w:val="none" w:sz="0" w:space="0" w:color="auto"/>
        <w:left w:val="none" w:sz="0" w:space="0" w:color="auto"/>
        <w:bottom w:val="none" w:sz="0" w:space="0" w:color="auto"/>
        <w:right w:val="none" w:sz="0" w:space="0" w:color="auto"/>
      </w:divBdr>
      <w:divsChild>
        <w:div w:id="139931716">
          <w:marLeft w:val="0"/>
          <w:marRight w:val="0"/>
          <w:marTop w:val="0"/>
          <w:marBottom w:val="0"/>
          <w:divBdr>
            <w:top w:val="none" w:sz="0" w:space="0" w:color="auto"/>
            <w:left w:val="none" w:sz="0" w:space="0" w:color="auto"/>
            <w:bottom w:val="none" w:sz="0" w:space="0" w:color="auto"/>
            <w:right w:val="none" w:sz="0" w:space="0" w:color="auto"/>
          </w:divBdr>
          <w:divsChild>
            <w:div w:id="1258513842">
              <w:marLeft w:val="0"/>
              <w:marRight w:val="0"/>
              <w:marTop w:val="0"/>
              <w:marBottom w:val="0"/>
              <w:divBdr>
                <w:top w:val="none" w:sz="0" w:space="0" w:color="auto"/>
                <w:left w:val="none" w:sz="0" w:space="0" w:color="auto"/>
                <w:bottom w:val="none" w:sz="0" w:space="0" w:color="auto"/>
                <w:right w:val="none" w:sz="0" w:space="0" w:color="auto"/>
              </w:divBdr>
              <w:divsChild>
                <w:div w:id="10412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05584">
      <w:bodyDiv w:val="1"/>
      <w:marLeft w:val="0"/>
      <w:marRight w:val="0"/>
      <w:marTop w:val="0"/>
      <w:marBottom w:val="0"/>
      <w:divBdr>
        <w:top w:val="none" w:sz="0" w:space="0" w:color="auto"/>
        <w:left w:val="none" w:sz="0" w:space="0" w:color="auto"/>
        <w:bottom w:val="none" w:sz="0" w:space="0" w:color="auto"/>
        <w:right w:val="none" w:sz="0" w:space="0" w:color="auto"/>
      </w:divBdr>
      <w:divsChild>
        <w:div w:id="2076734900">
          <w:marLeft w:val="0"/>
          <w:marRight w:val="0"/>
          <w:marTop w:val="0"/>
          <w:marBottom w:val="0"/>
          <w:divBdr>
            <w:top w:val="none" w:sz="0" w:space="0" w:color="auto"/>
            <w:left w:val="none" w:sz="0" w:space="0" w:color="auto"/>
            <w:bottom w:val="none" w:sz="0" w:space="0" w:color="auto"/>
            <w:right w:val="none" w:sz="0" w:space="0" w:color="auto"/>
          </w:divBdr>
          <w:divsChild>
            <w:div w:id="668630795">
              <w:marLeft w:val="0"/>
              <w:marRight w:val="0"/>
              <w:marTop w:val="0"/>
              <w:marBottom w:val="0"/>
              <w:divBdr>
                <w:top w:val="none" w:sz="0" w:space="0" w:color="auto"/>
                <w:left w:val="none" w:sz="0" w:space="0" w:color="auto"/>
                <w:bottom w:val="none" w:sz="0" w:space="0" w:color="auto"/>
                <w:right w:val="none" w:sz="0" w:space="0" w:color="auto"/>
              </w:divBdr>
              <w:divsChild>
                <w:div w:id="13836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81016">
      <w:bodyDiv w:val="1"/>
      <w:marLeft w:val="0"/>
      <w:marRight w:val="0"/>
      <w:marTop w:val="0"/>
      <w:marBottom w:val="0"/>
      <w:divBdr>
        <w:top w:val="none" w:sz="0" w:space="0" w:color="auto"/>
        <w:left w:val="none" w:sz="0" w:space="0" w:color="auto"/>
        <w:bottom w:val="none" w:sz="0" w:space="0" w:color="auto"/>
        <w:right w:val="none" w:sz="0" w:space="0" w:color="auto"/>
      </w:divBdr>
      <w:divsChild>
        <w:div w:id="1909029694">
          <w:marLeft w:val="0"/>
          <w:marRight w:val="0"/>
          <w:marTop w:val="0"/>
          <w:marBottom w:val="0"/>
          <w:divBdr>
            <w:top w:val="none" w:sz="0" w:space="0" w:color="auto"/>
            <w:left w:val="none" w:sz="0" w:space="0" w:color="auto"/>
            <w:bottom w:val="none" w:sz="0" w:space="0" w:color="auto"/>
            <w:right w:val="none" w:sz="0" w:space="0" w:color="auto"/>
          </w:divBdr>
          <w:divsChild>
            <w:div w:id="1485660066">
              <w:marLeft w:val="0"/>
              <w:marRight w:val="0"/>
              <w:marTop w:val="0"/>
              <w:marBottom w:val="0"/>
              <w:divBdr>
                <w:top w:val="none" w:sz="0" w:space="0" w:color="auto"/>
                <w:left w:val="none" w:sz="0" w:space="0" w:color="auto"/>
                <w:bottom w:val="none" w:sz="0" w:space="0" w:color="auto"/>
                <w:right w:val="none" w:sz="0" w:space="0" w:color="auto"/>
              </w:divBdr>
              <w:divsChild>
                <w:div w:id="8403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5601989">
      <w:bodyDiv w:val="1"/>
      <w:marLeft w:val="0"/>
      <w:marRight w:val="0"/>
      <w:marTop w:val="0"/>
      <w:marBottom w:val="0"/>
      <w:divBdr>
        <w:top w:val="none" w:sz="0" w:space="0" w:color="auto"/>
        <w:left w:val="none" w:sz="0" w:space="0" w:color="auto"/>
        <w:bottom w:val="none" w:sz="0" w:space="0" w:color="auto"/>
        <w:right w:val="none" w:sz="0" w:space="0" w:color="auto"/>
      </w:divBdr>
      <w:divsChild>
        <w:div w:id="1584139450">
          <w:marLeft w:val="0"/>
          <w:marRight w:val="0"/>
          <w:marTop w:val="0"/>
          <w:marBottom w:val="0"/>
          <w:divBdr>
            <w:top w:val="none" w:sz="0" w:space="0" w:color="auto"/>
            <w:left w:val="none" w:sz="0" w:space="0" w:color="auto"/>
            <w:bottom w:val="none" w:sz="0" w:space="0" w:color="auto"/>
            <w:right w:val="none" w:sz="0" w:space="0" w:color="auto"/>
          </w:divBdr>
          <w:divsChild>
            <w:div w:id="2131315506">
              <w:marLeft w:val="0"/>
              <w:marRight w:val="0"/>
              <w:marTop w:val="0"/>
              <w:marBottom w:val="0"/>
              <w:divBdr>
                <w:top w:val="none" w:sz="0" w:space="0" w:color="auto"/>
                <w:left w:val="none" w:sz="0" w:space="0" w:color="auto"/>
                <w:bottom w:val="none" w:sz="0" w:space="0" w:color="auto"/>
                <w:right w:val="none" w:sz="0" w:space="0" w:color="auto"/>
              </w:divBdr>
              <w:divsChild>
                <w:div w:id="17925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15420">
      <w:bodyDiv w:val="1"/>
      <w:marLeft w:val="0"/>
      <w:marRight w:val="0"/>
      <w:marTop w:val="0"/>
      <w:marBottom w:val="0"/>
      <w:divBdr>
        <w:top w:val="none" w:sz="0" w:space="0" w:color="auto"/>
        <w:left w:val="none" w:sz="0" w:space="0" w:color="auto"/>
        <w:bottom w:val="none" w:sz="0" w:space="0" w:color="auto"/>
        <w:right w:val="none" w:sz="0" w:space="0" w:color="auto"/>
      </w:divBdr>
      <w:divsChild>
        <w:div w:id="1143933817">
          <w:marLeft w:val="0"/>
          <w:marRight w:val="0"/>
          <w:marTop w:val="0"/>
          <w:marBottom w:val="0"/>
          <w:divBdr>
            <w:top w:val="none" w:sz="0" w:space="0" w:color="auto"/>
            <w:left w:val="none" w:sz="0" w:space="0" w:color="auto"/>
            <w:bottom w:val="none" w:sz="0" w:space="0" w:color="auto"/>
            <w:right w:val="none" w:sz="0" w:space="0" w:color="auto"/>
          </w:divBdr>
          <w:divsChild>
            <w:div w:id="757139635">
              <w:marLeft w:val="0"/>
              <w:marRight w:val="0"/>
              <w:marTop w:val="0"/>
              <w:marBottom w:val="0"/>
              <w:divBdr>
                <w:top w:val="none" w:sz="0" w:space="0" w:color="auto"/>
                <w:left w:val="none" w:sz="0" w:space="0" w:color="auto"/>
                <w:bottom w:val="none" w:sz="0" w:space="0" w:color="auto"/>
                <w:right w:val="none" w:sz="0" w:space="0" w:color="auto"/>
              </w:divBdr>
              <w:divsChild>
                <w:div w:id="211990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698632">
      <w:bodyDiv w:val="1"/>
      <w:marLeft w:val="0"/>
      <w:marRight w:val="0"/>
      <w:marTop w:val="0"/>
      <w:marBottom w:val="0"/>
      <w:divBdr>
        <w:top w:val="none" w:sz="0" w:space="0" w:color="auto"/>
        <w:left w:val="none" w:sz="0" w:space="0" w:color="auto"/>
        <w:bottom w:val="none" w:sz="0" w:space="0" w:color="auto"/>
        <w:right w:val="none" w:sz="0" w:space="0" w:color="auto"/>
      </w:divBdr>
      <w:divsChild>
        <w:div w:id="2118942143">
          <w:marLeft w:val="0"/>
          <w:marRight w:val="0"/>
          <w:marTop w:val="0"/>
          <w:marBottom w:val="0"/>
          <w:divBdr>
            <w:top w:val="none" w:sz="0" w:space="0" w:color="auto"/>
            <w:left w:val="none" w:sz="0" w:space="0" w:color="auto"/>
            <w:bottom w:val="none" w:sz="0" w:space="0" w:color="auto"/>
            <w:right w:val="none" w:sz="0" w:space="0" w:color="auto"/>
          </w:divBdr>
          <w:divsChild>
            <w:div w:id="1713194222">
              <w:marLeft w:val="0"/>
              <w:marRight w:val="0"/>
              <w:marTop w:val="0"/>
              <w:marBottom w:val="0"/>
              <w:divBdr>
                <w:top w:val="none" w:sz="0" w:space="0" w:color="auto"/>
                <w:left w:val="none" w:sz="0" w:space="0" w:color="auto"/>
                <w:bottom w:val="none" w:sz="0" w:space="0" w:color="auto"/>
                <w:right w:val="none" w:sz="0" w:space="0" w:color="auto"/>
              </w:divBdr>
              <w:divsChild>
                <w:div w:id="123673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91933">
      <w:bodyDiv w:val="1"/>
      <w:marLeft w:val="0"/>
      <w:marRight w:val="0"/>
      <w:marTop w:val="0"/>
      <w:marBottom w:val="0"/>
      <w:divBdr>
        <w:top w:val="none" w:sz="0" w:space="0" w:color="auto"/>
        <w:left w:val="none" w:sz="0" w:space="0" w:color="auto"/>
        <w:bottom w:val="none" w:sz="0" w:space="0" w:color="auto"/>
        <w:right w:val="none" w:sz="0" w:space="0" w:color="auto"/>
      </w:divBdr>
      <w:divsChild>
        <w:div w:id="1679849912">
          <w:marLeft w:val="0"/>
          <w:marRight w:val="0"/>
          <w:marTop w:val="0"/>
          <w:marBottom w:val="0"/>
          <w:divBdr>
            <w:top w:val="none" w:sz="0" w:space="0" w:color="auto"/>
            <w:left w:val="none" w:sz="0" w:space="0" w:color="auto"/>
            <w:bottom w:val="none" w:sz="0" w:space="0" w:color="auto"/>
            <w:right w:val="none" w:sz="0" w:space="0" w:color="auto"/>
          </w:divBdr>
          <w:divsChild>
            <w:div w:id="932663858">
              <w:marLeft w:val="0"/>
              <w:marRight w:val="0"/>
              <w:marTop w:val="0"/>
              <w:marBottom w:val="0"/>
              <w:divBdr>
                <w:top w:val="none" w:sz="0" w:space="0" w:color="auto"/>
                <w:left w:val="none" w:sz="0" w:space="0" w:color="auto"/>
                <w:bottom w:val="none" w:sz="0" w:space="0" w:color="auto"/>
                <w:right w:val="none" w:sz="0" w:space="0" w:color="auto"/>
              </w:divBdr>
              <w:divsChild>
                <w:div w:id="191570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14580">
      <w:bodyDiv w:val="1"/>
      <w:marLeft w:val="0"/>
      <w:marRight w:val="0"/>
      <w:marTop w:val="0"/>
      <w:marBottom w:val="0"/>
      <w:divBdr>
        <w:top w:val="none" w:sz="0" w:space="0" w:color="auto"/>
        <w:left w:val="none" w:sz="0" w:space="0" w:color="auto"/>
        <w:bottom w:val="none" w:sz="0" w:space="0" w:color="auto"/>
        <w:right w:val="none" w:sz="0" w:space="0" w:color="auto"/>
      </w:divBdr>
      <w:divsChild>
        <w:div w:id="99230420">
          <w:marLeft w:val="0"/>
          <w:marRight w:val="0"/>
          <w:marTop w:val="0"/>
          <w:marBottom w:val="0"/>
          <w:divBdr>
            <w:top w:val="none" w:sz="0" w:space="0" w:color="auto"/>
            <w:left w:val="none" w:sz="0" w:space="0" w:color="auto"/>
            <w:bottom w:val="none" w:sz="0" w:space="0" w:color="auto"/>
            <w:right w:val="none" w:sz="0" w:space="0" w:color="auto"/>
          </w:divBdr>
          <w:divsChild>
            <w:div w:id="786704080">
              <w:marLeft w:val="0"/>
              <w:marRight w:val="0"/>
              <w:marTop w:val="0"/>
              <w:marBottom w:val="0"/>
              <w:divBdr>
                <w:top w:val="none" w:sz="0" w:space="0" w:color="auto"/>
                <w:left w:val="none" w:sz="0" w:space="0" w:color="auto"/>
                <w:bottom w:val="none" w:sz="0" w:space="0" w:color="auto"/>
                <w:right w:val="none" w:sz="0" w:space="0" w:color="auto"/>
              </w:divBdr>
              <w:divsChild>
                <w:div w:id="141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53430">
      <w:bodyDiv w:val="1"/>
      <w:marLeft w:val="0"/>
      <w:marRight w:val="0"/>
      <w:marTop w:val="0"/>
      <w:marBottom w:val="0"/>
      <w:divBdr>
        <w:top w:val="none" w:sz="0" w:space="0" w:color="auto"/>
        <w:left w:val="none" w:sz="0" w:space="0" w:color="auto"/>
        <w:bottom w:val="none" w:sz="0" w:space="0" w:color="auto"/>
        <w:right w:val="none" w:sz="0" w:space="0" w:color="auto"/>
      </w:divBdr>
      <w:divsChild>
        <w:div w:id="1360739337">
          <w:marLeft w:val="0"/>
          <w:marRight w:val="0"/>
          <w:marTop w:val="0"/>
          <w:marBottom w:val="0"/>
          <w:divBdr>
            <w:top w:val="none" w:sz="0" w:space="0" w:color="auto"/>
            <w:left w:val="none" w:sz="0" w:space="0" w:color="auto"/>
            <w:bottom w:val="none" w:sz="0" w:space="0" w:color="auto"/>
            <w:right w:val="none" w:sz="0" w:space="0" w:color="auto"/>
          </w:divBdr>
          <w:divsChild>
            <w:div w:id="1259680210">
              <w:marLeft w:val="0"/>
              <w:marRight w:val="0"/>
              <w:marTop w:val="0"/>
              <w:marBottom w:val="0"/>
              <w:divBdr>
                <w:top w:val="none" w:sz="0" w:space="0" w:color="auto"/>
                <w:left w:val="none" w:sz="0" w:space="0" w:color="auto"/>
                <w:bottom w:val="none" w:sz="0" w:space="0" w:color="auto"/>
                <w:right w:val="none" w:sz="0" w:space="0" w:color="auto"/>
              </w:divBdr>
              <w:divsChild>
                <w:div w:id="7144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66170">
      <w:bodyDiv w:val="1"/>
      <w:marLeft w:val="0"/>
      <w:marRight w:val="0"/>
      <w:marTop w:val="0"/>
      <w:marBottom w:val="0"/>
      <w:divBdr>
        <w:top w:val="none" w:sz="0" w:space="0" w:color="auto"/>
        <w:left w:val="none" w:sz="0" w:space="0" w:color="auto"/>
        <w:bottom w:val="none" w:sz="0" w:space="0" w:color="auto"/>
        <w:right w:val="none" w:sz="0" w:space="0" w:color="auto"/>
      </w:divBdr>
      <w:divsChild>
        <w:div w:id="583609769">
          <w:marLeft w:val="0"/>
          <w:marRight w:val="0"/>
          <w:marTop w:val="0"/>
          <w:marBottom w:val="0"/>
          <w:divBdr>
            <w:top w:val="none" w:sz="0" w:space="0" w:color="auto"/>
            <w:left w:val="none" w:sz="0" w:space="0" w:color="auto"/>
            <w:bottom w:val="none" w:sz="0" w:space="0" w:color="auto"/>
            <w:right w:val="none" w:sz="0" w:space="0" w:color="auto"/>
          </w:divBdr>
          <w:divsChild>
            <w:div w:id="533419141">
              <w:marLeft w:val="0"/>
              <w:marRight w:val="0"/>
              <w:marTop w:val="0"/>
              <w:marBottom w:val="0"/>
              <w:divBdr>
                <w:top w:val="none" w:sz="0" w:space="0" w:color="auto"/>
                <w:left w:val="none" w:sz="0" w:space="0" w:color="auto"/>
                <w:bottom w:val="none" w:sz="0" w:space="0" w:color="auto"/>
                <w:right w:val="none" w:sz="0" w:space="0" w:color="auto"/>
              </w:divBdr>
              <w:divsChild>
                <w:div w:id="15322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4235566">
      <w:bodyDiv w:val="1"/>
      <w:marLeft w:val="0"/>
      <w:marRight w:val="0"/>
      <w:marTop w:val="0"/>
      <w:marBottom w:val="0"/>
      <w:divBdr>
        <w:top w:val="none" w:sz="0" w:space="0" w:color="auto"/>
        <w:left w:val="none" w:sz="0" w:space="0" w:color="auto"/>
        <w:bottom w:val="none" w:sz="0" w:space="0" w:color="auto"/>
        <w:right w:val="none" w:sz="0" w:space="0" w:color="auto"/>
      </w:divBdr>
      <w:divsChild>
        <w:div w:id="941498075">
          <w:marLeft w:val="0"/>
          <w:marRight w:val="0"/>
          <w:marTop w:val="0"/>
          <w:marBottom w:val="0"/>
          <w:divBdr>
            <w:top w:val="none" w:sz="0" w:space="0" w:color="auto"/>
            <w:left w:val="none" w:sz="0" w:space="0" w:color="auto"/>
            <w:bottom w:val="none" w:sz="0" w:space="0" w:color="auto"/>
            <w:right w:val="none" w:sz="0" w:space="0" w:color="auto"/>
          </w:divBdr>
          <w:divsChild>
            <w:div w:id="1676032829">
              <w:marLeft w:val="0"/>
              <w:marRight w:val="0"/>
              <w:marTop w:val="0"/>
              <w:marBottom w:val="0"/>
              <w:divBdr>
                <w:top w:val="none" w:sz="0" w:space="0" w:color="auto"/>
                <w:left w:val="none" w:sz="0" w:space="0" w:color="auto"/>
                <w:bottom w:val="none" w:sz="0" w:space="0" w:color="auto"/>
                <w:right w:val="none" w:sz="0" w:space="0" w:color="auto"/>
              </w:divBdr>
              <w:divsChild>
                <w:div w:id="15620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405557">
          <w:marLeft w:val="0"/>
          <w:marRight w:val="0"/>
          <w:marTop w:val="0"/>
          <w:marBottom w:val="0"/>
          <w:divBdr>
            <w:top w:val="none" w:sz="0" w:space="0" w:color="auto"/>
            <w:left w:val="none" w:sz="0" w:space="0" w:color="auto"/>
            <w:bottom w:val="none" w:sz="0" w:space="0" w:color="auto"/>
            <w:right w:val="none" w:sz="0" w:space="0" w:color="auto"/>
          </w:divBdr>
          <w:divsChild>
            <w:div w:id="103230291">
              <w:marLeft w:val="0"/>
              <w:marRight w:val="0"/>
              <w:marTop w:val="0"/>
              <w:marBottom w:val="0"/>
              <w:divBdr>
                <w:top w:val="none" w:sz="0" w:space="0" w:color="auto"/>
                <w:left w:val="none" w:sz="0" w:space="0" w:color="auto"/>
                <w:bottom w:val="none" w:sz="0" w:space="0" w:color="auto"/>
                <w:right w:val="none" w:sz="0" w:space="0" w:color="auto"/>
              </w:divBdr>
              <w:divsChild>
                <w:div w:id="1619140086">
                  <w:marLeft w:val="0"/>
                  <w:marRight w:val="0"/>
                  <w:marTop w:val="0"/>
                  <w:marBottom w:val="0"/>
                  <w:divBdr>
                    <w:top w:val="none" w:sz="0" w:space="0" w:color="auto"/>
                    <w:left w:val="none" w:sz="0" w:space="0" w:color="auto"/>
                    <w:bottom w:val="none" w:sz="0" w:space="0" w:color="auto"/>
                    <w:right w:val="none" w:sz="0" w:space="0" w:color="auto"/>
                  </w:divBdr>
                </w:div>
              </w:divsChild>
            </w:div>
            <w:div w:id="855995532">
              <w:marLeft w:val="0"/>
              <w:marRight w:val="0"/>
              <w:marTop w:val="0"/>
              <w:marBottom w:val="0"/>
              <w:divBdr>
                <w:top w:val="none" w:sz="0" w:space="0" w:color="auto"/>
                <w:left w:val="none" w:sz="0" w:space="0" w:color="auto"/>
                <w:bottom w:val="none" w:sz="0" w:space="0" w:color="auto"/>
                <w:right w:val="none" w:sz="0" w:space="0" w:color="auto"/>
              </w:divBdr>
              <w:divsChild>
                <w:div w:id="78967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822575">
      <w:bodyDiv w:val="1"/>
      <w:marLeft w:val="0"/>
      <w:marRight w:val="0"/>
      <w:marTop w:val="0"/>
      <w:marBottom w:val="0"/>
      <w:divBdr>
        <w:top w:val="none" w:sz="0" w:space="0" w:color="auto"/>
        <w:left w:val="none" w:sz="0" w:space="0" w:color="auto"/>
        <w:bottom w:val="none" w:sz="0" w:space="0" w:color="auto"/>
        <w:right w:val="none" w:sz="0" w:space="0" w:color="auto"/>
      </w:divBdr>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626845">
      <w:bodyDiv w:val="1"/>
      <w:marLeft w:val="0"/>
      <w:marRight w:val="0"/>
      <w:marTop w:val="0"/>
      <w:marBottom w:val="0"/>
      <w:divBdr>
        <w:top w:val="none" w:sz="0" w:space="0" w:color="auto"/>
        <w:left w:val="none" w:sz="0" w:space="0" w:color="auto"/>
        <w:bottom w:val="none" w:sz="0" w:space="0" w:color="auto"/>
        <w:right w:val="none" w:sz="0" w:space="0" w:color="auto"/>
      </w:divBdr>
      <w:divsChild>
        <w:div w:id="836968445">
          <w:marLeft w:val="0"/>
          <w:marRight w:val="0"/>
          <w:marTop w:val="0"/>
          <w:marBottom w:val="0"/>
          <w:divBdr>
            <w:top w:val="none" w:sz="0" w:space="0" w:color="auto"/>
            <w:left w:val="none" w:sz="0" w:space="0" w:color="auto"/>
            <w:bottom w:val="none" w:sz="0" w:space="0" w:color="auto"/>
            <w:right w:val="none" w:sz="0" w:space="0" w:color="auto"/>
          </w:divBdr>
          <w:divsChild>
            <w:div w:id="1584989733">
              <w:marLeft w:val="0"/>
              <w:marRight w:val="0"/>
              <w:marTop w:val="0"/>
              <w:marBottom w:val="0"/>
              <w:divBdr>
                <w:top w:val="none" w:sz="0" w:space="0" w:color="auto"/>
                <w:left w:val="none" w:sz="0" w:space="0" w:color="auto"/>
                <w:bottom w:val="none" w:sz="0" w:space="0" w:color="auto"/>
                <w:right w:val="none" w:sz="0" w:space="0" w:color="auto"/>
              </w:divBdr>
              <w:divsChild>
                <w:div w:id="16444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09914">
      <w:bodyDiv w:val="1"/>
      <w:marLeft w:val="0"/>
      <w:marRight w:val="0"/>
      <w:marTop w:val="0"/>
      <w:marBottom w:val="0"/>
      <w:divBdr>
        <w:top w:val="none" w:sz="0" w:space="0" w:color="auto"/>
        <w:left w:val="none" w:sz="0" w:space="0" w:color="auto"/>
        <w:bottom w:val="none" w:sz="0" w:space="0" w:color="auto"/>
        <w:right w:val="none" w:sz="0" w:space="0" w:color="auto"/>
      </w:divBdr>
      <w:divsChild>
        <w:div w:id="684094050">
          <w:marLeft w:val="0"/>
          <w:marRight w:val="0"/>
          <w:marTop w:val="0"/>
          <w:marBottom w:val="0"/>
          <w:divBdr>
            <w:top w:val="none" w:sz="0" w:space="0" w:color="auto"/>
            <w:left w:val="none" w:sz="0" w:space="0" w:color="auto"/>
            <w:bottom w:val="none" w:sz="0" w:space="0" w:color="auto"/>
            <w:right w:val="none" w:sz="0" w:space="0" w:color="auto"/>
          </w:divBdr>
          <w:divsChild>
            <w:div w:id="390425618">
              <w:marLeft w:val="0"/>
              <w:marRight w:val="0"/>
              <w:marTop w:val="0"/>
              <w:marBottom w:val="0"/>
              <w:divBdr>
                <w:top w:val="none" w:sz="0" w:space="0" w:color="auto"/>
                <w:left w:val="none" w:sz="0" w:space="0" w:color="auto"/>
                <w:bottom w:val="none" w:sz="0" w:space="0" w:color="auto"/>
                <w:right w:val="none" w:sz="0" w:space="0" w:color="auto"/>
              </w:divBdr>
              <w:divsChild>
                <w:div w:id="22919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277528">
      <w:bodyDiv w:val="1"/>
      <w:marLeft w:val="0"/>
      <w:marRight w:val="0"/>
      <w:marTop w:val="0"/>
      <w:marBottom w:val="0"/>
      <w:divBdr>
        <w:top w:val="none" w:sz="0" w:space="0" w:color="auto"/>
        <w:left w:val="none" w:sz="0" w:space="0" w:color="auto"/>
        <w:bottom w:val="none" w:sz="0" w:space="0" w:color="auto"/>
        <w:right w:val="none" w:sz="0" w:space="0" w:color="auto"/>
      </w:divBdr>
      <w:divsChild>
        <w:div w:id="806437564">
          <w:marLeft w:val="0"/>
          <w:marRight w:val="0"/>
          <w:marTop w:val="0"/>
          <w:marBottom w:val="0"/>
          <w:divBdr>
            <w:top w:val="none" w:sz="0" w:space="0" w:color="auto"/>
            <w:left w:val="none" w:sz="0" w:space="0" w:color="auto"/>
            <w:bottom w:val="none" w:sz="0" w:space="0" w:color="auto"/>
            <w:right w:val="none" w:sz="0" w:space="0" w:color="auto"/>
          </w:divBdr>
          <w:divsChild>
            <w:div w:id="170223858">
              <w:marLeft w:val="0"/>
              <w:marRight w:val="0"/>
              <w:marTop w:val="0"/>
              <w:marBottom w:val="0"/>
              <w:divBdr>
                <w:top w:val="none" w:sz="0" w:space="0" w:color="auto"/>
                <w:left w:val="none" w:sz="0" w:space="0" w:color="auto"/>
                <w:bottom w:val="none" w:sz="0" w:space="0" w:color="auto"/>
                <w:right w:val="none" w:sz="0" w:space="0" w:color="auto"/>
              </w:divBdr>
              <w:divsChild>
                <w:div w:id="3001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077218">
      <w:bodyDiv w:val="1"/>
      <w:marLeft w:val="0"/>
      <w:marRight w:val="0"/>
      <w:marTop w:val="0"/>
      <w:marBottom w:val="0"/>
      <w:divBdr>
        <w:top w:val="none" w:sz="0" w:space="0" w:color="auto"/>
        <w:left w:val="none" w:sz="0" w:space="0" w:color="auto"/>
        <w:bottom w:val="none" w:sz="0" w:space="0" w:color="auto"/>
        <w:right w:val="none" w:sz="0" w:space="0" w:color="auto"/>
      </w:divBdr>
      <w:divsChild>
        <w:div w:id="1033076326">
          <w:marLeft w:val="0"/>
          <w:marRight w:val="0"/>
          <w:marTop w:val="0"/>
          <w:marBottom w:val="0"/>
          <w:divBdr>
            <w:top w:val="none" w:sz="0" w:space="0" w:color="auto"/>
            <w:left w:val="none" w:sz="0" w:space="0" w:color="auto"/>
            <w:bottom w:val="none" w:sz="0" w:space="0" w:color="auto"/>
            <w:right w:val="none" w:sz="0" w:space="0" w:color="auto"/>
          </w:divBdr>
          <w:divsChild>
            <w:div w:id="1533806868">
              <w:marLeft w:val="0"/>
              <w:marRight w:val="0"/>
              <w:marTop w:val="0"/>
              <w:marBottom w:val="0"/>
              <w:divBdr>
                <w:top w:val="none" w:sz="0" w:space="0" w:color="auto"/>
                <w:left w:val="none" w:sz="0" w:space="0" w:color="auto"/>
                <w:bottom w:val="none" w:sz="0" w:space="0" w:color="auto"/>
                <w:right w:val="none" w:sz="0" w:space="0" w:color="auto"/>
              </w:divBdr>
              <w:divsChild>
                <w:div w:id="132802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80169">
      <w:bodyDiv w:val="1"/>
      <w:marLeft w:val="0"/>
      <w:marRight w:val="0"/>
      <w:marTop w:val="0"/>
      <w:marBottom w:val="0"/>
      <w:divBdr>
        <w:top w:val="none" w:sz="0" w:space="0" w:color="auto"/>
        <w:left w:val="none" w:sz="0" w:space="0" w:color="auto"/>
        <w:bottom w:val="none" w:sz="0" w:space="0" w:color="auto"/>
        <w:right w:val="none" w:sz="0" w:space="0" w:color="auto"/>
      </w:divBdr>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136505">
      <w:bodyDiv w:val="1"/>
      <w:marLeft w:val="0"/>
      <w:marRight w:val="0"/>
      <w:marTop w:val="0"/>
      <w:marBottom w:val="0"/>
      <w:divBdr>
        <w:top w:val="none" w:sz="0" w:space="0" w:color="auto"/>
        <w:left w:val="none" w:sz="0" w:space="0" w:color="auto"/>
        <w:bottom w:val="none" w:sz="0" w:space="0" w:color="auto"/>
        <w:right w:val="none" w:sz="0" w:space="0" w:color="auto"/>
      </w:divBdr>
      <w:divsChild>
        <w:div w:id="420107549">
          <w:marLeft w:val="0"/>
          <w:marRight w:val="0"/>
          <w:marTop w:val="0"/>
          <w:marBottom w:val="0"/>
          <w:divBdr>
            <w:top w:val="none" w:sz="0" w:space="0" w:color="auto"/>
            <w:left w:val="none" w:sz="0" w:space="0" w:color="auto"/>
            <w:bottom w:val="none" w:sz="0" w:space="0" w:color="auto"/>
            <w:right w:val="none" w:sz="0" w:space="0" w:color="auto"/>
          </w:divBdr>
          <w:divsChild>
            <w:div w:id="1498378759">
              <w:marLeft w:val="0"/>
              <w:marRight w:val="0"/>
              <w:marTop w:val="0"/>
              <w:marBottom w:val="0"/>
              <w:divBdr>
                <w:top w:val="none" w:sz="0" w:space="0" w:color="auto"/>
                <w:left w:val="none" w:sz="0" w:space="0" w:color="auto"/>
                <w:bottom w:val="none" w:sz="0" w:space="0" w:color="auto"/>
                <w:right w:val="none" w:sz="0" w:space="0" w:color="auto"/>
              </w:divBdr>
              <w:divsChild>
                <w:div w:id="140942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7701">
      <w:bodyDiv w:val="1"/>
      <w:marLeft w:val="0"/>
      <w:marRight w:val="0"/>
      <w:marTop w:val="0"/>
      <w:marBottom w:val="0"/>
      <w:divBdr>
        <w:top w:val="none" w:sz="0" w:space="0" w:color="auto"/>
        <w:left w:val="none" w:sz="0" w:space="0" w:color="auto"/>
        <w:bottom w:val="none" w:sz="0" w:space="0" w:color="auto"/>
        <w:right w:val="none" w:sz="0" w:space="0" w:color="auto"/>
      </w:divBdr>
      <w:divsChild>
        <w:div w:id="26491196">
          <w:marLeft w:val="0"/>
          <w:marRight w:val="0"/>
          <w:marTop w:val="0"/>
          <w:marBottom w:val="0"/>
          <w:divBdr>
            <w:top w:val="none" w:sz="0" w:space="0" w:color="auto"/>
            <w:left w:val="none" w:sz="0" w:space="0" w:color="auto"/>
            <w:bottom w:val="none" w:sz="0" w:space="0" w:color="auto"/>
            <w:right w:val="none" w:sz="0" w:space="0" w:color="auto"/>
          </w:divBdr>
          <w:divsChild>
            <w:div w:id="1736968346">
              <w:marLeft w:val="0"/>
              <w:marRight w:val="0"/>
              <w:marTop w:val="0"/>
              <w:marBottom w:val="0"/>
              <w:divBdr>
                <w:top w:val="none" w:sz="0" w:space="0" w:color="auto"/>
                <w:left w:val="none" w:sz="0" w:space="0" w:color="auto"/>
                <w:bottom w:val="none" w:sz="0" w:space="0" w:color="auto"/>
                <w:right w:val="none" w:sz="0" w:space="0" w:color="auto"/>
              </w:divBdr>
              <w:divsChild>
                <w:div w:id="150300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03910">
      <w:bodyDiv w:val="1"/>
      <w:marLeft w:val="0"/>
      <w:marRight w:val="0"/>
      <w:marTop w:val="0"/>
      <w:marBottom w:val="0"/>
      <w:divBdr>
        <w:top w:val="none" w:sz="0" w:space="0" w:color="auto"/>
        <w:left w:val="none" w:sz="0" w:space="0" w:color="auto"/>
        <w:bottom w:val="none" w:sz="0" w:space="0" w:color="auto"/>
        <w:right w:val="none" w:sz="0" w:space="0" w:color="auto"/>
      </w:divBdr>
      <w:divsChild>
        <w:div w:id="2100370222">
          <w:marLeft w:val="0"/>
          <w:marRight w:val="0"/>
          <w:marTop w:val="0"/>
          <w:marBottom w:val="0"/>
          <w:divBdr>
            <w:top w:val="none" w:sz="0" w:space="0" w:color="auto"/>
            <w:left w:val="none" w:sz="0" w:space="0" w:color="auto"/>
            <w:bottom w:val="none" w:sz="0" w:space="0" w:color="auto"/>
            <w:right w:val="none" w:sz="0" w:space="0" w:color="auto"/>
          </w:divBdr>
          <w:divsChild>
            <w:div w:id="855273349">
              <w:marLeft w:val="0"/>
              <w:marRight w:val="0"/>
              <w:marTop w:val="0"/>
              <w:marBottom w:val="0"/>
              <w:divBdr>
                <w:top w:val="none" w:sz="0" w:space="0" w:color="auto"/>
                <w:left w:val="none" w:sz="0" w:space="0" w:color="auto"/>
                <w:bottom w:val="none" w:sz="0" w:space="0" w:color="auto"/>
                <w:right w:val="none" w:sz="0" w:space="0" w:color="auto"/>
              </w:divBdr>
              <w:divsChild>
                <w:div w:id="191870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11274">
      <w:bodyDiv w:val="1"/>
      <w:marLeft w:val="0"/>
      <w:marRight w:val="0"/>
      <w:marTop w:val="0"/>
      <w:marBottom w:val="0"/>
      <w:divBdr>
        <w:top w:val="none" w:sz="0" w:space="0" w:color="auto"/>
        <w:left w:val="none" w:sz="0" w:space="0" w:color="auto"/>
        <w:bottom w:val="none" w:sz="0" w:space="0" w:color="auto"/>
        <w:right w:val="none" w:sz="0" w:space="0" w:color="auto"/>
      </w:divBdr>
      <w:divsChild>
        <w:div w:id="1909227447">
          <w:marLeft w:val="0"/>
          <w:marRight w:val="0"/>
          <w:marTop w:val="0"/>
          <w:marBottom w:val="0"/>
          <w:divBdr>
            <w:top w:val="none" w:sz="0" w:space="0" w:color="auto"/>
            <w:left w:val="none" w:sz="0" w:space="0" w:color="auto"/>
            <w:bottom w:val="none" w:sz="0" w:space="0" w:color="auto"/>
            <w:right w:val="none" w:sz="0" w:space="0" w:color="auto"/>
          </w:divBdr>
          <w:divsChild>
            <w:div w:id="1195190725">
              <w:marLeft w:val="0"/>
              <w:marRight w:val="0"/>
              <w:marTop w:val="0"/>
              <w:marBottom w:val="0"/>
              <w:divBdr>
                <w:top w:val="none" w:sz="0" w:space="0" w:color="auto"/>
                <w:left w:val="none" w:sz="0" w:space="0" w:color="auto"/>
                <w:bottom w:val="none" w:sz="0" w:space="0" w:color="auto"/>
                <w:right w:val="none" w:sz="0" w:space="0" w:color="auto"/>
              </w:divBdr>
              <w:divsChild>
                <w:div w:id="180088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13273">
      <w:bodyDiv w:val="1"/>
      <w:marLeft w:val="0"/>
      <w:marRight w:val="0"/>
      <w:marTop w:val="0"/>
      <w:marBottom w:val="0"/>
      <w:divBdr>
        <w:top w:val="none" w:sz="0" w:space="0" w:color="auto"/>
        <w:left w:val="none" w:sz="0" w:space="0" w:color="auto"/>
        <w:bottom w:val="none" w:sz="0" w:space="0" w:color="auto"/>
        <w:right w:val="none" w:sz="0" w:space="0" w:color="auto"/>
      </w:divBdr>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759855">
      <w:bodyDiv w:val="1"/>
      <w:marLeft w:val="0"/>
      <w:marRight w:val="0"/>
      <w:marTop w:val="0"/>
      <w:marBottom w:val="0"/>
      <w:divBdr>
        <w:top w:val="none" w:sz="0" w:space="0" w:color="auto"/>
        <w:left w:val="none" w:sz="0" w:space="0" w:color="auto"/>
        <w:bottom w:val="none" w:sz="0" w:space="0" w:color="auto"/>
        <w:right w:val="none" w:sz="0" w:space="0" w:color="auto"/>
      </w:divBdr>
      <w:divsChild>
        <w:div w:id="349989047">
          <w:marLeft w:val="0"/>
          <w:marRight w:val="0"/>
          <w:marTop w:val="0"/>
          <w:marBottom w:val="0"/>
          <w:divBdr>
            <w:top w:val="none" w:sz="0" w:space="0" w:color="auto"/>
            <w:left w:val="none" w:sz="0" w:space="0" w:color="auto"/>
            <w:bottom w:val="none" w:sz="0" w:space="0" w:color="auto"/>
            <w:right w:val="none" w:sz="0" w:space="0" w:color="auto"/>
          </w:divBdr>
          <w:divsChild>
            <w:div w:id="1515729083">
              <w:marLeft w:val="0"/>
              <w:marRight w:val="0"/>
              <w:marTop w:val="0"/>
              <w:marBottom w:val="0"/>
              <w:divBdr>
                <w:top w:val="none" w:sz="0" w:space="0" w:color="auto"/>
                <w:left w:val="none" w:sz="0" w:space="0" w:color="auto"/>
                <w:bottom w:val="none" w:sz="0" w:space="0" w:color="auto"/>
                <w:right w:val="none" w:sz="0" w:space="0" w:color="auto"/>
              </w:divBdr>
              <w:divsChild>
                <w:div w:id="113371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40952">
      <w:bodyDiv w:val="1"/>
      <w:marLeft w:val="0"/>
      <w:marRight w:val="0"/>
      <w:marTop w:val="0"/>
      <w:marBottom w:val="0"/>
      <w:divBdr>
        <w:top w:val="none" w:sz="0" w:space="0" w:color="auto"/>
        <w:left w:val="none" w:sz="0" w:space="0" w:color="auto"/>
        <w:bottom w:val="none" w:sz="0" w:space="0" w:color="auto"/>
        <w:right w:val="none" w:sz="0" w:space="0" w:color="auto"/>
      </w:divBdr>
      <w:divsChild>
        <w:div w:id="1426414897">
          <w:marLeft w:val="0"/>
          <w:marRight w:val="0"/>
          <w:marTop w:val="0"/>
          <w:marBottom w:val="0"/>
          <w:divBdr>
            <w:top w:val="none" w:sz="0" w:space="0" w:color="auto"/>
            <w:left w:val="none" w:sz="0" w:space="0" w:color="auto"/>
            <w:bottom w:val="none" w:sz="0" w:space="0" w:color="auto"/>
            <w:right w:val="none" w:sz="0" w:space="0" w:color="auto"/>
          </w:divBdr>
          <w:divsChild>
            <w:div w:id="1144079067">
              <w:marLeft w:val="0"/>
              <w:marRight w:val="0"/>
              <w:marTop w:val="0"/>
              <w:marBottom w:val="0"/>
              <w:divBdr>
                <w:top w:val="none" w:sz="0" w:space="0" w:color="auto"/>
                <w:left w:val="none" w:sz="0" w:space="0" w:color="auto"/>
                <w:bottom w:val="none" w:sz="0" w:space="0" w:color="auto"/>
                <w:right w:val="none" w:sz="0" w:space="0" w:color="auto"/>
              </w:divBdr>
              <w:divsChild>
                <w:div w:id="144496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275553">
      <w:bodyDiv w:val="1"/>
      <w:marLeft w:val="0"/>
      <w:marRight w:val="0"/>
      <w:marTop w:val="0"/>
      <w:marBottom w:val="0"/>
      <w:divBdr>
        <w:top w:val="none" w:sz="0" w:space="0" w:color="auto"/>
        <w:left w:val="none" w:sz="0" w:space="0" w:color="auto"/>
        <w:bottom w:val="none" w:sz="0" w:space="0" w:color="auto"/>
        <w:right w:val="none" w:sz="0" w:space="0" w:color="auto"/>
      </w:divBdr>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026809">
      <w:bodyDiv w:val="1"/>
      <w:marLeft w:val="0"/>
      <w:marRight w:val="0"/>
      <w:marTop w:val="0"/>
      <w:marBottom w:val="0"/>
      <w:divBdr>
        <w:top w:val="none" w:sz="0" w:space="0" w:color="auto"/>
        <w:left w:val="none" w:sz="0" w:space="0" w:color="auto"/>
        <w:bottom w:val="none" w:sz="0" w:space="0" w:color="auto"/>
        <w:right w:val="none" w:sz="0" w:space="0" w:color="auto"/>
      </w:divBdr>
    </w:div>
    <w:div w:id="1371492778">
      <w:bodyDiv w:val="1"/>
      <w:marLeft w:val="0"/>
      <w:marRight w:val="0"/>
      <w:marTop w:val="0"/>
      <w:marBottom w:val="0"/>
      <w:divBdr>
        <w:top w:val="none" w:sz="0" w:space="0" w:color="auto"/>
        <w:left w:val="none" w:sz="0" w:space="0" w:color="auto"/>
        <w:bottom w:val="none" w:sz="0" w:space="0" w:color="auto"/>
        <w:right w:val="none" w:sz="0" w:space="0" w:color="auto"/>
      </w:divBdr>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86436">
      <w:bodyDiv w:val="1"/>
      <w:marLeft w:val="0"/>
      <w:marRight w:val="0"/>
      <w:marTop w:val="0"/>
      <w:marBottom w:val="0"/>
      <w:divBdr>
        <w:top w:val="none" w:sz="0" w:space="0" w:color="auto"/>
        <w:left w:val="none" w:sz="0" w:space="0" w:color="auto"/>
        <w:bottom w:val="none" w:sz="0" w:space="0" w:color="auto"/>
        <w:right w:val="none" w:sz="0" w:space="0" w:color="auto"/>
      </w:divBdr>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58555">
      <w:bodyDiv w:val="1"/>
      <w:marLeft w:val="0"/>
      <w:marRight w:val="0"/>
      <w:marTop w:val="0"/>
      <w:marBottom w:val="0"/>
      <w:divBdr>
        <w:top w:val="none" w:sz="0" w:space="0" w:color="auto"/>
        <w:left w:val="none" w:sz="0" w:space="0" w:color="auto"/>
        <w:bottom w:val="none" w:sz="0" w:space="0" w:color="auto"/>
        <w:right w:val="none" w:sz="0" w:space="0" w:color="auto"/>
      </w:divBdr>
      <w:divsChild>
        <w:div w:id="1426610358">
          <w:marLeft w:val="0"/>
          <w:marRight w:val="0"/>
          <w:marTop w:val="0"/>
          <w:marBottom w:val="0"/>
          <w:divBdr>
            <w:top w:val="none" w:sz="0" w:space="0" w:color="auto"/>
            <w:left w:val="none" w:sz="0" w:space="0" w:color="auto"/>
            <w:bottom w:val="none" w:sz="0" w:space="0" w:color="auto"/>
            <w:right w:val="none" w:sz="0" w:space="0" w:color="auto"/>
          </w:divBdr>
          <w:divsChild>
            <w:div w:id="836652089">
              <w:marLeft w:val="0"/>
              <w:marRight w:val="0"/>
              <w:marTop w:val="0"/>
              <w:marBottom w:val="0"/>
              <w:divBdr>
                <w:top w:val="none" w:sz="0" w:space="0" w:color="auto"/>
                <w:left w:val="none" w:sz="0" w:space="0" w:color="auto"/>
                <w:bottom w:val="none" w:sz="0" w:space="0" w:color="auto"/>
                <w:right w:val="none" w:sz="0" w:space="0" w:color="auto"/>
              </w:divBdr>
              <w:divsChild>
                <w:div w:id="2020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94384">
      <w:bodyDiv w:val="1"/>
      <w:marLeft w:val="0"/>
      <w:marRight w:val="0"/>
      <w:marTop w:val="0"/>
      <w:marBottom w:val="0"/>
      <w:divBdr>
        <w:top w:val="none" w:sz="0" w:space="0" w:color="auto"/>
        <w:left w:val="none" w:sz="0" w:space="0" w:color="auto"/>
        <w:bottom w:val="none" w:sz="0" w:space="0" w:color="auto"/>
        <w:right w:val="none" w:sz="0" w:space="0" w:color="auto"/>
      </w:divBdr>
      <w:divsChild>
        <w:div w:id="1477337407">
          <w:marLeft w:val="0"/>
          <w:marRight w:val="0"/>
          <w:marTop w:val="0"/>
          <w:marBottom w:val="0"/>
          <w:divBdr>
            <w:top w:val="none" w:sz="0" w:space="0" w:color="auto"/>
            <w:left w:val="none" w:sz="0" w:space="0" w:color="auto"/>
            <w:bottom w:val="none" w:sz="0" w:space="0" w:color="auto"/>
            <w:right w:val="none" w:sz="0" w:space="0" w:color="auto"/>
          </w:divBdr>
          <w:divsChild>
            <w:div w:id="858474440">
              <w:marLeft w:val="0"/>
              <w:marRight w:val="0"/>
              <w:marTop w:val="0"/>
              <w:marBottom w:val="0"/>
              <w:divBdr>
                <w:top w:val="none" w:sz="0" w:space="0" w:color="auto"/>
                <w:left w:val="none" w:sz="0" w:space="0" w:color="auto"/>
                <w:bottom w:val="none" w:sz="0" w:space="0" w:color="auto"/>
                <w:right w:val="none" w:sz="0" w:space="0" w:color="auto"/>
              </w:divBdr>
              <w:divsChild>
                <w:div w:id="40167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35076637">
      <w:bodyDiv w:val="1"/>
      <w:marLeft w:val="0"/>
      <w:marRight w:val="0"/>
      <w:marTop w:val="0"/>
      <w:marBottom w:val="0"/>
      <w:divBdr>
        <w:top w:val="none" w:sz="0" w:space="0" w:color="auto"/>
        <w:left w:val="none" w:sz="0" w:space="0" w:color="auto"/>
        <w:bottom w:val="none" w:sz="0" w:space="0" w:color="auto"/>
        <w:right w:val="none" w:sz="0" w:space="0" w:color="auto"/>
      </w:divBdr>
      <w:divsChild>
        <w:div w:id="977418423">
          <w:marLeft w:val="0"/>
          <w:marRight w:val="0"/>
          <w:marTop w:val="0"/>
          <w:marBottom w:val="0"/>
          <w:divBdr>
            <w:top w:val="none" w:sz="0" w:space="0" w:color="auto"/>
            <w:left w:val="none" w:sz="0" w:space="0" w:color="auto"/>
            <w:bottom w:val="none" w:sz="0" w:space="0" w:color="auto"/>
            <w:right w:val="none" w:sz="0" w:space="0" w:color="auto"/>
          </w:divBdr>
          <w:divsChild>
            <w:div w:id="851459518">
              <w:marLeft w:val="0"/>
              <w:marRight w:val="0"/>
              <w:marTop w:val="0"/>
              <w:marBottom w:val="0"/>
              <w:divBdr>
                <w:top w:val="none" w:sz="0" w:space="0" w:color="auto"/>
                <w:left w:val="none" w:sz="0" w:space="0" w:color="auto"/>
                <w:bottom w:val="none" w:sz="0" w:space="0" w:color="auto"/>
                <w:right w:val="none" w:sz="0" w:space="0" w:color="auto"/>
              </w:divBdr>
              <w:divsChild>
                <w:div w:id="173349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165293">
      <w:bodyDiv w:val="1"/>
      <w:marLeft w:val="0"/>
      <w:marRight w:val="0"/>
      <w:marTop w:val="0"/>
      <w:marBottom w:val="0"/>
      <w:divBdr>
        <w:top w:val="none" w:sz="0" w:space="0" w:color="auto"/>
        <w:left w:val="none" w:sz="0" w:space="0" w:color="auto"/>
        <w:bottom w:val="none" w:sz="0" w:space="0" w:color="auto"/>
        <w:right w:val="none" w:sz="0" w:space="0" w:color="auto"/>
      </w:divBdr>
      <w:divsChild>
        <w:div w:id="1475753460">
          <w:marLeft w:val="0"/>
          <w:marRight w:val="0"/>
          <w:marTop w:val="0"/>
          <w:marBottom w:val="0"/>
          <w:divBdr>
            <w:top w:val="none" w:sz="0" w:space="0" w:color="auto"/>
            <w:left w:val="none" w:sz="0" w:space="0" w:color="auto"/>
            <w:bottom w:val="none" w:sz="0" w:space="0" w:color="auto"/>
            <w:right w:val="none" w:sz="0" w:space="0" w:color="auto"/>
          </w:divBdr>
          <w:divsChild>
            <w:div w:id="1872842219">
              <w:marLeft w:val="0"/>
              <w:marRight w:val="0"/>
              <w:marTop w:val="0"/>
              <w:marBottom w:val="0"/>
              <w:divBdr>
                <w:top w:val="none" w:sz="0" w:space="0" w:color="auto"/>
                <w:left w:val="none" w:sz="0" w:space="0" w:color="auto"/>
                <w:bottom w:val="none" w:sz="0" w:space="0" w:color="auto"/>
                <w:right w:val="none" w:sz="0" w:space="0" w:color="auto"/>
              </w:divBdr>
              <w:divsChild>
                <w:div w:id="9602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77789787">
      <w:bodyDiv w:val="1"/>
      <w:marLeft w:val="0"/>
      <w:marRight w:val="0"/>
      <w:marTop w:val="0"/>
      <w:marBottom w:val="0"/>
      <w:divBdr>
        <w:top w:val="none" w:sz="0" w:space="0" w:color="auto"/>
        <w:left w:val="none" w:sz="0" w:space="0" w:color="auto"/>
        <w:bottom w:val="none" w:sz="0" w:space="0" w:color="auto"/>
        <w:right w:val="none" w:sz="0" w:space="0" w:color="auto"/>
      </w:divBdr>
      <w:divsChild>
        <w:div w:id="1939481024">
          <w:marLeft w:val="0"/>
          <w:marRight w:val="0"/>
          <w:marTop w:val="0"/>
          <w:marBottom w:val="0"/>
          <w:divBdr>
            <w:top w:val="none" w:sz="0" w:space="0" w:color="auto"/>
            <w:left w:val="none" w:sz="0" w:space="0" w:color="auto"/>
            <w:bottom w:val="none" w:sz="0" w:space="0" w:color="auto"/>
            <w:right w:val="none" w:sz="0" w:space="0" w:color="auto"/>
          </w:divBdr>
          <w:divsChild>
            <w:div w:id="1509364657">
              <w:marLeft w:val="0"/>
              <w:marRight w:val="0"/>
              <w:marTop w:val="0"/>
              <w:marBottom w:val="0"/>
              <w:divBdr>
                <w:top w:val="none" w:sz="0" w:space="0" w:color="auto"/>
                <w:left w:val="none" w:sz="0" w:space="0" w:color="auto"/>
                <w:bottom w:val="none" w:sz="0" w:space="0" w:color="auto"/>
                <w:right w:val="none" w:sz="0" w:space="0" w:color="auto"/>
              </w:divBdr>
              <w:divsChild>
                <w:div w:id="5633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0872055">
      <w:bodyDiv w:val="1"/>
      <w:marLeft w:val="0"/>
      <w:marRight w:val="0"/>
      <w:marTop w:val="0"/>
      <w:marBottom w:val="0"/>
      <w:divBdr>
        <w:top w:val="none" w:sz="0" w:space="0" w:color="auto"/>
        <w:left w:val="none" w:sz="0" w:space="0" w:color="auto"/>
        <w:bottom w:val="none" w:sz="0" w:space="0" w:color="auto"/>
        <w:right w:val="none" w:sz="0" w:space="0" w:color="auto"/>
      </w:divBdr>
      <w:divsChild>
        <w:div w:id="1357148734">
          <w:marLeft w:val="0"/>
          <w:marRight w:val="0"/>
          <w:marTop w:val="0"/>
          <w:marBottom w:val="0"/>
          <w:divBdr>
            <w:top w:val="none" w:sz="0" w:space="0" w:color="auto"/>
            <w:left w:val="none" w:sz="0" w:space="0" w:color="auto"/>
            <w:bottom w:val="none" w:sz="0" w:space="0" w:color="auto"/>
            <w:right w:val="none" w:sz="0" w:space="0" w:color="auto"/>
          </w:divBdr>
          <w:divsChild>
            <w:div w:id="863053835">
              <w:marLeft w:val="0"/>
              <w:marRight w:val="0"/>
              <w:marTop w:val="0"/>
              <w:marBottom w:val="0"/>
              <w:divBdr>
                <w:top w:val="none" w:sz="0" w:space="0" w:color="auto"/>
                <w:left w:val="none" w:sz="0" w:space="0" w:color="auto"/>
                <w:bottom w:val="none" w:sz="0" w:space="0" w:color="auto"/>
                <w:right w:val="none" w:sz="0" w:space="0" w:color="auto"/>
              </w:divBdr>
              <w:divsChild>
                <w:div w:id="1510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278513">
      <w:bodyDiv w:val="1"/>
      <w:marLeft w:val="0"/>
      <w:marRight w:val="0"/>
      <w:marTop w:val="0"/>
      <w:marBottom w:val="0"/>
      <w:divBdr>
        <w:top w:val="none" w:sz="0" w:space="0" w:color="auto"/>
        <w:left w:val="none" w:sz="0" w:space="0" w:color="auto"/>
        <w:bottom w:val="none" w:sz="0" w:space="0" w:color="auto"/>
        <w:right w:val="none" w:sz="0" w:space="0" w:color="auto"/>
      </w:divBdr>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52160">
      <w:bodyDiv w:val="1"/>
      <w:marLeft w:val="0"/>
      <w:marRight w:val="0"/>
      <w:marTop w:val="0"/>
      <w:marBottom w:val="0"/>
      <w:divBdr>
        <w:top w:val="none" w:sz="0" w:space="0" w:color="auto"/>
        <w:left w:val="none" w:sz="0" w:space="0" w:color="auto"/>
        <w:bottom w:val="none" w:sz="0" w:space="0" w:color="auto"/>
        <w:right w:val="none" w:sz="0" w:space="0" w:color="auto"/>
      </w:divBdr>
      <w:divsChild>
        <w:div w:id="1557274442">
          <w:marLeft w:val="0"/>
          <w:marRight w:val="0"/>
          <w:marTop w:val="0"/>
          <w:marBottom w:val="0"/>
          <w:divBdr>
            <w:top w:val="none" w:sz="0" w:space="0" w:color="auto"/>
            <w:left w:val="none" w:sz="0" w:space="0" w:color="auto"/>
            <w:bottom w:val="none" w:sz="0" w:space="0" w:color="auto"/>
            <w:right w:val="none" w:sz="0" w:space="0" w:color="auto"/>
          </w:divBdr>
          <w:divsChild>
            <w:div w:id="519589946">
              <w:marLeft w:val="0"/>
              <w:marRight w:val="0"/>
              <w:marTop w:val="0"/>
              <w:marBottom w:val="0"/>
              <w:divBdr>
                <w:top w:val="none" w:sz="0" w:space="0" w:color="auto"/>
                <w:left w:val="none" w:sz="0" w:space="0" w:color="auto"/>
                <w:bottom w:val="none" w:sz="0" w:space="0" w:color="auto"/>
                <w:right w:val="none" w:sz="0" w:space="0" w:color="auto"/>
              </w:divBdr>
              <w:divsChild>
                <w:div w:id="18891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586528">
      <w:bodyDiv w:val="1"/>
      <w:marLeft w:val="0"/>
      <w:marRight w:val="0"/>
      <w:marTop w:val="0"/>
      <w:marBottom w:val="0"/>
      <w:divBdr>
        <w:top w:val="none" w:sz="0" w:space="0" w:color="auto"/>
        <w:left w:val="none" w:sz="0" w:space="0" w:color="auto"/>
        <w:bottom w:val="none" w:sz="0" w:space="0" w:color="auto"/>
        <w:right w:val="none" w:sz="0" w:space="0" w:color="auto"/>
      </w:divBdr>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62854">
      <w:bodyDiv w:val="1"/>
      <w:marLeft w:val="0"/>
      <w:marRight w:val="0"/>
      <w:marTop w:val="0"/>
      <w:marBottom w:val="0"/>
      <w:divBdr>
        <w:top w:val="none" w:sz="0" w:space="0" w:color="auto"/>
        <w:left w:val="none" w:sz="0" w:space="0" w:color="auto"/>
        <w:bottom w:val="none" w:sz="0" w:space="0" w:color="auto"/>
        <w:right w:val="none" w:sz="0" w:space="0" w:color="auto"/>
      </w:divBdr>
      <w:divsChild>
        <w:div w:id="1006981719">
          <w:marLeft w:val="0"/>
          <w:marRight w:val="0"/>
          <w:marTop w:val="0"/>
          <w:marBottom w:val="0"/>
          <w:divBdr>
            <w:top w:val="none" w:sz="0" w:space="0" w:color="auto"/>
            <w:left w:val="none" w:sz="0" w:space="0" w:color="auto"/>
            <w:bottom w:val="none" w:sz="0" w:space="0" w:color="auto"/>
            <w:right w:val="none" w:sz="0" w:space="0" w:color="auto"/>
          </w:divBdr>
          <w:divsChild>
            <w:div w:id="108402798">
              <w:marLeft w:val="0"/>
              <w:marRight w:val="0"/>
              <w:marTop w:val="0"/>
              <w:marBottom w:val="0"/>
              <w:divBdr>
                <w:top w:val="none" w:sz="0" w:space="0" w:color="auto"/>
                <w:left w:val="none" w:sz="0" w:space="0" w:color="auto"/>
                <w:bottom w:val="none" w:sz="0" w:space="0" w:color="auto"/>
                <w:right w:val="none" w:sz="0" w:space="0" w:color="auto"/>
              </w:divBdr>
              <w:divsChild>
                <w:div w:id="3486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47397">
      <w:bodyDiv w:val="1"/>
      <w:marLeft w:val="0"/>
      <w:marRight w:val="0"/>
      <w:marTop w:val="0"/>
      <w:marBottom w:val="0"/>
      <w:divBdr>
        <w:top w:val="none" w:sz="0" w:space="0" w:color="auto"/>
        <w:left w:val="none" w:sz="0" w:space="0" w:color="auto"/>
        <w:bottom w:val="none" w:sz="0" w:space="0" w:color="auto"/>
        <w:right w:val="none" w:sz="0" w:space="0" w:color="auto"/>
      </w:divBdr>
      <w:divsChild>
        <w:div w:id="1810975805">
          <w:marLeft w:val="0"/>
          <w:marRight w:val="0"/>
          <w:marTop w:val="0"/>
          <w:marBottom w:val="0"/>
          <w:divBdr>
            <w:top w:val="none" w:sz="0" w:space="0" w:color="auto"/>
            <w:left w:val="none" w:sz="0" w:space="0" w:color="auto"/>
            <w:bottom w:val="none" w:sz="0" w:space="0" w:color="auto"/>
            <w:right w:val="none" w:sz="0" w:space="0" w:color="auto"/>
          </w:divBdr>
          <w:divsChild>
            <w:div w:id="1205020057">
              <w:marLeft w:val="0"/>
              <w:marRight w:val="0"/>
              <w:marTop w:val="0"/>
              <w:marBottom w:val="0"/>
              <w:divBdr>
                <w:top w:val="none" w:sz="0" w:space="0" w:color="auto"/>
                <w:left w:val="none" w:sz="0" w:space="0" w:color="auto"/>
                <w:bottom w:val="none" w:sz="0" w:space="0" w:color="auto"/>
                <w:right w:val="none" w:sz="0" w:space="0" w:color="auto"/>
              </w:divBdr>
              <w:divsChild>
                <w:div w:id="140760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04806">
      <w:bodyDiv w:val="1"/>
      <w:marLeft w:val="0"/>
      <w:marRight w:val="0"/>
      <w:marTop w:val="0"/>
      <w:marBottom w:val="0"/>
      <w:divBdr>
        <w:top w:val="none" w:sz="0" w:space="0" w:color="auto"/>
        <w:left w:val="none" w:sz="0" w:space="0" w:color="auto"/>
        <w:bottom w:val="none" w:sz="0" w:space="0" w:color="auto"/>
        <w:right w:val="none" w:sz="0" w:space="0" w:color="auto"/>
      </w:divBdr>
      <w:divsChild>
        <w:div w:id="1742369669">
          <w:marLeft w:val="0"/>
          <w:marRight w:val="0"/>
          <w:marTop w:val="0"/>
          <w:marBottom w:val="0"/>
          <w:divBdr>
            <w:top w:val="none" w:sz="0" w:space="0" w:color="auto"/>
            <w:left w:val="none" w:sz="0" w:space="0" w:color="auto"/>
            <w:bottom w:val="none" w:sz="0" w:space="0" w:color="auto"/>
            <w:right w:val="none" w:sz="0" w:space="0" w:color="auto"/>
          </w:divBdr>
          <w:divsChild>
            <w:div w:id="419522083">
              <w:marLeft w:val="0"/>
              <w:marRight w:val="0"/>
              <w:marTop w:val="0"/>
              <w:marBottom w:val="0"/>
              <w:divBdr>
                <w:top w:val="none" w:sz="0" w:space="0" w:color="auto"/>
                <w:left w:val="none" w:sz="0" w:space="0" w:color="auto"/>
                <w:bottom w:val="none" w:sz="0" w:space="0" w:color="auto"/>
                <w:right w:val="none" w:sz="0" w:space="0" w:color="auto"/>
              </w:divBdr>
              <w:divsChild>
                <w:div w:id="164404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40943">
      <w:bodyDiv w:val="1"/>
      <w:marLeft w:val="0"/>
      <w:marRight w:val="0"/>
      <w:marTop w:val="0"/>
      <w:marBottom w:val="0"/>
      <w:divBdr>
        <w:top w:val="none" w:sz="0" w:space="0" w:color="auto"/>
        <w:left w:val="none" w:sz="0" w:space="0" w:color="auto"/>
        <w:bottom w:val="none" w:sz="0" w:space="0" w:color="auto"/>
        <w:right w:val="none" w:sz="0" w:space="0" w:color="auto"/>
      </w:divBdr>
      <w:divsChild>
        <w:div w:id="30229671">
          <w:marLeft w:val="0"/>
          <w:marRight w:val="0"/>
          <w:marTop w:val="0"/>
          <w:marBottom w:val="0"/>
          <w:divBdr>
            <w:top w:val="none" w:sz="0" w:space="0" w:color="auto"/>
            <w:left w:val="none" w:sz="0" w:space="0" w:color="auto"/>
            <w:bottom w:val="none" w:sz="0" w:space="0" w:color="auto"/>
            <w:right w:val="none" w:sz="0" w:space="0" w:color="auto"/>
          </w:divBdr>
          <w:divsChild>
            <w:div w:id="1316376355">
              <w:marLeft w:val="0"/>
              <w:marRight w:val="0"/>
              <w:marTop w:val="0"/>
              <w:marBottom w:val="0"/>
              <w:divBdr>
                <w:top w:val="none" w:sz="0" w:space="0" w:color="auto"/>
                <w:left w:val="none" w:sz="0" w:space="0" w:color="auto"/>
                <w:bottom w:val="none" w:sz="0" w:space="0" w:color="auto"/>
                <w:right w:val="none" w:sz="0" w:space="0" w:color="auto"/>
              </w:divBdr>
              <w:divsChild>
                <w:div w:id="76842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90004">
      <w:bodyDiv w:val="1"/>
      <w:marLeft w:val="0"/>
      <w:marRight w:val="0"/>
      <w:marTop w:val="0"/>
      <w:marBottom w:val="0"/>
      <w:divBdr>
        <w:top w:val="none" w:sz="0" w:space="0" w:color="auto"/>
        <w:left w:val="none" w:sz="0" w:space="0" w:color="auto"/>
        <w:bottom w:val="none" w:sz="0" w:space="0" w:color="auto"/>
        <w:right w:val="none" w:sz="0" w:space="0" w:color="auto"/>
      </w:divBdr>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05600">
      <w:bodyDiv w:val="1"/>
      <w:marLeft w:val="0"/>
      <w:marRight w:val="0"/>
      <w:marTop w:val="0"/>
      <w:marBottom w:val="0"/>
      <w:divBdr>
        <w:top w:val="none" w:sz="0" w:space="0" w:color="auto"/>
        <w:left w:val="none" w:sz="0" w:space="0" w:color="auto"/>
        <w:bottom w:val="none" w:sz="0" w:space="0" w:color="auto"/>
        <w:right w:val="none" w:sz="0" w:space="0" w:color="auto"/>
      </w:divBdr>
      <w:divsChild>
        <w:div w:id="739062944">
          <w:marLeft w:val="0"/>
          <w:marRight w:val="0"/>
          <w:marTop w:val="0"/>
          <w:marBottom w:val="0"/>
          <w:divBdr>
            <w:top w:val="none" w:sz="0" w:space="0" w:color="auto"/>
            <w:left w:val="none" w:sz="0" w:space="0" w:color="auto"/>
            <w:bottom w:val="none" w:sz="0" w:space="0" w:color="auto"/>
            <w:right w:val="none" w:sz="0" w:space="0" w:color="auto"/>
          </w:divBdr>
          <w:divsChild>
            <w:div w:id="2044860052">
              <w:marLeft w:val="0"/>
              <w:marRight w:val="0"/>
              <w:marTop w:val="0"/>
              <w:marBottom w:val="0"/>
              <w:divBdr>
                <w:top w:val="none" w:sz="0" w:space="0" w:color="auto"/>
                <w:left w:val="none" w:sz="0" w:space="0" w:color="auto"/>
                <w:bottom w:val="none" w:sz="0" w:space="0" w:color="auto"/>
                <w:right w:val="none" w:sz="0" w:space="0" w:color="auto"/>
              </w:divBdr>
              <w:divsChild>
                <w:div w:id="18188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497118">
      <w:bodyDiv w:val="1"/>
      <w:marLeft w:val="0"/>
      <w:marRight w:val="0"/>
      <w:marTop w:val="0"/>
      <w:marBottom w:val="0"/>
      <w:divBdr>
        <w:top w:val="none" w:sz="0" w:space="0" w:color="auto"/>
        <w:left w:val="none" w:sz="0" w:space="0" w:color="auto"/>
        <w:bottom w:val="none" w:sz="0" w:space="0" w:color="auto"/>
        <w:right w:val="none" w:sz="0" w:space="0" w:color="auto"/>
      </w:divBdr>
      <w:divsChild>
        <w:div w:id="204873526">
          <w:marLeft w:val="0"/>
          <w:marRight w:val="0"/>
          <w:marTop w:val="0"/>
          <w:marBottom w:val="0"/>
          <w:divBdr>
            <w:top w:val="none" w:sz="0" w:space="0" w:color="auto"/>
            <w:left w:val="none" w:sz="0" w:space="0" w:color="auto"/>
            <w:bottom w:val="none" w:sz="0" w:space="0" w:color="auto"/>
            <w:right w:val="none" w:sz="0" w:space="0" w:color="auto"/>
          </w:divBdr>
          <w:divsChild>
            <w:div w:id="1165166629">
              <w:marLeft w:val="0"/>
              <w:marRight w:val="0"/>
              <w:marTop w:val="0"/>
              <w:marBottom w:val="0"/>
              <w:divBdr>
                <w:top w:val="none" w:sz="0" w:space="0" w:color="auto"/>
                <w:left w:val="none" w:sz="0" w:space="0" w:color="auto"/>
                <w:bottom w:val="none" w:sz="0" w:space="0" w:color="auto"/>
                <w:right w:val="none" w:sz="0" w:space="0" w:color="auto"/>
              </w:divBdr>
              <w:divsChild>
                <w:div w:id="15272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220441">
      <w:bodyDiv w:val="1"/>
      <w:marLeft w:val="0"/>
      <w:marRight w:val="0"/>
      <w:marTop w:val="0"/>
      <w:marBottom w:val="0"/>
      <w:divBdr>
        <w:top w:val="none" w:sz="0" w:space="0" w:color="auto"/>
        <w:left w:val="none" w:sz="0" w:space="0" w:color="auto"/>
        <w:bottom w:val="none" w:sz="0" w:space="0" w:color="auto"/>
        <w:right w:val="none" w:sz="0" w:space="0" w:color="auto"/>
      </w:divBdr>
      <w:divsChild>
        <w:div w:id="2019959156">
          <w:marLeft w:val="0"/>
          <w:marRight w:val="0"/>
          <w:marTop w:val="0"/>
          <w:marBottom w:val="0"/>
          <w:divBdr>
            <w:top w:val="none" w:sz="0" w:space="0" w:color="auto"/>
            <w:left w:val="none" w:sz="0" w:space="0" w:color="auto"/>
            <w:bottom w:val="none" w:sz="0" w:space="0" w:color="auto"/>
            <w:right w:val="none" w:sz="0" w:space="0" w:color="auto"/>
          </w:divBdr>
          <w:divsChild>
            <w:div w:id="845708877">
              <w:marLeft w:val="0"/>
              <w:marRight w:val="0"/>
              <w:marTop w:val="0"/>
              <w:marBottom w:val="0"/>
              <w:divBdr>
                <w:top w:val="none" w:sz="0" w:space="0" w:color="auto"/>
                <w:left w:val="none" w:sz="0" w:space="0" w:color="auto"/>
                <w:bottom w:val="none" w:sz="0" w:space="0" w:color="auto"/>
                <w:right w:val="none" w:sz="0" w:space="0" w:color="auto"/>
              </w:divBdr>
              <w:divsChild>
                <w:div w:id="104498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9484697">
      <w:bodyDiv w:val="1"/>
      <w:marLeft w:val="0"/>
      <w:marRight w:val="0"/>
      <w:marTop w:val="0"/>
      <w:marBottom w:val="0"/>
      <w:divBdr>
        <w:top w:val="none" w:sz="0" w:space="0" w:color="auto"/>
        <w:left w:val="none" w:sz="0" w:space="0" w:color="auto"/>
        <w:bottom w:val="none" w:sz="0" w:space="0" w:color="auto"/>
        <w:right w:val="none" w:sz="0" w:space="0" w:color="auto"/>
      </w:divBdr>
      <w:divsChild>
        <w:div w:id="309602236">
          <w:marLeft w:val="0"/>
          <w:marRight w:val="0"/>
          <w:marTop w:val="0"/>
          <w:marBottom w:val="0"/>
          <w:divBdr>
            <w:top w:val="none" w:sz="0" w:space="0" w:color="auto"/>
            <w:left w:val="none" w:sz="0" w:space="0" w:color="auto"/>
            <w:bottom w:val="none" w:sz="0" w:space="0" w:color="auto"/>
            <w:right w:val="none" w:sz="0" w:space="0" w:color="auto"/>
          </w:divBdr>
          <w:divsChild>
            <w:div w:id="1841693870">
              <w:marLeft w:val="0"/>
              <w:marRight w:val="0"/>
              <w:marTop w:val="0"/>
              <w:marBottom w:val="0"/>
              <w:divBdr>
                <w:top w:val="none" w:sz="0" w:space="0" w:color="auto"/>
                <w:left w:val="none" w:sz="0" w:space="0" w:color="auto"/>
                <w:bottom w:val="none" w:sz="0" w:space="0" w:color="auto"/>
                <w:right w:val="none" w:sz="0" w:space="0" w:color="auto"/>
              </w:divBdr>
              <w:divsChild>
                <w:div w:id="188713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54952">
      <w:bodyDiv w:val="1"/>
      <w:marLeft w:val="0"/>
      <w:marRight w:val="0"/>
      <w:marTop w:val="0"/>
      <w:marBottom w:val="0"/>
      <w:divBdr>
        <w:top w:val="none" w:sz="0" w:space="0" w:color="auto"/>
        <w:left w:val="none" w:sz="0" w:space="0" w:color="auto"/>
        <w:bottom w:val="none" w:sz="0" w:space="0" w:color="auto"/>
        <w:right w:val="none" w:sz="0" w:space="0" w:color="auto"/>
      </w:divBdr>
      <w:divsChild>
        <w:div w:id="1480659015">
          <w:marLeft w:val="0"/>
          <w:marRight w:val="0"/>
          <w:marTop w:val="0"/>
          <w:marBottom w:val="0"/>
          <w:divBdr>
            <w:top w:val="none" w:sz="0" w:space="0" w:color="auto"/>
            <w:left w:val="none" w:sz="0" w:space="0" w:color="auto"/>
            <w:bottom w:val="none" w:sz="0" w:space="0" w:color="auto"/>
            <w:right w:val="none" w:sz="0" w:space="0" w:color="auto"/>
          </w:divBdr>
          <w:divsChild>
            <w:div w:id="657155028">
              <w:marLeft w:val="0"/>
              <w:marRight w:val="0"/>
              <w:marTop w:val="0"/>
              <w:marBottom w:val="0"/>
              <w:divBdr>
                <w:top w:val="none" w:sz="0" w:space="0" w:color="auto"/>
                <w:left w:val="none" w:sz="0" w:space="0" w:color="auto"/>
                <w:bottom w:val="none" w:sz="0" w:space="0" w:color="auto"/>
                <w:right w:val="none" w:sz="0" w:space="0" w:color="auto"/>
              </w:divBdr>
              <w:divsChild>
                <w:div w:id="13376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72892">
      <w:bodyDiv w:val="1"/>
      <w:marLeft w:val="0"/>
      <w:marRight w:val="0"/>
      <w:marTop w:val="0"/>
      <w:marBottom w:val="0"/>
      <w:divBdr>
        <w:top w:val="none" w:sz="0" w:space="0" w:color="auto"/>
        <w:left w:val="none" w:sz="0" w:space="0" w:color="auto"/>
        <w:bottom w:val="none" w:sz="0" w:space="0" w:color="auto"/>
        <w:right w:val="none" w:sz="0" w:space="0" w:color="auto"/>
      </w:divBdr>
      <w:divsChild>
        <w:div w:id="1845778975">
          <w:marLeft w:val="0"/>
          <w:marRight w:val="0"/>
          <w:marTop w:val="0"/>
          <w:marBottom w:val="0"/>
          <w:divBdr>
            <w:top w:val="none" w:sz="0" w:space="0" w:color="auto"/>
            <w:left w:val="none" w:sz="0" w:space="0" w:color="auto"/>
            <w:bottom w:val="none" w:sz="0" w:space="0" w:color="auto"/>
            <w:right w:val="none" w:sz="0" w:space="0" w:color="auto"/>
          </w:divBdr>
          <w:divsChild>
            <w:div w:id="751588998">
              <w:marLeft w:val="0"/>
              <w:marRight w:val="0"/>
              <w:marTop w:val="0"/>
              <w:marBottom w:val="0"/>
              <w:divBdr>
                <w:top w:val="none" w:sz="0" w:space="0" w:color="auto"/>
                <w:left w:val="none" w:sz="0" w:space="0" w:color="auto"/>
                <w:bottom w:val="none" w:sz="0" w:space="0" w:color="auto"/>
                <w:right w:val="none" w:sz="0" w:space="0" w:color="auto"/>
              </w:divBdr>
              <w:divsChild>
                <w:div w:id="5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601020">
      <w:bodyDiv w:val="1"/>
      <w:marLeft w:val="0"/>
      <w:marRight w:val="0"/>
      <w:marTop w:val="0"/>
      <w:marBottom w:val="0"/>
      <w:divBdr>
        <w:top w:val="none" w:sz="0" w:space="0" w:color="auto"/>
        <w:left w:val="none" w:sz="0" w:space="0" w:color="auto"/>
        <w:bottom w:val="none" w:sz="0" w:space="0" w:color="auto"/>
        <w:right w:val="none" w:sz="0" w:space="0" w:color="auto"/>
      </w:divBdr>
      <w:divsChild>
        <w:div w:id="347561300">
          <w:marLeft w:val="0"/>
          <w:marRight w:val="0"/>
          <w:marTop w:val="0"/>
          <w:marBottom w:val="0"/>
          <w:divBdr>
            <w:top w:val="none" w:sz="0" w:space="0" w:color="auto"/>
            <w:left w:val="none" w:sz="0" w:space="0" w:color="auto"/>
            <w:bottom w:val="none" w:sz="0" w:space="0" w:color="auto"/>
            <w:right w:val="none" w:sz="0" w:space="0" w:color="auto"/>
          </w:divBdr>
          <w:divsChild>
            <w:div w:id="2027705811">
              <w:marLeft w:val="0"/>
              <w:marRight w:val="0"/>
              <w:marTop w:val="0"/>
              <w:marBottom w:val="0"/>
              <w:divBdr>
                <w:top w:val="none" w:sz="0" w:space="0" w:color="auto"/>
                <w:left w:val="none" w:sz="0" w:space="0" w:color="auto"/>
                <w:bottom w:val="none" w:sz="0" w:space="0" w:color="auto"/>
                <w:right w:val="none" w:sz="0" w:space="0" w:color="auto"/>
              </w:divBdr>
              <w:divsChild>
                <w:div w:id="58333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95021">
      <w:bodyDiv w:val="1"/>
      <w:marLeft w:val="0"/>
      <w:marRight w:val="0"/>
      <w:marTop w:val="0"/>
      <w:marBottom w:val="0"/>
      <w:divBdr>
        <w:top w:val="none" w:sz="0" w:space="0" w:color="auto"/>
        <w:left w:val="none" w:sz="0" w:space="0" w:color="auto"/>
        <w:bottom w:val="none" w:sz="0" w:space="0" w:color="auto"/>
        <w:right w:val="none" w:sz="0" w:space="0" w:color="auto"/>
      </w:divBdr>
      <w:divsChild>
        <w:div w:id="1794707207">
          <w:marLeft w:val="0"/>
          <w:marRight w:val="0"/>
          <w:marTop w:val="0"/>
          <w:marBottom w:val="0"/>
          <w:divBdr>
            <w:top w:val="none" w:sz="0" w:space="0" w:color="auto"/>
            <w:left w:val="none" w:sz="0" w:space="0" w:color="auto"/>
            <w:bottom w:val="none" w:sz="0" w:space="0" w:color="auto"/>
            <w:right w:val="none" w:sz="0" w:space="0" w:color="auto"/>
          </w:divBdr>
          <w:divsChild>
            <w:div w:id="1485387272">
              <w:marLeft w:val="0"/>
              <w:marRight w:val="0"/>
              <w:marTop w:val="0"/>
              <w:marBottom w:val="0"/>
              <w:divBdr>
                <w:top w:val="none" w:sz="0" w:space="0" w:color="auto"/>
                <w:left w:val="none" w:sz="0" w:space="0" w:color="auto"/>
                <w:bottom w:val="none" w:sz="0" w:space="0" w:color="auto"/>
                <w:right w:val="none" w:sz="0" w:space="0" w:color="auto"/>
              </w:divBdr>
              <w:divsChild>
                <w:div w:id="21088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074114">
      <w:bodyDiv w:val="1"/>
      <w:marLeft w:val="0"/>
      <w:marRight w:val="0"/>
      <w:marTop w:val="0"/>
      <w:marBottom w:val="0"/>
      <w:divBdr>
        <w:top w:val="none" w:sz="0" w:space="0" w:color="auto"/>
        <w:left w:val="none" w:sz="0" w:space="0" w:color="auto"/>
        <w:bottom w:val="none" w:sz="0" w:space="0" w:color="auto"/>
        <w:right w:val="none" w:sz="0" w:space="0" w:color="auto"/>
      </w:divBdr>
      <w:divsChild>
        <w:div w:id="531579038">
          <w:marLeft w:val="0"/>
          <w:marRight w:val="0"/>
          <w:marTop w:val="0"/>
          <w:marBottom w:val="0"/>
          <w:divBdr>
            <w:top w:val="none" w:sz="0" w:space="0" w:color="auto"/>
            <w:left w:val="none" w:sz="0" w:space="0" w:color="auto"/>
            <w:bottom w:val="none" w:sz="0" w:space="0" w:color="auto"/>
            <w:right w:val="none" w:sz="0" w:space="0" w:color="auto"/>
          </w:divBdr>
          <w:divsChild>
            <w:div w:id="1205866428">
              <w:marLeft w:val="0"/>
              <w:marRight w:val="0"/>
              <w:marTop w:val="0"/>
              <w:marBottom w:val="0"/>
              <w:divBdr>
                <w:top w:val="none" w:sz="0" w:space="0" w:color="auto"/>
                <w:left w:val="none" w:sz="0" w:space="0" w:color="auto"/>
                <w:bottom w:val="none" w:sz="0" w:space="0" w:color="auto"/>
                <w:right w:val="none" w:sz="0" w:space="0" w:color="auto"/>
              </w:divBdr>
              <w:divsChild>
                <w:div w:id="190914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130176">
          <w:marLeft w:val="0"/>
          <w:marRight w:val="0"/>
          <w:marTop w:val="0"/>
          <w:marBottom w:val="0"/>
          <w:divBdr>
            <w:top w:val="none" w:sz="0" w:space="0" w:color="auto"/>
            <w:left w:val="none" w:sz="0" w:space="0" w:color="auto"/>
            <w:bottom w:val="none" w:sz="0" w:space="0" w:color="auto"/>
            <w:right w:val="none" w:sz="0" w:space="0" w:color="auto"/>
          </w:divBdr>
          <w:divsChild>
            <w:div w:id="939415656">
              <w:marLeft w:val="0"/>
              <w:marRight w:val="0"/>
              <w:marTop w:val="0"/>
              <w:marBottom w:val="0"/>
              <w:divBdr>
                <w:top w:val="none" w:sz="0" w:space="0" w:color="auto"/>
                <w:left w:val="none" w:sz="0" w:space="0" w:color="auto"/>
                <w:bottom w:val="none" w:sz="0" w:space="0" w:color="auto"/>
                <w:right w:val="none" w:sz="0" w:space="0" w:color="auto"/>
              </w:divBdr>
              <w:divsChild>
                <w:div w:id="1525825081">
                  <w:marLeft w:val="0"/>
                  <w:marRight w:val="0"/>
                  <w:marTop w:val="0"/>
                  <w:marBottom w:val="0"/>
                  <w:divBdr>
                    <w:top w:val="none" w:sz="0" w:space="0" w:color="auto"/>
                    <w:left w:val="none" w:sz="0" w:space="0" w:color="auto"/>
                    <w:bottom w:val="none" w:sz="0" w:space="0" w:color="auto"/>
                    <w:right w:val="none" w:sz="0" w:space="0" w:color="auto"/>
                  </w:divBdr>
                </w:div>
              </w:divsChild>
            </w:div>
            <w:div w:id="2111966621">
              <w:marLeft w:val="0"/>
              <w:marRight w:val="0"/>
              <w:marTop w:val="0"/>
              <w:marBottom w:val="0"/>
              <w:divBdr>
                <w:top w:val="none" w:sz="0" w:space="0" w:color="auto"/>
                <w:left w:val="none" w:sz="0" w:space="0" w:color="auto"/>
                <w:bottom w:val="none" w:sz="0" w:space="0" w:color="auto"/>
                <w:right w:val="none" w:sz="0" w:space="0" w:color="auto"/>
              </w:divBdr>
              <w:divsChild>
                <w:div w:id="8731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936188">
      <w:bodyDiv w:val="1"/>
      <w:marLeft w:val="0"/>
      <w:marRight w:val="0"/>
      <w:marTop w:val="0"/>
      <w:marBottom w:val="0"/>
      <w:divBdr>
        <w:top w:val="none" w:sz="0" w:space="0" w:color="auto"/>
        <w:left w:val="none" w:sz="0" w:space="0" w:color="auto"/>
        <w:bottom w:val="none" w:sz="0" w:space="0" w:color="auto"/>
        <w:right w:val="none" w:sz="0" w:space="0" w:color="auto"/>
      </w:divBdr>
      <w:divsChild>
        <w:div w:id="899904266">
          <w:marLeft w:val="0"/>
          <w:marRight w:val="0"/>
          <w:marTop w:val="0"/>
          <w:marBottom w:val="0"/>
          <w:divBdr>
            <w:top w:val="none" w:sz="0" w:space="0" w:color="auto"/>
            <w:left w:val="none" w:sz="0" w:space="0" w:color="auto"/>
            <w:bottom w:val="none" w:sz="0" w:space="0" w:color="auto"/>
            <w:right w:val="none" w:sz="0" w:space="0" w:color="auto"/>
          </w:divBdr>
          <w:divsChild>
            <w:div w:id="1440250450">
              <w:marLeft w:val="0"/>
              <w:marRight w:val="0"/>
              <w:marTop w:val="0"/>
              <w:marBottom w:val="0"/>
              <w:divBdr>
                <w:top w:val="none" w:sz="0" w:space="0" w:color="auto"/>
                <w:left w:val="none" w:sz="0" w:space="0" w:color="auto"/>
                <w:bottom w:val="none" w:sz="0" w:space="0" w:color="auto"/>
                <w:right w:val="none" w:sz="0" w:space="0" w:color="auto"/>
              </w:divBdr>
              <w:divsChild>
                <w:div w:id="23516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071927">
      <w:bodyDiv w:val="1"/>
      <w:marLeft w:val="0"/>
      <w:marRight w:val="0"/>
      <w:marTop w:val="0"/>
      <w:marBottom w:val="0"/>
      <w:divBdr>
        <w:top w:val="none" w:sz="0" w:space="0" w:color="auto"/>
        <w:left w:val="none" w:sz="0" w:space="0" w:color="auto"/>
        <w:bottom w:val="none" w:sz="0" w:space="0" w:color="auto"/>
        <w:right w:val="none" w:sz="0" w:space="0" w:color="auto"/>
      </w:divBdr>
      <w:divsChild>
        <w:div w:id="904947689">
          <w:marLeft w:val="0"/>
          <w:marRight w:val="0"/>
          <w:marTop w:val="0"/>
          <w:marBottom w:val="0"/>
          <w:divBdr>
            <w:top w:val="none" w:sz="0" w:space="0" w:color="auto"/>
            <w:left w:val="none" w:sz="0" w:space="0" w:color="auto"/>
            <w:bottom w:val="none" w:sz="0" w:space="0" w:color="auto"/>
            <w:right w:val="none" w:sz="0" w:space="0" w:color="auto"/>
          </w:divBdr>
          <w:divsChild>
            <w:div w:id="1428816344">
              <w:marLeft w:val="0"/>
              <w:marRight w:val="0"/>
              <w:marTop w:val="0"/>
              <w:marBottom w:val="0"/>
              <w:divBdr>
                <w:top w:val="none" w:sz="0" w:space="0" w:color="auto"/>
                <w:left w:val="none" w:sz="0" w:space="0" w:color="auto"/>
                <w:bottom w:val="none" w:sz="0" w:space="0" w:color="auto"/>
                <w:right w:val="none" w:sz="0" w:space="0" w:color="auto"/>
              </w:divBdr>
              <w:divsChild>
                <w:div w:id="3571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505B-F1AC-47B9-A9C1-282D42FC7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54223</Words>
  <Characters>30908</Characters>
  <Application>Microsoft Office Word</Application>
  <DocSecurity>0</DocSecurity>
  <PresentationFormat/>
  <Lines>257</Lines>
  <Paragraphs>169</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Mykolas Kirkutis</dc:creator>
  <cp:keywords/>
  <dc:description/>
  <cp:lastModifiedBy>Mykolas Kirkutis</cp:lastModifiedBy>
  <cp:revision>2</cp:revision>
  <cp:lastPrinted>2024-01-09T11:52:00Z</cp:lastPrinted>
  <dcterms:created xsi:type="dcterms:W3CDTF">2024-01-10T11:40:00Z</dcterms:created>
  <dcterms:modified xsi:type="dcterms:W3CDTF">2024-01-10T11:40:00Z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