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FEBF5" w14:textId="176FEAA6" w:rsidR="00162656" w:rsidRPr="0053226E" w:rsidRDefault="00162656" w:rsidP="003C44E8">
      <w:pPr>
        <w:tabs>
          <w:tab w:val="left" w:pos="5103"/>
          <w:tab w:val="left" w:pos="7513"/>
        </w:tabs>
        <w:ind w:left="5103"/>
      </w:pPr>
      <w:r w:rsidRPr="0053226E">
        <w:t>Civilinė byla Nr. e3K-3-</w:t>
      </w:r>
      <w:r w:rsidR="007E3C1A" w:rsidRPr="0053226E">
        <w:t>12</w:t>
      </w:r>
      <w:r w:rsidR="000C6089" w:rsidRPr="0053226E">
        <w:t>2</w:t>
      </w:r>
      <w:r w:rsidR="00045A99" w:rsidRPr="0053226E">
        <w:t>-</w:t>
      </w:r>
      <w:r w:rsidR="000C6089" w:rsidRPr="0053226E">
        <w:t>469</w:t>
      </w:r>
      <w:r w:rsidRPr="0053226E">
        <w:t>/202</w:t>
      </w:r>
      <w:r w:rsidR="00A96174" w:rsidRPr="0053226E">
        <w:t>5</w:t>
      </w:r>
    </w:p>
    <w:p w14:paraId="7322002F" w14:textId="00BEB5E9" w:rsidR="00D43AE9" w:rsidRPr="0053226E" w:rsidRDefault="00162656" w:rsidP="00162656">
      <w:pPr>
        <w:ind w:left="5103"/>
      </w:pPr>
      <w:r w:rsidRPr="0053226E">
        <w:t xml:space="preserve">Teisminio proceso Nr. </w:t>
      </w:r>
      <w:r w:rsidR="000C6089" w:rsidRPr="0053226E">
        <w:t>2-55-3-01067-2021-4</w:t>
      </w:r>
    </w:p>
    <w:p w14:paraId="4E347AC5" w14:textId="58748479" w:rsidR="00EB27B2" w:rsidRDefault="008B4C96" w:rsidP="00162656">
      <w:pPr>
        <w:ind w:left="5103"/>
        <w:rPr>
          <w:color w:val="000000"/>
        </w:rPr>
      </w:pPr>
      <w:r w:rsidRPr="0053226E">
        <w:t>P</w:t>
      </w:r>
      <w:r w:rsidR="00612446" w:rsidRPr="0053226E">
        <w:t>rocesinio sprendimo kategorij</w:t>
      </w:r>
      <w:r w:rsidR="004E2B3D" w:rsidRPr="0053226E">
        <w:t>os:</w:t>
      </w:r>
      <w:r w:rsidR="000C71B6" w:rsidRPr="0053226E">
        <w:t xml:space="preserve"> </w:t>
      </w:r>
      <w:r w:rsidR="007E2386" w:rsidRPr="0053226E">
        <w:rPr>
          <w:color w:val="000000"/>
        </w:rPr>
        <w:t>2.7.4.4; 3.2.4.1</w:t>
      </w:r>
    </w:p>
    <w:p w14:paraId="69C8C5FC" w14:textId="37C6634E" w:rsidR="00C774FC" w:rsidRPr="0053226E" w:rsidRDefault="00C774FC" w:rsidP="00162656">
      <w:pPr>
        <w:ind w:left="5103"/>
      </w:pPr>
      <w:r>
        <w:rPr>
          <w:color w:val="000000"/>
        </w:rPr>
        <w:t>(S)</w:t>
      </w:r>
    </w:p>
    <w:p w14:paraId="5E1C38C7" w14:textId="10DC662F" w:rsidR="00EF4750" w:rsidRPr="0053226E" w:rsidRDefault="00EF4750" w:rsidP="006030DD">
      <w:pPr>
        <w:ind w:left="5103"/>
      </w:pPr>
    </w:p>
    <w:p w14:paraId="2231A0A1" w14:textId="77777777" w:rsidR="006030DD" w:rsidRPr="0053226E" w:rsidRDefault="006030DD" w:rsidP="006030DD">
      <w:pPr>
        <w:jc w:val="right"/>
      </w:pPr>
    </w:p>
    <w:p w14:paraId="64EC14DB" w14:textId="77777777" w:rsidR="006030DD" w:rsidRPr="0053226E" w:rsidRDefault="008B4C96" w:rsidP="006030DD">
      <w:pPr>
        <w:jc w:val="center"/>
      </w:pPr>
      <w:r w:rsidRPr="0053226E">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53226E" w:rsidRDefault="006030DD" w:rsidP="006030DD">
      <w:pPr>
        <w:jc w:val="center"/>
      </w:pPr>
    </w:p>
    <w:p w14:paraId="393D0ACF" w14:textId="77777777" w:rsidR="006030DD" w:rsidRPr="0053226E" w:rsidRDefault="008B4C96" w:rsidP="006030DD">
      <w:pPr>
        <w:keepNext/>
        <w:jc w:val="center"/>
        <w:outlineLvl w:val="0"/>
        <w:rPr>
          <w:b/>
          <w:bCs/>
          <w:sz w:val="32"/>
        </w:rPr>
      </w:pPr>
      <w:r w:rsidRPr="0053226E">
        <w:rPr>
          <w:b/>
          <w:bCs/>
          <w:sz w:val="32"/>
        </w:rPr>
        <w:t>LIETUVOS AUKŠČIAUSIASIS TEISMAS</w:t>
      </w:r>
    </w:p>
    <w:p w14:paraId="75D48070" w14:textId="77777777" w:rsidR="006030DD" w:rsidRPr="0053226E" w:rsidRDefault="006030DD" w:rsidP="006030DD">
      <w:pPr>
        <w:keepNext/>
        <w:outlineLvl w:val="0"/>
        <w:rPr>
          <w:b/>
          <w:bCs/>
          <w:sz w:val="32"/>
        </w:rPr>
      </w:pPr>
    </w:p>
    <w:p w14:paraId="74502F56" w14:textId="77777777" w:rsidR="006030DD" w:rsidRPr="0053226E" w:rsidRDefault="008B4C96" w:rsidP="006030DD">
      <w:pPr>
        <w:keepNext/>
        <w:jc w:val="center"/>
        <w:outlineLvl w:val="0"/>
        <w:rPr>
          <w:b/>
          <w:bCs/>
          <w:sz w:val="32"/>
        </w:rPr>
      </w:pPr>
      <w:r w:rsidRPr="0053226E">
        <w:rPr>
          <w:b/>
          <w:bCs/>
          <w:sz w:val="32"/>
        </w:rPr>
        <w:t>N U T A R T I S</w:t>
      </w:r>
    </w:p>
    <w:p w14:paraId="4334F0C0" w14:textId="77777777" w:rsidR="006030DD" w:rsidRPr="0053226E" w:rsidRDefault="008B4C96" w:rsidP="006030DD">
      <w:pPr>
        <w:keepNext/>
        <w:jc w:val="center"/>
        <w:outlineLvl w:val="1"/>
        <w:rPr>
          <w:sz w:val="28"/>
        </w:rPr>
      </w:pPr>
      <w:r w:rsidRPr="0053226E">
        <w:t>LIETUVOS RESPUBLIKOS VARDU</w:t>
      </w:r>
    </w:p>
    <w:p w14:paraId="6104CEFD" w14:textId="77777777" w:rsidR="006030DD" w:rsidRPr="0053226E" w:rsidRDefault="006030DD" w:rsidP="006030DD"/>
    <w:p w14:paraId="1085A691" w14:textId="0038B6B9" w:rsidR="006030DD" w:rsidRPr="0053226E" w:rsidRDefault="008B4C96" w:rsidP="006030DD">
      <w:pPr>
        <w:keepNext/>
        <w:jc w:val="center"/>
        <w:outlineLvl w:val="0"/>
        <w:rPr>
          <w:bCs/>
        </w:rPr>
      </w:pPr>
      <w:r w:rsidRPr="0053226E">
        <w:rPr>
          <w:bCs/>
        </w:rPr>
        <w:t>202</w:t>
      </w:r>
      <w:r w:rsidR="00135393" w:rsidRPr="0053226E">
        <w:rPr>
          <w:bCs/>
        </w:rPr>
        <w:t>5</w:t>
      </w:r>
      <w:r w:rsidRPr="0053226E">
        <w:rPr>
          <w:bCs/>
        </w:rPr>
        <w:t xml:space="preserve"> m. </w:t>
      </w:r>
      <w:r w:rsidR="00864B48" w:rsidRPr="0053226E">
        <w:rPr>
          <w:bCs/>
        </w:rPr>
        <w:t>birželio 25 d.</w:t>
      </w:r>
    </w:p>
    <w:p w14:paraId="7253B64E" w14:textId="77777777" w:rsidR="006030DD" w:rsidRPr="0053226E" w:rsidRDefault="008B4C96" w:rsidP="006030DD">
      <w:pPr>
        <w:jc w:val="center"/>
      </w:pPr>
      <w:r w:rsidRPr="0053226E">
        <w:t>Vilnius</w:t>
      </w:r>
    </w:p>
    <w:p w14:paraId="1085BFEE" w14:textId="77777777" w:rsidR="006030DD" w:rsidRPr="0053226E" w:rsidRDefault="006030DD" w:rsidP="006030DD"/>
    <w:p w14:paraId="3F7D0DDF" w14:textId="3A2543E9" w:rsidR="0026171E" w:rsidRPr="0053226E" w:rsidRDefault="008B4C96" w:rsidP="0026171E">
      <w:pPr>
        <w:ind w:firstLine="720"/>
        <w:jc w:val="both"/>
      </w:pPr>
      <w:r w:rsidRPr="0053226E">
        <w:t>Lietuvos Aukščiausiojo Teismo Civilinių bylų skyriaus teisėjų kolegija, susidedanti iš teisėjų</w:t>
      </w:r>
      <w:bookmarkStart w:id="0" w:name="_Hlk62483056"/>
      <w:bookmarkStart w:id="1" w:name="_Hlk61948007"/>
      <w:r w:rsidR="00151779" w:rsidRPr="0053226E">
        <w:t xml:space="preserve"> </w:t>
      </w:r>
      <w:r w:rsidR="000C6089" w:rsidRPr="0053226E">
        <w:t xml:space="preserve">Sigitos </w:t>
      </w:r>
      <w:proofErr w:type="spellStart"/>
      <w:r w:rsidR="000C6089" w:rsidRPr="0053226E">
        <w:t>Rudėnaitės</w:t>
      </w:r>
      <w:proofErr w:type="spellEnd"/>
      <w:r w:rsidR="000C6089" w:rsidRPr="0053226E">
        <w:t xml:space="preserve"> (pranešėja), </w:t>
      </w:r>
      <w:r w:rsidR="007E3C1A" w:rsidRPr="0053226E">
        <w:t>A</w:t>
      </w:r>
      <w:r w:rsidR="000C6089" w:rsidRPr="0053226E">
        <w:t xml:space="preserve">ntano </w:t>
      </w:r>
      <w:proofErr w:type="spellStart"/>
      <w:r w:rsidR="000C6089" w:rsidRPr="0053226E">
        <w:t>Simniški</w:t>
      </w:r>
      <w:r w:rsidR="007E3C1A" w:rsidRPr="0053226E">
        <w:t>o</w:t>
      </w:r>
      <w:proofErr w:type="spellEnd"/>
      <w:r w:rsidR="007E3C1A" w:rsidRPr="0053226E">
        <w:t xml:space="preserve"> (kolegijos pirmininkas) ir</w:t>
      </w:r>
      <w:r w:rsidR="000C6089" w:rsidRPr="0053226E">
        <w:t xml:space="preserve"> Algirdo </w:t>
      </w:r>
      <w:proofErr w:type="spellStart"/>
      <w:r w:rsidR="000C6089" w:rsidRPr="0053226E">
        <w:t>Taminsko</w:t>
      </w:r>
      <w:proofErr w:type="spellEnd"/>
      <w:r w:rsidR="007E3C1A" w:rsidRPr="0053226E">
        <w:t>,</w:t>
      </w:r>
    </w:p>
    <w:bookmarkEnd w:id="0"/>
    <w:bookmarkEnd w:id="1"/>
    <w:p w14:paraId="63B2F08B" w14:textId="522052CA" w:rsidR="006030DD" w:rsidRPr="0053226E" w:rsidRDefault="008B4C96" w:rsidP="001A1E2B">
      <w:pPr>
        <w:ind w:firstLine="709"/>
        <w:jc w:val="both"/>
      </w:pPr>
      <w:r w:rsidRPr="0053226E">
        <w:t xml:space="preserve">teismo posėdyje kasacine rašytinio proceso tvarka išnagrinėjo civilinę bylą </w:t>
      </w:r>
      <w:r w:rsidR="00931EC0" w:rsidRPr="0053226E">
        <w:t xml:space="preserve">pagal </w:t>
      </w:r>
      <w:r w:rsidR="0052030E" w:rsidRPr="0052030E">
        <w:rPr>
          <w:b/>
          <w:bCs/>
        </w:rPr>
        <w:t>atsakovės UAB „</w:t>
      </w:r>
      <w:proofErr w:type="spellStart"/>
      <w:r w:rsidR="0052030E" w:rsidRPr="0052030E">
        <w:rPr>
          <w:b/>
          <w:bCs/>
        </w:rPr>
        <w:t>Lex</w:t>
      </w:r>
      <w:proofErr w:type="spellEnd"/>
      <w:r w:rsidR="0052030E" w:rsidRPr="0052030E">
        <w:rPr>
          <w:b/>
          <w:bCs/>
        </w:rPr>
        <w:t xml:space="preserve"> ano“</w:t>
      </w:r>
      <w:r w:rsidR="0052030E" w:rsidRPr="0052030E">
        <w:t xml:space="preserve"> </w:t>
      </w:r>
      <w:r w:rsidR="007E3C1A" w:rsidRPr="0053226E">
        <w:t xml:space="preserve">kasacinį skundą dėl Lietuvos apeliacinio teismo Civilinių bylų skyriaus teisėjų kolegijos </w:t>
      </w:r>
      <w:r w:rsidR="003948D0" w:rsidRPr="0053226E">
        <w:t>2025 m. vasario 6 d.</w:t>
      </w:r>
      <w:r w:rsidR="007E3C1A" w:rsidRPr="0053226E">
        <w:t xml:space="preserve"> nutarties peržiūrėjimo</w:t>
      </w:r>
      <w:r w:rsidR="007E3C1A" w:rsidRPr="0053226E">
        <w:rPr>
          <w:b/>
          <w:bCs/>
        </w:rPr>
        <w:t xml:space="preserve"> </w:t>
      </w:r>
      <w:r w:rsidR="00C06200" w:rsidRPr="0053226E">
        <w:t xml:space="preserve">civilinėje byloje pagal </w:t>
      </w:r>
      <w:r w:rsidR="003948D0" w:rsidRPr="0053226E">
        <w:rPr>
          <w:kern w:val="3"/>
        </w:rPr>
        <w:t>ieškovės Vokietijos įmonės „</w:t>
      </w:r>
      <w:proofErr w:type="spellStart"/>
      <w:r w:rsidR="003948D0" w:rsidRPr="0053226E">
        <w:rPr>
          <w:kern w:val="3"/>
        </w:rPr>
        <w:t>Berlin-Chemie</w:t>
      </w:r>
      <w:proofErr w:type="spellEnd"/>
      <w:r w:rsidR="003948D0" w:rsidRPr="0053226E">
        <w:rPr>
          <w:kern w:val="3"/>
        </w:rPr>
        <w:t xml:space="preserve"> AG“ ieškinį atsakovei uždarajai akcinei bendrovei ,,</w:t>
      </w:r>
      <w:proofErr w:type="spellStart"/>
      <w:r w:rsidR="003948D0" w:rsidRPr="0053226E">
        <w:rPr>
          <w:kern w:val="3"/>
        </w:rPr>
        <w:t>Lex</w:t>
      </w:r>
      <w:proofErr w:type="spellEnd"/>
      <w:r w:rsidR="003948D0" w:rsidRPr="0053226E">
        <w:rPr>
          <w:kern w:val="3"/>
        </w:rPr>
        <w:t xml:space="preserve"> ano“ dėl prekių ženklo savininko teises pažeidžiančių veiksmų nutraukimo, prekių išėmimo iš apyvartos ir turtinės žalos atlyginimo, išvadą teikianti institucija Valstybinė ligonių kasa prie Lietuvos Respublikos sveikatos apsaugos ministerijos</w:t>
      </w:r>
      <w:r w:rsidR="00D43AE9" w:rsidRPr="0053226E">
        <w:rPr>
          <w:kern w:val="3"/>
        </w:rPr>
        <w:t>.</w:t>
      </w:r>
    </w:p>
    <w:p w14:paraId="62C2FCE7" w14:textId="77777777" w:rsidR="006030DD" w:rsidRPr="0053226E" w:rsidRDefault="006030DD" w:rsidP="006030DD">
      <w:pPr>
        <w:ind w:firstLine="720"/>
        <w:jc w:val="both"/>
      </w:pPr>
    </w:p>
    <w:p w14:paraId="6D6D2626" w14:textId="77777777" w:rsidR="006030DD" w:rsidRPr="0053226E" w:rsidRDefault="008B4C96" w:rsidP="006030DD">
      <w:pPr>
        <w:ind w:firstLine="720"/>
        <w:jc w:val="both"/>
        <w:rPr>
          <w:b/>
          <w:bCs/>
        </w:rPr>
      </w:pPr>
      <w:r w:rsidRPr="0053226E">
        <w:t xml:space="preserve">Teisėjų kolegija </w:t>
      </w:r>
    </w:p>
    <w:p w14:paraId="0F5D5FCB" w14:textId="77777777" w:rsidR="006030DD" w:rsidRPr="0053226E" w:rsidRDefault="006030DD" w:rsidP="006030DD">
      <w:pPr>
        <w:ind w:firstLine="720"/>
        <w:jc w:val="both"/>
        <w:rPr>
          <w:b/>
          <w:bCs/>
        </w:rPr>
      </w:pPr>
    </w:p>
    <w:p w14:paraId="0C309616" w14:textId="77777777" w:rsidR="006030DD" w:rsidRPr="0053226E" w:rsidRDefault="008B4C96" w:rsidP="006030DD">
      <w:pPr>
        <w:jc w:val="both"/>
      </w:pPr>
      <w:r w:rsidRPr="0053226E">
        <w:t>n u s t a t ė :</w:t>
      </w:r>
    </w:p>
    <w:p w14:paraId="3EFA8B54" w14:textId="77777777" w:rsidR="006030DD" w:rsidRPr="0053226E" w:rsidRDefault="006030DD" w:rsidP="00A71E29">
      <w:pPr>
        <w:spacing w:after="120"/>
        <w:ind w:left="726" w:hanging="6"/>
        <w:jc w:val="both"/>
      </w:pPr>
    </w:p>
    <w:p w14:paraId="2CBFFE58" w14:textId="77777777" w:rsidR="006030DD" w:rsidRPr="0053226E" w:rsidRDefault="008B4C96" w:rsidP="00A71E29">
      <w:pPr>
        <w:spacing w:after="120"/>
        <w:jc w:val="center"/>
      </w:pPr>
      <w:r w:rsidRPr="0053226E">
        <w:t>I. Ginčo esmė</w:t>
      </w:r>
    </w:p>
    <w:p w14:paraId="20958F00" w14:textId="77777777" w:rsidR="006030DD" w:rsidRPr="0053226E" w:rsidRDefault="006030DD" w:rsidP="00A71E29">
      <w:pPr>
        <w:pStyle w:val="ListParagraph"/>
        <w:spacing w:after="120" w:line="240" w:lineRule="auto"/>
        <w:ind w:left="357"/>
        <w:contextualSpacing w:val="0"/>
        <w:jc w:val="both"/>
        <w:rPr>
          <w:rFonts w:ascii="Times New Roman" w:hAnsi="Times New Roman"/>
          <w:sz w:val="24"/>
          <w:szCs w:val="24"/>
        </w:rPr>
      </w:pPr>
    </w:p>
    <w:p w14:paraId="102D60AE"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eastAsiaTheme="minorHAnsi" w:hAnsi="Times New Roman"/>
          <w:sz w:val="24"/>
          <w:szCs w:val="24"/>
          <w:lang w:eastAsia="en-US"/>
        </w:rPr>
      </w:pPr>
      <w:r w:rsidRPr="0053226E">
        <w:rPr>
          <w:rFonts w:ascii="Times New Roman" w:hAnsi="Times New Roman"/>
          <w:sz w:val="24"/>
          <w:szCs w:val="24"/>
          <w:lang w:eastAsia="en-GB"/>
        </w:rPr>
        <w:t>Kasacinėje byloje sprendžiama dėl būtinybės lygiagrečiam importuotojui perpakuoti tą patį vaistinį preparatą, kuriuo prekių ženklo savininkas importo valstybėje prekiauja kitu pavadinimu, nustatymo vertinant, ar prekių ženklo savininko prieštaravimas tokiam perpakavimui prisideda prie dirbtinio valstybių narių rinkų atskyrimo.</w:t>
      </w:r>
    </w:p>
    <w:p w14:paraId="37E2A916"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eastAsiaTheme="minorHAnsi" w:hAnsi="Times New Roman"/>
          <w:sz w:val="24"/>
          <w:szCs w:val="24"/>
          <w:lang w:eastAsia="en-US"/>
        </w:rPr>
      </w:pPr>
      <w:r w:rsidRPr="0053226E">
        <w:rPr>
          <w:rFonts w:ascii="Times New Roman" w:hAnsi="Times New Roman"/>
          <w:sz w:val="24"/>
          <w:szCs w:val="24"/>
          <w:lang w:eastAsia="en-GB"/>
        </w:rPr>
        <w:t>Ieškovė prašė:</w:t>
      </w:r>
    </w:p>
    <w:p w14:paraId="0D7D7B79"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eastAsiaTheme="minorHAnsi" w:hAnsi="Times New Roman"/>
          <w:sz w:val="24"/>
          <w:szCs w:val="24"/>
          <w:lang w:eastAsia="en-US"/>
        </w:rPr>
      </w:pPr>
      <w:r w:rsidRPr="0053226E">
        <w:rPr>
          <w:rFonts w:asciiTheme="majorBidi" w:hAnsiTheme="majorBidi" w:cstheme="majorBidi"/>
          <w:sz w:val="24"/>
          <w:szCs w:val="24"/>
          <w:lang w:eastAsia="en-GB"/>
        </w:rPr>
        <w:t>įpareigoti atsakovę nutraukti neteisėtus veiksmus, pažeidžiančius ieškovės išimtines teises į prekių ženklus, t. y. prekybą Lietuvoje iš Vengrijos lygiagrečiai importuojamais vaistiniais preparatais „L-</w:t>
      </w:r>
      <w:proofErr w:type="spellStart"/>
      <w:r w:rsidRPr="0053226E">
        <w:rPr>
          <w:rFonts w:asciiTheme="majorBidi" w:hAnsiTheme="majorBidi" w:cstheme="majorBidi"/>
          <w:sz w:val="24"/>
          <w:szCs w:val="24"/>
          <w:lang w:eastAsia="en-GB"/>
        </w:rPr>
        <w:t>Thyroxin</w:t>
      </w:r>
      <w:proofErr w:type="spellEnd"/>
      <w:r w:rsidRPr="0053226E">
        <w:rPr>
          <w:rFonts w:asciiTheme="majorBidi" w:hAnsiTheme="majorBidi" w:cstheme="majorBidi"/>
          <w:sz w:val="24"/>
          <w:szCs w:val="24"/>
          <w:lang w:eastAsia="en-GB"/>
        </w:rPr>
        <w:t xml:space="preserve"> </w:t>
      </w:r>
      <w:proofErr w:type="spellStart"/>
      <w:r w:rsidRPr="0053226E">
        <w:rPr>
          <w:rFonts w:asciiTheme="majorBidi" w:hAnsiTheme="majorBidi" w:cstheme="majorBidi"/>
          <w:sz w:val="24"/>
          <w:szCs w:val="24"/>
          <w:lang w:eastAsia="en-GB"/>
        </w:rPr>
        <w:t>Berlin-Chemie</w:t>
      </w:r>
      <w:proofErr w:type="spellEnd"/>
      <w:r w:rsidRPr="0053226E">
        <w:rPr>
          <w:rFonts w:asciiTheme="majorBidi" w:hAnsiTheme="majorBidi" w:cstheme="majorBidi"/>
          <w:sz w:val="24"/>
          <w:szCs w:val="24"/>
          <w:lang w:eastAsia="en-GB"/>
        </w:rPr>
        <w:t xml:space="preserve"> 50 µg N100“, „L-</w:t>
      </w:r>
      <w:proofErr w:type="spellStart"/>
      <w:r w:rsidRPr="0053226E">
        <w:rPr>
          <w:rFonts w:asciiTheme="majorBidi" w:hAnsiTheme="majorBidi" w:cstheme="majorBidi"/>
          <w:sz w:val="24"/>
          <w:szCs w:val="24"/>
          <w:lang w:eastAsia="en-GB"/>
        </w:rPr>
        <w:t>Thyroxin</w:t>
      </w:r>
      <w:proofErr w:type="spellEnd"/>
      <w:r w:rsidRPr="0053226E">
        <w:rPr>
          <w:rFonts w:asciiTheme="majorBidi" w:hAnsiTheme="majorBidi" w:cstheme="majorBidi"/>
          <w:sz w:val="24"/>
          <w:szCs w:val="24"/>
          <w:lang w:eastAsia="en-GB"/>
        </w:rPr>
        <w:t xml:space="preserve"> </w:t>
      </w:r>
      <w:proofErr w:type="spellStart"/>
      <w:r w:rsidRPr="0053226E">
        <w:rPr>
          <w:rFonts w:asciiTheme="majorBidi" w:hAnsiTheme="majorBidi" w:cstheme="majorBidi"/>
          <w:sz w:val="24"/>
          <w:szCs w:val="24"/>
          <w:lang w:eastAsia="en-GB"/>
        </w:rPr>
        <w:t>Berlin-Chemie</w:t>
      </w:r>
      <w:proofErr w:type="spellEnd"/>
      <w:r w:rsidRPr="0053226E">
        <w:rPr>
          <w:rFonts w:asciiTheme="majorBidi" w:hAnsiTheme="majorBidi" w:cstheme="majorBidi"/>
          <w:sz w:val="24"/>
          <w:szCs w:val="24"/>
          <w:lang w:eastAsia="en-GB"/>
        </w:rPr>
        <w:t xml:space="preserve"> 75 µg N100“, „L-</w:t>
      </w:r>
      <w:proofErr w:type="spellStart"/>
      <w:r w:rsidRPr="0053226E">
        <w:rPr>
          <w:rFonts w:asciiTheme="majorBidi" w:hAnsiTheme="majorBidi" w:cstheme="majorBidi"/>
          <w:sz w:val="24"/>
          <w:szCs w:val="24"/>
          <w:lang w:eastAsia="en-GB"/>
        </w:rPr>
        <w:t>Thyroxin</w:t>
      </w:r>
      <w:proofErr w:type="spellEnd"/>
      <w:r w:rsidRPr="0053226E">
        <w:rPr>
          <w:rFonts w:asciiTheme="majorBidi" w:hAnsiTheme="majorBidi" w:cstheme="majorBidi"/>
          <w:sz w:val="24"/>
          <w:szCs w:val="24"/>
          <w:lang w:eastAsia="en-GB"/>
        </w:rPr>
        <w:t xml:space="preserve"> </w:t>
      </w:r>
      <w:proofErr w:type="spellStart"/>
      <w:r w:rsidRPr="0053226E">
        <w:rPr>
          <w:rFonts w:asciiTheme="majorBidi" w:hAnsiTheme="majorBidi" w:cstheme="majorBidi"/>
          <w:sz w:val="24"/>
          <w:szCs w:val="24"/>
          <w:lang w:eastAsia="en-GB"/>
        </w:rPr>
        <w:t>Berlin-Chemie</w:t>
      </w:r>
      <w:proofErr w:type="spellEnd"/>
      <w:r w:rsidRPr="0053226E">
        <w:rPr>
          <w:rFonts w:asciiTheme="majorBidi" w:hAnsiTheme="majorBidi" w:cstheme="majorBidi"/>
          <w:sz w:val="24"/>
          <w:szCs w:val="24"/>
          <w:lang w:eastAsia="en-GB"/>
        </w:rPr>
        <w:t xml:space="preserve"> 100 µg N100“, „L-</w:t>
      </w:r>
      <w:proofErr w:type="spellStart"/>
      <w:r w:rsidRPr="0053226E">
        <w:rPr>
          <w:rFonts w:asciiTheme="majorBidi" w:hAnsiTheme="majorBidi" w:cstheme="majorBidi"/>
          <w:sz w:val="24"/>
          <w:szCs w:val="24"/>
          <w:lang w:eastAsia="en-GB"/>
        </w:rPr>
        <w:t>Thyroxin</w:t>
      </w:r>
      <w:proofErr w:type="spellEnd"/>
      <w:r w:rsidRPr="0053226E">
        <w:rPr>
          <w:rFonts w:asciiTheme="majorBidi" w:hAnsiTheme="majorBidi" w:cstheme="majorBidi"/>
          <w:sz w:val="24"/>
          <w:szCs w:val="24"/>
          <w:lang w:eastAsia="en-GB"/>
        </w:rPr>
        <w:t xml:space="preserve"> </w:t>
      </w:r>
      <w:proofErr w:type="spellStart"/>
      <w:r w:rsidRPr="0053226E">
        <w:rPr>
          <w:rFonts w:asciiTheme="majorBidi" w:hAnsiTheme="majorBidi" w:cstheme="majorBidi"/>
          <w:sz w:val="24"/>
          <w:szCs w:val="24"/>
          <w:lang w:eastAsia="en-GB"/>
        </w:rPr>
        <w:t>Berlin-Chemie</w:t>
      </w:r>
      <w:proofErr w:type="spellEnd"/>
      <w:r w:rsidRPr="0053226E">
        <w:rPr>
          <w:rFonts w:asciiTheme="majorBidi" w:hAnsiTheme="majorBidi" w:cstheme="majorBidi"/>
          <w:sz w:val="24"/>
          <w:szCs w:val="24"/>
          <w:lang w:eastAsia="en-GB"/>
        </w:rPr>
        <w:t xml:space="preserve"> 125 µg N100“ (lygiagrečiai importuojamų vaistų registracijos Nr. LT/L/20/1227/001, Nr. LT/l/21/1480/003, Nr. LT/L/20/1365/001 ir Nr. LT/L/20/1462/001), ir uždrausti atlikti šiuos veiksmus ateityje;</w:t>
      </w:r>
    </w:p>
    <w:p w14:paraId="21F69991" w14:textId="77777777" w:rsidR="00FF0008" w:rsidRPr="0053226E" w:rsidRDefault="00FF0008" w:rsidP="00FF0008">
      <w:pPr>
        <w:pStyle w:val="ListParagraph"/>
        <w:numPr>
          <w:ilvl w:val="1"/>
          <w:numId w:val="1"/>
        </w:numPr>
        <w:tabs>
          <w:tab w:val="left" w:pos="709"/>
          <w:tab w:val="left" w:pos="851"/>
        </w:tabs>
        <w:spacing w:after="120" w:line="240" w:lineRule="auto"/>
        <w:contextualSpacing w:val="0"/>
        <w:jc w:val="both"/>
        <w:rPr>
          <w:rFonts w:ascii="Times New Roman" w:eastAsiaTheme="minorHAnsi" w:hAnsi="Times New Roman"/>
          <w:sz w:val="24"/>
          <w:szCs w:val="24"/>
          <w:lang w:eastAsia="en-US"/>
        </w:rPr>
      </w:pPr>
      <w:r w:rsidRPr="0053226E">
        <w:rPr>
          <w:rFonts w:asciiTheme="majorBidi" w:hAnsiTheme="majorBidi" w:cstheme="majorBidi"/>
          <w:sz w:val="24"/>
          <w:szCs w:val="24"/>
          <w:lang w:eastAsia="en-GB"/>
        </w:rPr>
        <w:lastRenderedPageBreak/>
        <w:t>įpareigoti atsakovę išimti iš apyvartos ieškovės išimtines teises į prekių ženklus pažeidžiančias prekes, t. y. pirmiau nurodytus atsakovės iš Vengrijos į Lietuvą lygiagrečiai importuojamus vaistinius preparatus;</w:t>
      </w:r>
    </w:p>
    <w:p w14:paraId="0C6E0388" w14:textId="77777777" w:rsidR="00FF0008" w:rsidRPr="0053226E" w:rsidRDefault="00FF0008" w:rsidP="00FF0008">
      <w:pPr>
        <w:pStyle w:val="ListParagraph"/>
        <w:numPr>
          <w:ilvl w:val="1"/>
          <w:numId w:val="1"/>
        </w:numPr>
        <w:tabs>
          <w:tab w:val="left" w:pos="709"/>
          <w:tab w:val="left" w:pos="851"/>
        </w:tabs>
        <w:spacing w:after="120" w:line="240" w:lineRule="auto"/>
        <w:contextualSpacing w:val="0"/>
        <w:jc w:val="both"/>
        <w:rPr>
          <w:rFonts w:ascii="Times New Roman" w:eastAsiaTheme="minorHAnsi" w:hAnsi="Times New Roman"/>
          <w:sz w:val="24"/>
          <w:szCs w:val="24"/>
          <w:lang w:eastAsia="en-US"/>
        </w:rPr>
      </w:pPr>
      <w:r w:rsidRPr="0053226E">
        <w:rPr>
          <w:rFonts w:asciiTheme="majorBidi" w:hAnsiTheme="majorBidi" w:cstheme="majorBidi"/>
          <w:sz w:val="24"/>
          <w:szCs w:val="24"/>
          <w:lang w:eastAsia="en-GB"/>
        </w:rPr>
        <w:t>priteisti iš atsakovės atlyginti visus ieškovės nuostolius, atsiradusius dėl atsakovės neteisėtos prekybos Lietuvoje pirmiau nurodytais lygiagrečiai importuojamais vaistiniais preparatais, kurie sudaro 124 650 Eur;</w:t>
      </w:r>
    </w:p>
    <w:p w14:paraId="738A2031" w14:textId="77777777" w:rsidR="00FF0008" w:rsidRPr="0053226E" w:rsidRDefault="00FF0008" w:rsidP="00FF0008">
      <w:pPr>
        <w:pStyle w:val="ListParagraph"/>
        <w:numPr>
          <w:ilvl w:val="1"/>
          <w:numId w:val="1"/>
        </w:numPr>
        <w:tabs>
          <w:tab w:val="left" w:pos="709"/>
          <w:tab w:val="left" w:pos="851"/>
        </w:tabs>
        <w:spacing w:after="120" w:line="240" w:lineRule="auto"/>
        <w:contextualSpacing w:val="0"/>
        <w:jc w:val="both"/>
        <w:rPr>
          <w:rFonts w:ascii="Times New Roman" w:eastAsiaTheme="minorHAnsi" w:hAnsi="Times New Roman"/>
          <w:sz w:val="24"/>
          <w:szCs w:val="24"/>
          <w:lang w:eastAsia="en-US"/>
        </w:rPr>
      </w:pPr>
      <w:r w:rsidRPr="0053226E">
        <w:rPr>
          <w:rFonts w:asciiTheme="majorBidi" w:hAnsiTheme="majorBidi" w:cstheme="majorBidi"/>
          <w:sz w:val="24"/>
          <w:szCs w:val="24"/>
          <w:lang w:eastAsia="en-GB"/>
        </w:rPr>
        <w:t>priteisti 6 proc. dydžio metines palūkanas už priteistą sumą nuo bylos iškėlimo teisme dienos iki teismo sprendimo visiško įvykdymo;</w:t>
      </w:r>
    </w:p>
    <w:p w14:paraId="1501E2F4" w14:textId="77777777" w:rsidR="00FF0008" w:rsidRPr="0053226E" w:rsidRDefault="00FF0008" w:rsidP="00FF0008">
      <w:pPr>
        <w:pStyle w:val="ListParagraph"/>
        <w:numPr>
          <w:ilvl w:val="1"/>
          <w:numId w:val="1"/>
        </w:numPr>
        <w:tabs>
          <w:tab w:val="left" w:pos="709"/>
          <w:tab w:val="left" w:pos="851"/>
        </w:tabs>
        <w:spacing w:after="120" w:line="240" w:lineRule="auto"/>
        <w:contextualSpacing w:val="0"/>
        <w:jc w:val="both"/>
        <w:rPr>
          <w:rFonts w:ascii="Times New Roman" w:eastAsiaTheme="minorHAnsi" w:hAnsi="Times New Roman"/>
          <w:sz w:val="24"/>
          <w:szCs w:val="24"/>
          <w:lang w:eastAsia="en-US"/>
        </w:rPr>
      </w:pPr>
      <w:r w:rsidRPr="0053226E">
        <w:rPr>
          <w:rFonts w:asciiTheme="majorBidi" w:hAnsiTheme="majorBidi" w:cstheme="majorBidi"/>
          <w:sz w:val="24"/>
          <w:szCs w:val="24"/>
          <w:lang w:eastAsia="en-GB"/>
        </w:rPr>
        <w:t>priteisti bylinėjimosi išlaidų atlyginimą.</w:t>
      </w:r>
    </w:p>
    <w:p w14:paraId="046C5488"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Ieškovė nurodė, kad ji gamina ir Rytų Europoje platina vaistinius preparatus su veikliąja medžiaga </w:t>
      </w:r>
      <w:proofErr w:type="spellStart"/>
      <w:r w:rsidRPr="0053226E">
        <w:rPr>
          <w:rFonts w:ascii="Times New Roman" w:hAnsi="Times New Roman"/>
          <w:sz w:val="24"/>
          <w:szCs w:val="24"/>
          <w:lang w:eastAsia="en-GB"/>
        </w:rPr>
        <w:t>levotiroksino</w:t>
      </w:r>
      <w:proofErr w:type="spellEnd"/>
      <w:r w:rsidRPr="0053226E">
        <w:rPr>
          <w:rFonts w:ascii="Times New Roman" w:hAnsi="Times New Roman"/>
          <w:sz w:val="24"/>
          <w:szCs w:val="24"/>
          <w:lang w:eastAsia="en-GB"/>
        </w:rPr>
        <w:t xml:space="preserve"> natrio druska, šie preparatai skirtingose Rytų Europos valstybėse yra registruojami ir platinami skirtingais pavadinimais, pavyzdžiui, Lietuvoje –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o Vengrijoje –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Tiek pavadinimas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tiek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ieškovės yra užregistruotas kaip prekių ženklas 5 prekių klasei (farmaciniai preparatai, vaistai).</w:t>
      </w:r>
    </w:p>
    <w:p w14:paraId="4AF38720"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Ieškovės teigimu, atsakovė informavo ieškovę apie ketinimą lygiagrečiai importuoti iš Vengrijos į Lietuvą vaistinius preparatus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nauju pavadinimu – kaip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pateikė ieškovei dalies jų sukurtas naujas išorines pakuotes, pakuotės lapelio ir lizdinės pakuotės pavyzdžius. Ieškovė pažymėjo, kad nors pavadinimas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ir nėra registruotas kaip prekių ženklas, nes žodis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yra hormono </w:t>
      </w:r>
      <w:proofErr w:type="spellStart"/>
      <w:r w:rsidRPr="0053226E">
        <w:rPr>
          <w:rFonts w:ascii="Times New Roman" w:hAnsi="Times New Roman"/>
          <w:sz w:val="24"/>
          <w:szCs w:val="24"/>
          <w:lang w:eastAsia="en-GB"/>
        </w:rPr>
        <w:t>levotiroksino</w:t>
      </w:r>
      <w:proofErr w:type="spellEnd"/>
      <w:r w:rsidRPr="0053226E">
        <w:rPr>
          <w:rFonts w:ascii="Times New Roman" w:hAnsi="Times New Roman"/>
          <w:sz w:val="24"/>
          <w:szCs w:val="24"/>
          <w:lang w:eastAsia="en-GB"/>
        </w:rPr>
        <w:t xml:space="preserve"> trumpinys vokiečių kalba, tačiau žodžių junginys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yra užregistruotas kaip ieškovės prekių ženklas.</w:t>
      </w:r>
    </w:p>
    <w:p w14:paraId="7B93A66C"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Ieškovė atsakovei pranešė, kad ji prieštarauja iš Vengrijos importuojamų vaistų pervadinimui ir nesutinka, kad šie vaistai būtų pervadinti, perpakuoti į naujas pakuotes bei pardavinėjami Lietuvos rinkoje naujuoju pavadinimu, nes atsakovė nepagrindė būtinumo pervadinti ir perpakuoti šiuos vaistinius preparatus. Ieškovės nuomone, nėra jokių duomenų, kad nepervadintas šis vaistinis preparatas, t. y. jei būtų paliktas jo pavadinimas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naudojamas Vengrijos rinkoje, būtų atpažintas gydytojų, vaistininkų ar vartotojų. Kadangi atsakovė ieškovės prieštaravimų nepaisė ir pradėjo pervadintų vaistų prekybą Lietuvoje, ieškovė prašo įpareigoti atsakovę šiuos neteisėtus veiksmus nutraukti, išimti pervadintus vaistinius preparatus iš prekybos. Taip pat ieškovė prašo priteisti jai iš atsakovės nuostolių atlyginimą, t. y. atsakovės nuo 2021 metų pradžios gautą naudą, pardavus ginčo vaistinius preparatus.</w:t>
      </w:r>
    </w:p>
    <w:p w14:paraId="6A64683B" w14:textId="77777777" w:rsidR="00FF0008" w:rsidRPr="0053226E" w:rsidRDefault="00FF0008" w:rsidP="00FF0008">
      <w:pPr>
        <w:tabs>
          <w:tab w:val="left" w:pos="709"/>
          <w:tab w:val="left" w:pos="851"/>
        </w:tabs>
        <w:snapToGrid w:val="0"/>
        <w:spacing w:after="120"/>
        <w:jc w:val="both"/>
      </w:pPr>
    </w:p>
    <w:p w14:paraId="28FF87F6" w14:textId="77777777" w:rsidR="00FF0008" w:rsidRPr="0053226E" w:rsidRDefault="00FF0008" w:rsidP="00FF0008">
      <w:pPr>
        <w:spacing w:after="120"/>
        <w:jc w:val="center"/>
      </w:pPr>
      <w:r w:rsidRPr="0053226E">
        <w:t>II. Byloje priimtų teismų procesinių sprendimų esmė</w:t>
      </w:r>
    </w:p>
    <w:p w14:paraId="6E0FAAC0" w14:textId="77777777" w:rsidR="00FF0008" w:rsidRPr="0053226E" w:rsidRDefault="00FF0008" w:rsidP="00FF0008">
      <w:pPr>
        <w:pStyle w:val="ListParagraph"/>
        <w:spacing w:after="120" w:line="240" w:lineRule="auto"/>
        <w:ind w:left="0" w:firstLine="720"/>
        <w:contextualSpacing w:val="0"/>
        <w:jc w:val="both"/>
        <w:rPr>
          <w:rFonts w:ascii="Times New Roman" w:hAnsi="Times New Roman"/>
          <w:sz w:val="24"/>
          <w:szCs w:val="24"/>
        </w:rPr>
      </w:pPr>
    </w:p>
    <w:p w14:paraId="6A168567"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Vilniaus</w:t>
      </w:r>
      <w:r w:rsidRPr="0053226E">
        <w:rPr>
          <w:rFonts w:ascii="Times New Roman" w:hAnsi="Times New Roman"/>
          <w:color w:val="000000"/>
          <w:sz w:val="24"/>
          <w:szCs w:val="24"/>
        </w:rPr>
        <w:t xml:space="preserve"> apygardos teismas 2022 m. gegužės 23 d. sprendimu ieškinį atmetė.</w:t>
      </w:r>
    </w:p>
    <w:p w14:paraId="7D08B1C8" w14:textId="43E98216"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Teismas pripažino, kad atsakovė įrodė, jog egzistavo objektyvus būtinumas perpakuoti ir pervadinti lygiagrečiai importuojamus vaistinius preparatus, nes priešingu atveju atsakovė nebūtų turėjusi realių galimybių patekti į Lietuvos rinką su vaistiniu preparatu, kurio pavadinimas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tokiu būdu nebūtų buvę galimybės vykdyti veiksmingą lygiagretaus vaistinio preparato importą.</w:t>
      </w:r>
    </w:p>
    <w:p w14:paraId="51993F0A" w14:textId="60A5EA21"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Lietuvos apeliacinio teismo Civilinių bylų skyriaus teisėjų kolegija 2022</w:t>
      </w:r>
      <w:r w:rsidR="00F72065" w:rsidRPr="0053226E">
        <w:rPr>
          <w:rFonts w:ascii="Times New Roman" w:hAnsi="Times New Roman"/>
          <w:sz w:val="24"/>
          <w:szCs w:val="24"/>
          <w:lang w:eastAsia="en-GB"/>
        </w:rPr>
        <w:t> </w:t>
      </w:r>
      <w:r w:rsidRPr="0053226E">
        <w:rPr>
          <w:rFonts w:ascii="Times New Roman" w:hAnsi="Times New Roman"/>
          <w:sz w:val="24"/>
          <w:szCs w:val="24"/>
          <w:lang w:eastAsia="en-GB"/>
        </w:rPr>
        <w:t>m. gruodžio 14</w:t>
      </w:r>
      <w:r w:rsidR="00F72065" w:rsidRPr="0053226E">
        <w:rPr>
          <w:rFonts w:ascii="Times New Roman" w:hAnsi="Times New Roman"/>
          <w:sz w:val="24"/>
          <w:szCs w:val="24"/>
          <w:lang w:eastAsia="en-GB"/>
        </w:rPr>
        <w:t> </w:t>
      </w:r>
      <w:r w:rsidRPr="0053226E">
        <w:rPr>
          <w:rFonts w:ascii="Times New Roman" w:hAnsi="Times New Roman"/>
          <w:sz w:val="24"/>
          <w:szCs w:val="24"/>
          <w:lang w:eastAsia="en-GB"/>
        </w:rPr>
        <w:t>d. sprendimu panaikino pirmosios instancijos teismo sprendimo dalį, kuria ieškinio reikalavimai dėl prekių ženklo savininko teises pažeidžiančių veiksmų nutraukimo ir prekių išėmimo iš apyvartos buvo atmesti, ir dėl šios dalies priėmė naują sprendimą – ieškinį patenkino iš dalies, sprendimo dalį dėl žalos atlyginimo panaikino ir perdavė šią bylos dalį nagrinėti iš naujo pirmosios instancijos teismui.</w:t>
      </w:r>
    </w:p>
    <w:p w14:paraId="7F14465C"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heme="majorBidi" w:hAnsiTheme="majorBidi" w:cstheme="majorBidi"/>
          <w:sz w:val="24"/>
          <w:szCs w:val="24"/>
          <w:lang w:eastAsia="en-GB"/>
        </w:rPr>
        <w:lastRenderedPageBreak/>
        <w:t>Kolegija sutiko su ieškove, kad atsakovė neįvykdė jai tenkančios pareigos įrodyti, jog buvo būtina perpakuoti ginčo objektu tapusius vaistinius preparatus.</w:t>
      </w:r>
      <w:r w:rsidRPr="0053226E">
        <w:t xml:space="preserve"> </w:t>
      </w:r>
      <w:r w:rsidRPr="0053226E">
        <w:rPr>
          <w:rFonts w:asciiTheme="majorBidi" w:hAnsiTheme="majorBidi" w:cstheme="majorBidi"/>
          <w:sz w:val="24"/>
          <w:szCs w:val="24"/>
          <w:lang w:eastAsia="en-GB"/>
        </w:rPr>
        <w:t>Kolegija nusprendė, kad atsakovė neįrodė, jog prekyba originalia, Vengrijoje naudojama pakuote, jos neperpakavus ir nepakeitus pavadinimo, Lietuvoje būtų negalima (neįmanoma).</w:t>
      </w:r>
      <w:r w:rsidRPr="0053226E">
        <w:t xml:space="preserve"> </w:t>
      </w:r>
      <w:r w:rsidRPr="0053226E">
        <w:rPr>
          <w:rFonts w:asciiTheme="majorBidi" w:hAnsiTheme="majorBidi" w:cstheme="majorBidi"/>
          <w:sz w:val="24"/>
          <w:szCs w:val="24"/>
          <w:lang w:eastAsia="en-GB"/>
        </w:rPr>
        <w:t>Atsakovės veiksmai, kai ji už tą pačią kaip ieškovė kainą nusprendė platinti vaistinius preparatus, kolegijos vertinimu, gali būti priežastis, dėl kurios jos patekimas į rinką būtų ne toks veiksmingas, kokio ji norėtų ir siektų. Kolegija tokius atsakovės veiksmus pripažino nesąžiningais ir pažeidžiančiais ieškovės, kaip prekių ženklo savininkės, teises, nes atsakovė, perpakuodama ir pervadindama vaistinius preparatus, siekė ekonominio pranašumo.</w:t>
      </w:r>
    </w:p>
    <w:p w14:paraId="47DC2E8F"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Lietuvos Aukščiausiojo Teismo Civilinių bylų skyriaus teisėjų kolegija 2024 m. sausio 10 d. nutartimi panaikino teismų procesinius sprendimus ir perdavė bylą iš naujo nagrinėti Vilniaus apygardos teismui.</w:t>
      </w:r>
    </w:p>
    <w:p w14:paraId="64F2F698" w14:textId="0A1DFA59"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Kasacinis teismas nusprendė, kad bylą nagrinėję teismai netinkamai atskleidė kilusio ginčo esmę – atsakovė byloje įrodinėjo, kad ieškovė, prieštaraudama jos atliktam ieškovės į Vengrijos rinką išleistam vaistinio preparato perpakavimui, siekia dirbtinai padalyti rinkas, tačiau teismai procesiniuose sprendimuose šios aplinkybės nevertino ir neanalizavo. Teisėjų kolegija padarė išvadą, kad nagrinėjamu atveju teismai, vertindami atsakovės veiksmus perpakuojant lygiagrečiai </w:t>
      </w:r>
      <w:bookmarkStart w:id="2" w:name="_Hlk201237407"/>
      <w:r w:rsidRPr="0053226E">
        <w:rPr>
          <w:rFonts w:ascii="Times New Roman" w:hAnsi="Times New Roman"/>
          <w:sz w:val="24"/>
          <w:szCs w:val="24"/>
          <w:lang w:eastAsia="en-GB"/>
        </w:rPr>
        <w:t>iš Vengrij</w:t>
      </w:r>
      <w:r w:rsidR="00473EAA" w:rsidRPr="0053226E">
        <w:rPr>
          <w:rFonts w:ascii="Times New Roman" w:hAnsi="Times New Roman"/>
          <w:sz w:val="24"/>
          <w:szCs w:val="24"/>
          <w:lang w:eastAsia="en-GB"/>
        </w:rPr>
        <w:t>os</w:t>
      </w:r>
      <w:r w:rsidRPr="0053226E">
        <w:rPr>
          <w:rFonts w:ascii="Times New Roman" w:hAnsi="Times New Roman"/>
          <w:sz w:val="24"/>
          <w:szCs w:val="24"/>
          <w:lang w:eastAsia="en-GB"/>
        </w:rPr>
        <w:t xml:space="preserve"> į Lietuv</w:t>
      </w:r>
      <w:r w:rsidR="00473EAA" w:rsidRPr="0053226E">
        <w:rPr>
          <w:rFonts w:ascii="Times New Roman" w:hAnsi="Times New Roman"/>
          <w:sz w:val="24"/>
          <w:szCs w:val="24"/>
          <w:lang w:eastAsia="en-GB"/>
        </w:rPr>
        <w:t>ą</w:t>
      </w:r>
      <w:r w:rsidRPr="0053226E">
        <w:rPr>
          <w:rFonts w:ascii="Times New Roman" w:hAnsi="Times New Roman"/>
          <w:sz w:val="24"/>
          <w:szCs w:val="24"/>
          <w:lang w:eastAsia="en-GB"/>
        </w:rPr>
        <w:t xml:space="preserve"> </w:t>
      </w:r>
      <w:bookmarkEnd w:id="2"/>
      <w:r w:rsidRPr="0053226E">
        <w:rPr>
          <w:rFonts w:ascii="Times New Roman" w:hAnsi="Times New Roman"/>
          <w:sz w:val="24"/>
          <w:szCs w:val="24"/>
          <w:lang w:eastAsia="en-GB"/>
        </w:rPr>
        <w:t xml:space="preserve">importuojamą vaistinį preparatą be šio prekių ženklo savininko sutikimo, nenustatė: </w:t>
      </w:r>
      <w:r w:rsidRPr="0053226E">
        <w:rPr>
          <w:rFonts w:ascii="Times New Roman" w:hAnsi="Times New Roman"/>
          <w:i/>
          <w:iCs/>
          <w:sz w:val="24"/>
          <w:szCs w:val="24"/>
          <w:lang w:eastAsia="en-GB"/>
        </w:rPr>
        <w:t>pirma</w:t>
      </w:r>
      <w:r w:rsidRPr="0053226E">
        <w:rPr>
          <w:rFonts w:ascii="Times New Roman" w:hAnsi="Times New Roman"/>
          <w:sz w:val="24"/>
          <w:szCs w:val="24"/>
          <w:lang w:eastAsia="en-GB"/>
        </w:rPr>
        <w:t xml:space="preserve">, ar ieškovė, siekdama jai priklausančio prekių ženklo apsaugos, prekių ženklo suteikiamomis teisėmis naudojasi pagal paskirtį ir nesiekia dirbtinai padalyti rinkų; </w:t>
      </w:r>
      <w:r w:rsidRPr="0053226E">
        <w:rPr>
          <w:rFonts w:ascii="Times New Roman" w:hAnsi="Times New Roman"/>
          <w:i/>
          <w:iCs/>
          <w:sz w:val="24"/>
          <w:szCs w:val="24"/>
          <w:lang w:eastAsia="en-GB"/>
        </w:rPr>
        <w:t>antra</w:t>
      </w:r>
      <w:r w:rsidRPr="0053226E">
        <w:rPr>
          <w:rFonts w:ascii="Times New Roman" w:hAnsi="Times New Roman"/>
          <w:sz w:val="24"/>
          <w:szCs w:val="24"/>
          <w:lang w:eastAsia="en-GB"/>
        </w:rPr>
        <w:t xml:space="preserve">, kokios priežastys lėmė kito lygiagretaus importuotojo pasitraukimą iš rinkos. Teisėjų kolegijos vertinimu, šiuo atveju reikšminga įvertinti, ar iš rinkos pasitraukęs kitas lygiagretus importuotojas </w:t>
      </w:r>
      <w:bookmarkStart w:id="3" w:name="_Hlk201237498"/>
      <w:r w:rsidRPr="0053226E">
        <w:rPr>
          <w:rFonts w:ascii="Times New Roman" w:hAnsi="Times New Roman"/>
          <w:sz w:val="24"/>
          <w:szCs w:val="24"/>
          <w:lang w:eastAsia="en-GB"/>
        </w:rPr>
        <w:t xml:space="preserve">Lietuvos rinkoje prekiavo </w:t>
      </w:r>
      <w:bookmarkEnd w:id="3"/>
      <w:r w:rsidRPr="0053226E">
        <w:rPr>
          <w:rFonts w:ascii="Times New Roman" w:hAnsi="Times New Roman"/>
          <w:sz w:val="24"/>
          <w:szCs w:val="24"/>
          <w:lang w:eastAsia="en-GB"/>
        </w:rPr>
        <w:t xml:space="preserve">ginčo vaistiniu preparatu tuo pačiu pavadinimu kaip ir ieškovė, ar šis lygiagretus importuotojas taip pat perpakavo lygiagrečiai importuojamą vaistą; </w:t>
      </w:r>
      <w:r w:rsidRPr="0053226E">
        <w:rPr>
          <w:rFonts w:ascii="Times New Roman" w:hAnsi="Times New Roman"/>
          <w:i/>
          <w:iCs/>
          <w:sz w:val="24"/>
          <w:szCs w:val="24"/>
          <w:lang w:eastAsia="en-GB"/>
        </w:rPr>
        <w:t>trečia</w:t>
      </w:r>
      <w:r w:rsidRPr="0053226E">
        <w:rPr>
          <w:rFonts w:ascii="Times New Roman" w:hAnsi="Times New Roman"/>
          <w:sz w:val="24"/>
          <w:szCs w:val="24"/>
          <w:lang w:eastAsia="en-GB"/>
        </w:rPr>
        <w:t xml:space="preserve">, ar vaistinės ir kokia jų dalis atsisako prekiauti neperpakuotais atsakovės lygiagrečiai importuojamais vaistiniais preparatais; </w:t>
      </w:r>
      <w:r w:rsidRPr="0053226E">
        <w:rPr>
          <w:rFonts w:ascii="Times New Roman" w:hAnsi="Times New Roman"/>
          <w:i/>
          <w:iCs/>
          <w:sz w:val="24"/>
          <w:szCs w:val="24"/>
          <w:lang w:eastAsia="en-GB"/>
        </w:rPr>
        <w:t>ketvirta</w:t>
      </w:r>
      <w:r w:rsidRPr="0053226E">
        <w:rPr>
          <w:rFonts w:ascii="Times New Roman" w:hAnsi="Times New Roman"/>
          <w:sz w:val="24"/>
          <w:szCs w:val="24"/>
          <w:lang w:eastAsia="en-GB"/>
        </w:rPr>
        <w:t>, ar byloje yra įmanoma atlikti rinkos tyrimą, siekiant išsiaiškinti vaistinių ir pacientų poziciją dėl neperpakuoto lygiagrečiai importuojamo vaistinio preparato.</w:t>
      </w:r>
    </w:p>
    <w:p w14:paraId="57EB0C78"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Vilniaus apygardos teismas 2024 m. liepos 15 d. sprendimu dėl ieškinio pagrindo ieškinį dėl jo pagrindo tenkino: įpareigojo atsakovę nutraukti neteisėtus veiksmus, pažeidžiančius ieškovės išimtines teises į prekių ženklus, įpareigojo atsakovę išimti iš apyvartos atsakovės iš Vengrijos į Lietuvą lygiagrečiai importuojamus vaistinius preparatus; kitą bylos dalį sustabdė, iki įsiteisės teismo sprendimas dėl ieškinio pagrindo.</w:t>
      </w:r>
    </w:p>
    <w:p w14:paraId="6F4A3CF8"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Teismas nustatė šias faktines aplinkybes:</w:t>
      </w:r>
    </w:p>
    <w:p w14:paraId="0E11ED15"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ieškovė gamina ir platina vaistinius preparatus su veikliąja medžiaga </w:t>
      </w:r>
      <w:proofErr w:type="spellStart"/>
      <w:r w:rsidRPr="0053226E">
        <w:rPr>
          <w:rFonts w:ascii="Times New Roman" w:hAnsi="Times New Roman"/>
          <w:sz w:val="24"/>
          <w:szCs w:val="24"/>
          <w:lang w:eastAsia="en-GB"/>
        </w:rPr>
        <w:t>levotiroksino</w:t>
      </w:r>
      <w:proofErr w:type="spellEnd"/>
      <w:r w:rsidRPr="0053226E">
        <w:rPr>
          <w:rFonts w:ascii="Times New Roman" w:hAnsi="Times New Roman"/>
          <w:sz w:val="24"/>
          <w:szCs w:val="24"/>
          <w:lang w:eastAsia="en-GB"/>
        </w:rPr>
        <w:t xml:space="preserve"> natrio druska;</w:t>
      </w:r>
    </w:p>
    <w:p w14:paraId="60C10330"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Lietuvoje vaistai platinami pavadinimu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o Vengrijoje –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w:t>
      </w:r>
    </w:p>
    <w:p w14:paraId="67A429FE" w14:textId="5813EB0C"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Lietuvoje žodinis prekių ženklas ,,BERLIN-CHEMIE“ registruotas 1995 m. rugpjūčio 30 d. (registracija galioja iki 2033 m. sausio 28 d.), o žodinis prekių ženklas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registruotas 1999 m. sausio 25 d. (registracija galioja iki 2026 m. gegužės 10 d.), prekių ženklo žodinis variantas „LETROX“ registruotas 2021 m. rugsėjo 10 d. (registracija galioja iki 2031 m. rugsėjo 10 d.); prekių ženklai užregistruoti 5 prekių klasei (farmaciniai preparatai, vaistai);</w:t>
      </w:r>
    </w:p>
    <w:p w14:paraId="1FEBE226" w14:textId="0F2D1D41"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 užsiima lygiagrečia prekyba vaistiniais preparatais Lietuvoje;</w:t>
      </w:r>
    </w:p>
    <w:p w14:paraId="374F7C5C" w14:textId="50C7FDAF"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Valstybinė vaistų kontrolės tarnyba išdavė atsakovei vaistinio preparato – „L-</w:t>
      </w:r>
      <w:proofErr w:type="spellStart"/>
      <w:r w:rsidRPr="0053226E">
        <w:rPr>
          <w:rFonts w:ascii="Times New Roman" w:hAnsi="Times New Roman"/>
          <w:sz w:val="24"/>
          <w:szCs w:val="24"/>
          <w:lang w:eastAsia="en-GB"/>
        </w:rPr>
        <w:t>Thyrohin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lygiagretaus importo leidimą;</w:t>
      </w:r>
    </w:p>
    <w:p w14:paraId="7F62A3DE"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 informavo ieškovę apie ketinimą lygiagrečiai importuoti iš Vengrijos į Lietuvą vaistinius preparatus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nauju pavadinimu – kaip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w:t>
      </w:r>
    </w:p>
    <w:p w14:paraId="063582AC"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lastRenderedPageBreak/>
        <w:t>ieškovė nurodė prieštaravimą dėl vaisto pervadinimo ir perpakavimo, nes atsakovė nepagrindė būtinumo;</w:t>
      </w:r>
    </w:p>
    <w:p w14:paraId="4DE2C03F"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nepaisydama to, atsakovė pradėjo vaistinių preparatų prekybą Lietuvoje.</w:t>
      </w:r>
    </w:p>
    <w:p w14:paraId="0EF620D5"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Teismas pasiūlė bylos dalyviams pateikti papildomus įrodymus, įvertinęs kasacinio teismo nutartyje išsakytas pastabas, ir šia teise proceso šalys aktyviai naudojosi iki pat bylos nagrinėjimo iš esmės pabaigos. </w:t>
      </w:r>
    </w:p>
    <w:p w14:paraId="13564D18" w14:textId="2CA93EC5"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Atsakovė, kuriai tenka objektyvios būtinybės perpakuoti lygiagrečiai importuojamą vaistinį preparatą įrodinėjimo pareiga, pateikė Europos Sąjungos teisės eksperto </w:t>
      </w:r>
      <w:proofErr w:type="spellStart"/>
      <w:r w:rsidRPr="0053226E">
        <w:rPr>
          <w:rFonts w:ascii="Times New Roman" w:hAnsi="Times New Roman"/>
          <w:sz w:val="24"/>
          <w:szCs w:val="24"/>
          <w:lang w:eastAsia="en-GB"/>
        </w:rPr>
        <w:t>José</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Luís</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da</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Cruz</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Vilaços</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José</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Luís</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da</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Cruz</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Vilaça</w:t>
      </w:r>
      <w:proofErr w:type="spellEnd"/>
      <w:r w:rsidRPr="0053226E">
        <w:rPr>
          <w:rFonts w:ascii="Times New Roman" w:hAnsi="Times New Roman"/>
          <w:sz w:val="24"/>
          <w:szCs w:val="24"/>
          <w:lang w:eastAsia="en-GB"/>
        </w:rPr>
        <w:t xml:space="preserve">) 2024 m. balandžio 12 d. parengtą teisinę išvadą (nuomonę) „Dėl perpakuotų vaistų lygiagretaus importo pagal Sąjungos teisę“. Vertindamas šio dokumento kaip įrodymo atitiktį leistinumo ir </w:t>
      </w:r>
      <w:proofErr w:type="spellStart"/>
      <w:r w:rsidRPr="0053226E">
        <w:rPr>
          <w:rFonts w:ascii="Times New Roman" w:hAnsi="Times New Roman"/>
          <w:sz w:val="24"/>
          <w:szCs w:val="24"/>
          <w:lang w:eastAsia="en-GB"/>
        </w:rPr>
        <w:t>sąsajumo</w:t>
      </w:r>
      <w:proofErr w:type="spellEnd"/>
      <w:r w:rsidRPr="0053226E">
        <w:rPr>
          <w:rFonts w:ascii="Times New Roman" w:hAnsi="Times New Roman"/>
          <w:sz w:val="24"/>
          <w:szCs w:val="24"/>
          <w:lang w:eastAsia="en-GB"/>
        </w:rPr>
        <w:t xml:space="preserve"> reikalavimams, teismas pažymėjo, kad teisės taikymas ir aiškinimas pagal byloje nustatytas faktines aplinkybes yra išimtinė teismo kompetencija. Atsižvelgdamas į tai, kad teismas turi pareigą savarankiškai nustatyti Europos Sąjungos teisės turinį ir atlikti teisinį vertinimą byloje, juolab kad kasacinis teismas 2024</w:t>
      </w:r>
      <w:r w:rsidR="00666C3A" w:rsidRPr="0053226E">
        <w:rPr>
          <w:rFonts w:ascii="Times New Roman" w:hAnsi="Times New Roman"/>
          <w:sz w:val="24"/>
          <w:szCs w:val="24"/>
          <w:lang w:eastAsia="en-GB"/>
        </w:rPr>
        <w:t> </w:t>
      </w:r>
      <w:r w:rsidRPr="0053226E">
        <w:rPr>
          <w:rFonts w:ascii="Times New Roman" w:hAnsi="Times New Roman"/>
          <w:sz w:val="24"/>
          <w:szCs w:val="24"/>
          <w:lang w:eastAsia="en-GB"/>
        </w:rPr>
        <w:t>m. sausio 10</w:t>
      </w:r>
      <w:r w:rsidR="00666C3A" w:rsidRPr="0053226E">
        <w:rPr>
          <w:rFonts w:ascii="Times New Roman" w:hAnsi="Times New Roman"/>
          <w:sz w:val="24"/>
          <w:szCs w:val="24"/>
          <w:lang w:eastAsia="en-GB"/>
        </w:rPr>
        <w:t> </w:t>
      </w:r>
      <w:r w:rsidRPr="0053226E">
        <w:rPr>
          <w:rFonts w:ascii="Times New Roman" w:hAnsi="Times New Roman"/>
          <w:sz w:val="24"/>
          <w:szCs w:val="24"/>
          <w:lang w:eastAsia="en-GB"/>
        </w:rPr>
        <w:t>d. nutartyje jau suformavo atitinkamas bylos nagrinėjimo ribas aktualios Europos Sąjungos Teisingumo Teismo (toliau – ir ESTT) jurisprudencijos kontekste, atsakovės pateiktos teisinės nuomonės teismas nelaikė aukštesnę įrodomąją galią turinčiu įrodymu ir ją vertino kartu su kitais įrodymais, taip pat pažymėjo, kad pateikta teisinė nuomonė nėra nei specialisto, nei eksperto išvada, tai paprastas rašytinis įrodymas, kuriame pateikta kompetentingo teisės eksperto, buvusio ESTT teisėjo ir generalinio advokato pozicija dėl nagrinėjamos bylos.</w:t>
      </w:r>
    </w:p>
    <w:p w14:paraId="70D850A8" w14:textId="71409DAA"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Siekdamas nustatyti, kokios priežastys lėmė kito lygiagretaus importuotojo pasitraukimą iš rinkos, teismas vertino Vilniaus apygardos teisme nagrinėtos civilinės bylos Nr. e2-1046-580/2022 pagal ieškovės Vokietijos įmonės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xml:space="preserve"> AG“ ieškinį atsakovei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dėl prekių ženklo savininko teises pažeidžiančių veiksmų nutraukimo, prekių išėmimo iš apyvartos ir turtinės žalos atlyginimo medžiagą. Byla nutraukta 2022 m. kovo 30 d. teismo nutartimi, teismui patvirtinus taikos sutartį, kuri teismo pripažinta nevieša bylos medžiaga. Nurodytoje byloje nustatyta, kad lygiagretus importuotojas prekiavo (siekė prekiauti) vaistiniu preparatu Lietuvoje, pasinaudodamas tuo pačiu pavadinimu kaip ir ieškovė, ir vaistinius preparatus, importuojamus iš Vengrijos, perpakavo. Anot ieškovės, taikos sutartis neužkirto kelio UAB</w:t>
      </w:r>
      <w:r w:rsidR="00666C3A" w:rsidRPr="0053226E">
        <w:rPr>
          <w:rFonts w:ascii="Times New Roman" w:hAnsi="Times New Roman"/>
          <w:sz w:val="24"/>
          <w:szCs w:val="24"/>
          <w:lang w:eastAsia="en-GB"/>
        </w:rPr>
        <w:t> </w:t>
      </w:r>
      <w:r w:rsidRPr="0053226E">
        <w:rPr>
          <w:rFonts w:ascii="Times New Roman" w:hAnsi="Times New Roman"/>
          <w:sz w:val="24"/>
          <w:szCs w:val="24"/>
          <w:lang w:eastAsia="en-GB"/>
        </w:rPr>
        <w:t>„</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prekiauti lygiagrečiai importuotais vaistais su originaliu pavadinimu ir ieškovė negalinti komentuoti priežasčių, dėl kurių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galiausiai nusprendė pašalinti lygiagrečiai importuojamus produktus iš Lietuvos rinkos. Teismo vertinimu, šios faktinės aplinkybės, susijusios su kitos lygiagrečios importuotojos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pasitraukimu iš Lietuvos rinkos, neįvertinus kitų (likusių) kasacinio teismo nutartyje nurodytų teisiškai reikšmingų dėmenų (dėl vaistinių ir pacientų pozicijos), savaime nei patvirtina, nei paneigia objektyvią būtinybę atsakovei perpakuoti vaistinius preparatus nagrinėjamo ginčo faktinių aplinkybių kontekste bei galimą ieškovės atliekamą dirbtinį rinkų padalijimą.</w:t>
      </w:r>
    </w:p>
    <w:p w14:paraId="359B2D0D" w14:textId="56ED6882"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Teismas konstatavo, kad iš atsakovės pateiktų vaistinių atstovų elektroninių laiškų nėra įmanoma identifikuoti nei konkrečių vaistinių, nei juo labiau jų dalies, nes byloje pateikti prieštaringi duomenys apie vaistinių užimamą rinkos dalį, todėl juose pateikta informacija nėra pakankama įrodinėjimo dalyką sudarančioms aplinkybėms nustatyti. Atsakovė bylą nagrinėjant pakartotinai pirmosios instancijos teisme neteikė įrodymų, pagrindžiančių vaistinių poziciją ginčui aktualiais klausimais. Teismas padarė išvadą, kad atsakovė neįrodė aplinkybės, jog vaistinių tinklai atsisako prekiauti neperpakuotais atsakovės lygiagrečiai importuojamais vaistiniais preparatais.</w:t>
      </w:r>
    </w:p>
    <w:p w14:paraId="1D1C147B" w14:textId="6CCF36D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 pateikė įrodymus, patvirtinančius, kad tiek sveikatos priežiūros įstaigos (institucijos), tiek subjektai, kurių veikla susijusi su duomenų apsauga, atsisakė tiesiogiai atsakovei pateikti pacientų, vartojančių ginčo vaistą, duomenis, kad pastaroji atliktų kasacinio teismo nutartyje nurodytą pacientų apklausą, tačiau teismas tokius duomenis galėtų gauti savarankiškai. Teismui kilo abejonių, kad šiuo konkrečiu atveju įmanoma atlikti rinkos tyrimą, siekiant išsiaiškinti pacientų poziciją dėl neperpakuoto lygiagrečiai importuojamo vaistinio preparato.</w:t>
      </w:r>
    </w:p>
    <w:p w14:paraId="594A7478" w14:textId="6477BA5C"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lastRenderedPageBreak/>
        <w:t>Tačiau vaistinių tyrimas, siekiant išsiaiškinti vaistinių poziciją dėl neperpakuoto lygiagrečiai importuojamo vaistinio preparato, teismo vertinimu, yra objektyviai įmanomas ir atsakovė nepagrindė priešingos pozicijos, tačiau atlikti pastarąjį tyrimą vengė.</w:t>
      </w:r>
    </w:p>
    <w:p w14:paraId="18630BDE" w14:textId="603536C2"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Teismas nusprendė, kad atsakovė šioje byloje neįrodė, jog egzistuoja praktinės veiksmingo patekimo į rinką kliūtys, kurios lemtų atsakovei objektyvų būtinumą perpakuoti lygiagrečiai importuojamus vaistinius preparatus. Atitinkamai atsakovė negalėjo perpakuoti ginčo vaistinių preparatų, pasinaudodama ieškovės prekių ženklu, be ieškovės, kaip prekių ženklų savininkės, sutikimo. Teismas padarė išvadą, kad toks ieškovės prieštaravimas dėl atsakovės prekybos perpakuotais produktais nelaikytinas prisidedančiu prie dirbtinio rinkų padalijimo.</w:t>
      </w:r>
    </w:p>
    <w:p w14:paraId="2ACB092F"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Lietuvos apeliacinio teismo Civilinių bylų skyriaus teisėjų kolegija, išnagrinėjusi bylą pagal ieškovės apeliacinį skundą, 2025 m. vasario 6 d. nutartimi pirmosios instancijos teismo sprendimą paliko nepakeistą.</w:t>
      </w:r>
    </w:p>
    <w:p w14:paraId="4A2C1921" w14:textId="4E891C0D"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atmetė atsakovės prašymą informuoti Konkurencijos tarybą apie tai, kad nagrinėjama byla yra susijusi su Sutarties dėl Europos Sąjungos veikimo (toliau – SESV) 101 ir 102</w:t>
      </w:r>
      <w:r w:rsidR="00666C3A" w:rsidRPr="0053226E">
        <w:rPr>
          <w:rFonts w:ascii="Times New Roman" w:hAnsi="Times New Roman"/>
          <w:sz w:val="24"/>
          <w:szCs w:val="24"/>
          <w:lang w:eastAsia="en-GB"/>
        </w:rPr>
        <w:t> </w:t>
      </w:r>
      <w:r w:rsidRPr="0053226E">
        <w:rPr>
          <w:rFonts w:ascii="Times New Roman" w:hAnsi="Times New Roman"/>
          <w:sz w:val="24"/>
          <w:szCs w:val="24"/>
          <w:lang w:eastAsia="en-GB"/>
        </w:rPr>
        <w:t>straipsnių taikymu, ir įtraukti Konkurencijos tarybą arba Europos Komisiją kaip išvadą teikiančias institucijas. Kolegija pažymėjo, kad atsakovė iki pat apeliacinio skundo pateikimo nagrinėjamoje byloje nekėlė klausimo dėl SESV 102 straipsnio pažeidimo, nėra pareiškusi savarankiškų reikalavimų, susijusių su SESV 102 straipsnio ir (ar) Konkurencijos įstatymo 7</w:t>
      </w:r>
      <w:r w:rsidR="00666C3A" w:rsidRPr="0053226E">
        <w:rPr>
          <w:rFonts w:ascii="Times New Roman" w:hAnsi="Times New Roman"/>
          <w:sz w:val="24"/>
          <w:szCs w:val="24"/>
          <w:lang w:eastAsia="en-GB"/>
        </w:rPr>
        <w:t> </w:t>
      </w:r>
      <w:r w:rsidRPr="0053226E">
        <w:rPr>
          <w:rFonts w:ascii="Times New Roman" w:hAnsi="Times New Roman"/>
          <w:sz w:val="24"/>
          <w:szCs w:val="24"/>
          <w:lang w:eastAsia="en-GB"/>
        </w:rPr>
        <w:t>straipsnio taikymu; byloje nėra jokių neaiškių ar naujų Europos Sąjungos konkurencijos teisės taikymo klausimų – klausimą, ar nagrinėjamoje byloje apskritai yra taikytina Europos Sąjungos konkurencijos teisė, nacionalinis teismas išsprendžia pats, vadovaudamasis Europos Sąjungos teise ir ją aiškinančia Europos Sąjungos teismų praktika. Be to, ši byla nagrinėjama nuo 2021 metų, antrą kartą apeliacinės instancijos teisme, tai, kolegijos vertinimu, reiškia, kad nepagrįstas kreipimasis į Europos Komisiją atsakovės nurodytais klausimais užvilkintų užsitęsusį bylos nagrinėjimą, nebūtų suderinamas su civilinio proceso koncentruotumo ir ekonomiškumo principais (Lietuvos Respublikos civilinio proceso kodekso (toliau – ir CPK) 7 straipsnis).</w:t>
      </w:r>
    </w:p>
    <w:p w14:paraId="18CCE4A7" w14:textId="25650280"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taip pat atmetė atsakovės prašymą išreikalauti civilinės bylos Nr.</w:t>
      </w:r>
      <w:r w:rsidR="00666C3A" w:rsidRPr="0053226E">
        <w:rPr>
          <w:rFonts w:ascii="Times New Roman" w:hAnsi="Times New Roman"/>
          <w:sz w:val="24"/>
          <w:szCs w:val="24"/>
          <w:lang w:eastAsia="en-GB"/>
        </w:rPr>
        <w:t> </w:t>
      </w:r>
      <w:r w:rsidRPr="0053226E">
        <w:rPr>
          <w:rFonts w:ascii="Times New Roman" w:hAnsi="Times New Roman"/>
          <w:sz w:val="24"/>
          <w:szCs w:val="24"/>
          <w:lang w:eastAsia="en-GB"/>
        </w:rPr>
        <w:t xml:space="preserve">e2-1046-580/2022 medžiagą (nevieša bylos medžiaga pripažintą taikos sutartį). Įvertinusi tai, kad su vieša civilinės bylos medžiagos dalimi atsakovė turėjo galimybę susipažinti, kolegija nusprendė, jog atsakovės prašymas pridėti visą civilinės bylos medžiagą yra perteklinis. Kolegija pažymėjo, kad nėra duomenų, patvirtinančių, jog atsakovės atstovai Neviešų duomenų tvarkymo Lietuvos teismų informacinėje sistemoje tvarkos aprašo, patvirtinto Teisėjų tarybos 2017 m. kovo 31 d. nutarimu Nr. 13P-61-(7.1.2), nustatytu būdu kreipėsi dėl neviešų duomenų išreikalavimo. Atsižvelgdama į tai, kad prašomas išreikalauti įrodymas (taikos sutarties sąlygos) yra nevieša bylos medžiaga, kolegija atsisakė išreikalauti šį įrodymą į nagrinėjamą bylą, taip pat pažymėjo, kad, pripažinus konkrečios civilinės bylos medžiagą nevieša, tokios bylos duomenimis, kaip įrodinėjimo priemonėmis, negalima naudotis dar ir dėl kitos priežasties – nėra galimybės patikrinti įrodinėjimo procesui keliamo </w:t>
      </w:r>
      <w:proofErr w:type="spellStart"/>
      <w:r w:rsidRPr="0053226E">
        <w:rPr>
          <w:rFonts w:ascii="Times New Roman" w:hAnsi="Times New Roman"/>
          <w:sz w:val="24"/>
          <w:szCs w:val="24"/>
          <w:lang w:eastAsia="en-GB"/>
        </w:rPr>
        <w:t>sąsajumo</w:t>
      </w:r>
      <w:proofErr w:type="spellEnd"/>
      <w:r w:rsidRPr="0053226E">
        <w:rPr>
          <w:rFonts w:ascii="Times New Roman" w:hAnsi="Times New Roman"/>
          <w:sz w:val="24"/>
          <w:szCs w:val="24"/>
          <w:lang w:eastAsia="en-GB"/>
        </w:rPr>
        <w:t xml:space="preserve"> reikalavimo.</w:t>
      </w:r>
    </w:p>
    <w:p w14:paraId="076C9018" w14:textId="1A1855F2"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Kolegija netenkino atsakovės prašymo kreiptis į Europos Sąjungos Teisingumo Teismą. Kolegija nurodė, kad atsakovės pateiktais klausimais siekiama išsiaiškinti, ar nėra pažeidžiamas SESV 102 straipsnis (ar nėra prekių ženklo savininko piktnaudžiavimo dominuojančia padėtimi) tais atvejais, kai prekių ženklo savininkas naudojasi intelektinės nuosavybės teisių gynimo priemonėmis ir prieštarauja lygiagrečiai importuojamo vaistinio preparato perpakavimui ir pervadinimui, be to, ar tokiu būdu nėra dirbtinai padalijamos rinkos tarp valstybių narių. Kolegija nusprendė, kad šioje byloje, priimant sprendimą teisės taikymo ir aiškinimo klausimais, turi būti vadovaujamasi ne konkurencijos teisės taisyklėmis, bet ESTT praktikoje suformuluotais principais, susijusiais su prekių ženklo suteikiamos teisės pasibaigimu paralelinio vaistų importo atveju (vadinamosiomis BMS (išaiškintomis </w:t>
      </w:r>
      <w:r w:rsidR="00AA0C3B" w:rsidRPr="0053226E">
        <w:rPr>
          <w:rFonts w:ascii="Times New Roman" w:hAnsi="Times New Roman"/>
          <w:sz w:val="24"/>
          <w:szCs w:val="24"/>
          <w:lang w:eastAsia="en-GB"/>
        </w:rPr>
        <w:t xml:space="preserve">ESTT </w:t>
      </w:r>
      <w:r w:rsidRPr="0053226E">
        <w:rPr>
          <w:rFonts w:ascii="Times New Roman" w:hAnsi="Times New Roman"/>
          <w:sz w:val="24"/>
          <w:szCs w:val="24"/>
          <w:lang w:eastAsia="en-GB"/>
        </w:rPr>
        <w:t xml:space="preserve">1996 m. liepos 11 d. </w:t>
      </w:r>
      <w:proofErr w:type="spellStart"/>
      <w:r w:rsidRPr="0053226E">
        <w:rPr>
          <w:rFonts w:ascii="Times New Roman" w:hAnsi="Times New Roman"/>
          <w:sz w:val="24"/>
          <w:szCs w:val="24"/>
          <w:lang w:eastAsia="en-GB"/>
        </w:rPr>
        <w:t>prejudiciniame</w:t>
      </w:r>
      <w:proofErr w:type="spellEnd"/>
      <w:r w:rsidRPr="0053226E">
        <w:rPr>
          <w:rFonts w:ascii="Times New Roman" w:hAnsi="Times New Roman"/>
          <w:sz w:val="24"/>
          <w:szCs w:val="24"/>
          <w:lang w:eastAsia="en-GB"/>
        </w:rPr>
        <w:t xml:space="preserve"> sprendime </w:t>
      </w:r>
      <w:r w:rsidR="00AA0C3B" w:rsidRPr="0053226E">
        <w:rPr>
          <w:rFonts w:ascii="Times New Roman" w:hAnsi="Times New Roman"/>
          <w:sz w:val="24"/>
          <w:szCs w:val="24"/>
          <w:lang w:eastAsia="en-GB"/>
        </w:rPr>
        <w:t xml:space="preserve">sujungtose </w:t>
      </w:r>
      <w:r w:rsidRPr="0053226E">
        <w:rPr>
          <w:rFonts w:ascii="Times New Roman" w:hAnsi="Times New Roman"/>
          <w:sz w:val="24"/>
          <w:szCs w:val="24"/>
          <w:lang w:eastAsia="en-GB"/>
        </w:rPr>
        <w:t>bylo</w:t>
      </w:r>
      <w:r w:rsidR="00AA0C3B" w:rsidRPr="0053226E">
        <w:rPr>
          <w:rFonts w:ascii="Times New Roman" w:hAnsi="Times New Roman"/>
          <w:sz w:val="24"/>
          <w:szCs w:val="24"/>
          <w:lang w:eastAsia="en-GB"/>
        </w:rPr>
        <w:t>s</w:t>
      </w:r>
      <w:r w:rsidRPr="0053226E">
        <w:rPr>
          <w:rFonts w:ascii="Times New Roman" w:hAnsi="Times New Roman"/>
          <w:sz w:val="24"/>
          <w:szCs w:val="24"/>
          <w:lang w:eastAsia="en-GB"/>
        </w:rPr>
        <w:t xml:space="preserve">e </w:t>
      </w:r>
      <w:proofErr w:type="spellStart"/>
      <w:r w:rsidRPr="0053226E">
        <w:rPr>
          <w:rFonts w:ascii="Times New Roman" w:hAnsi="Times New Roman"/>
          <w:i/>
          <w:iCs/>
          <w:sz w:val="24"/>
          <w:szCs w:val="24"/>
          <w:lang w:eastAsia="en-GB"/>
        </w:rPr>
        <w:t>Bristol-Myers</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Squibb</w:t>
      </w:r>
      <w:proofErr w:type="spellEnd"/>
      <w:r w:rsidRPr="0053226E">
        <w:rPr>
          <w:rFonts w:ascii="Times New Roman" w:hAnsi="Times New Roman"/>
          <w:sz w:val="24"/>
          <w:szCs w:val="24"/>
          <w:lang w:eastAsia="en-GB"/>
        </w:rPr>
        <w:t xml:space="preserve"> </w:t>
      </w:r>
      <w:r w:rsidRPr="0053226E">
        <w:rPr>
          <w:rFonts w:ascii="Times New Roman" w:hAnsi="Times New Roman"/>
          <w:i/>
          <w:iCs/>
          <w:sz w:val="24"/>
          <w:szCs w:val="24"/>
          <w:lang w:eastAsia="en-GB"/>
        </w:rPr>
        <w:t>ir kt.</w:t>
      </w:r>
      <w:r w:rsidRPr="0053226E">
        <w:rPr>
          <w:rFonts w:ascii="Times New Roman" w:hAnsi="Times New Roman"/>
          <w:sz w:val="24"/>
          <w:szCs w:val="24"/>
          <w:lang w:eastAsia="en-GB"/>
        </w:rPr>
        <w:t>, sujungt</w:t>
      </w:r>
      <w:r w:rsidR="00AA0C3B" w:rsidRPr="0053226E">
        <w:rPr>
          <w:rFonts w:ascii="Times New Roman" w:hAnsi="Times New Roman"/>
          <w:sz w:val="24"/>
          <w:szCs w:val="24"/>
          <w:lang w:eastAsia="en-GB"/>
        </w:rPr>
        <w:t>ų</w:t>
      </w:r>
      <w:r w:rsidRPr="0053226E">
        <w:rPr>
          <w:rFonts w:ascii="Times New Roman" w:hAnsi="Times New Roman"/>
          <w:sz w:val="24"/>
          <w:szCs w:val="24"/>
          <w:lang w:eastAsia="en-GB"/>
        </w:rPr>
        <w:t xml:space="preserve"> byl</w:t>
      </w:r>
      <w:r w:rsidR="00AA0C3B" w:rsidRPr="0053226E">
        <w:rPr>
          <w:rFonts w:ascii="Times New Roman" w:hAnsi="Times New Roman"/>
          <w:sz w:val="24"/>
          <w:szCs w:val="24"/>
          <w:lang w:eastAsia="en-GB"/>
        </w:rPr>
        <w:t>ų</w:t>
      </w:r>
      <w:r w:rsidRPr="0053226E">
        <w:rPr>
          <w:rFonts w:ascii="Times New Roman" w:hAnsi="Times New Roman"/>
          <w:sz w:val="24"/>
          <w:szCs w:val="24"/>
          <w:lang w:eastAsia="en-GB"/>
        </w:rPr>
        <w:t xml:space="preserve"> C-427/93, C-429/93 ir C-436/93</w:t>
      </w:r>
      <w:r w:rsidR="00AA0C3B" w:rsidRPr="0053226E">
        <w:rPr>
          <w:rFonts w:ascii="Times New Roman" w:hAnsi="Times New Roman"/>
          <w:sz w:val="24"/>
          <w:szCs w:val="24"/>
          <w:lang w:eastAsia="en-GB"/>
        </w:rPr>
        <w:t xml:space="preserve"> (toliau – sprendimas byloje </w:t>
      </w:r>
      <w:proofErr w:type="spellStart"/>
      <w:r w:rsidR="00AA0C3B" w:rsidRPr="0053226E">
        <w:rPr>
          <w:rFonts w:ascii="Times New Roman" w:hAnsi="Times New Roman"/>
          <w:i/>
          <w:iCs/>
          <w:sz w:val="24"/>
          <w:szCs w:val="24"/>
          <w:lang w:eastAsia="en-GB"/>
        </w:rPr>
        <w:t>Bristol-Myers</w:t>
      </w:r>
      <w:proofErr w:type="spellEnd"/>
      <w:r w:rsidR="00AA0C3B" w:rsidRPr="0053226E">
        <w:rPr>
          <w:rFonts w:ascii="Times New Roman" w:hAnsi="Times New Roman"/>
          <w:i/>
          <w:iCs/>
          <w:sz w:val="24"/>
          <w:szCs w:val="24"/>
          <w:lang w:eastAsia="en-GB"/>
        </w:rPr>
        <w:t xml:space="preserve"> </w:t>
      </w:r>
      <w:proofErr w:type="spellStart"/>
      <w:r w:rsidR="00AA0C3B"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r w:rsidRPr="0053226E">
        <w:rPr>
          <w:rFonts w:ascii="Times New Roman" w:hAnsi="Times New Roman"/>
          <w:sz w:val="24"/>
          <w:szCs w:val="24"/>
          <w:lang w:eastAsia="en-GB"/>
        </w:rPr>
        <w:t>)</w:t>
      </w:r>
      <w:r w:rsidR="00AA0C3B" w:rsidRPr="0053226E">
        <w:rPr>
          <w:rFonts w:ascii="Times New Roman" w:hAnsi="Times New Roman"/>
          <w:sz w:val="24"/>
          <w:szCs w:val="24"/>
          <w:lang w:eastAsia="en-GB"/>
        </w:rPr>
        <w:t>)</w:t>
      </w:r>
      <w:r w:rsidRPr="0053226E">
        <w:rPr>
          <w:rFonts w:ascii="Times New Roman" w:hAnsi="Times New Roman"/>
          <w:sz w:val="24"/>
          <w:szCs w:val="24"/>
          <w:lang w:eastAsia="en-GB"/>
        </w:rPr>
        <w:t xml:space="preserve"> sąlygomis). Kasacinis teismas </w:t>
      </w:r>
      <w:r w:rsidRPr="0053226E">
        <w:rPr>
          <w:rFonts w:ascii="Times New Roman" w:hAnsi="Times New Roman"/>
          <w:sz w:val="24"/>
          <w:szCs w:val="24"/>
          <w:lang w:eastAsia="en-GB"/>
        </w:rPr>
        <w:lastRenderedPageBreak/>
        <w:t>apibendrino šioje byloje taikytinos teisės turinį ir neįžvelgė pagrindo ginčo teisiniam santykiui taikyti SESV 102 straipsnį, grąžindamas bylą nagrinėti pirmosios instancijos teismui, nenurodė tirti galimo ieškovės piktnaudžiavimo dominuojančia padėtimi. Kolegija konstatavo, kad šioje byloje iš esmės buvo paneigtos atsakovės keliamos abejonės dėl konkurencijos teisės taisyklių taikymo ginčo teisiniam santykiui.</w:t>
      </w:r>
    </w:p>
    <w:p w14:paraId="6AE0AFC0" w14:textId="4E77ACCD"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atmetė ieškovės prašymą nagrinėti bylą žodinio proceso tvarka.</w:t>
      </w:r>
    </w:p>
    <w:p w14:paraId="48C33A15"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konstatavo, kad pirmosios instancijos teismas, pakartotinai nagrinėdamas bylą dėl objektyvios būtinybės perpakuoti ir pervadinti lygiagrečiai importuojamą vaistinį preparatą, vadovaudamasis kasacinio teismo procesinio sprendimo privalomumo žemesnės instancijos teismui principu, pagrįstai apsiribojo tik pirmosios BMS sąlygos įvertinimu pagal kasacinio teismo nurodytas aplinkybes, todėl atmetė atsakovės argumentus, kad pirmosios instancijos teismas nepagrįstai nepasisakė dėl galimo SESV 102 straipsnio pažeidimo. Kolegija įvertino atsakovės argumentus dėl konkurencijos taisyklių taikymo atsižvelgiant į Lietuvos Respublikos konkurencijos įstatymo nuostatas ir pažymėjo, kad kompetenciją dėl atitinkamo konkurencijos teisės normų pažeidimo (neteisėtų veiksmų) vertinimo ir nustatymo turi Konkurencijos taryba, kurios priimto nutarimo teisėtumą ir pagrįstumą galima skųsti administraciniam teismui, ir faktų, susijusių su ieškovės galimu piktnaudžiavimu dominuojančia padėtimi, nustatymas ir įvertinimas konkurencijos teisės normų pagrindu negali būti atliekamas civilinio proceso tvarka. Kolegija kaip teisiškai nereikšmingus atmetė apeliacinio skundo argumentus, kad ieškovė užima dominuojančio ūkio subjekto padėtį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vaistinio preparato prekybos rinkoje Lietuvoje, nes šių faktų nustatymas nėra šios bylos nagrinėjimo dalykas.</w:t>
      </w:r>
    </w:p>
    <w:p w14:paraId="04980FAC" w14:textId="5EEECFB4"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Dėl šios priežasties kolegija taip pat kritiškai įvertino apeliacinio skundo argumentą, kad neegzistuoja jokios patekimo į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vaisto rinką, jį žymint kitu žymeniu nei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tikėtinumo, savalaikiškumo ir pakankamumo sąlygos, atsižvelgiant į Lietuvoje esančios paklausos lojalumą. Paminėtos sąlygos yra taikomos analizuojant veiksmingo patekimo į rinką kriterijų, kuris yra nustatomas įvertinant ūkio subjekto dominavimą pagal Europos Komisijos 2009 m. vasario 24 d. komunikatą. Tačiau aiškindamas BMS sąlygas, ypač pirmąją sąlygą dėl objektyvios būtinybės perpakuoti vaistinius preparatus, ESTT neanalizuoja piktnaudžiavimo dominuojančia padėtimi, kaip galimo SESV 102 straipsnio pažeidimo. Priešingai, ESTT yra išaiškinęs, kad tam tikrais atvejais prekių ženklo savininkas gali teisėtai prieštarauti, jog valstybėje narėje būtų toliau prekiaujama vaistu, pažymėtu jo prekių ženklu ir importuotu iš kitos valstybės narės (sprendimas bylo</w:t>
      </w:r>
      <w:r w:rsidR="00AA0C3B" w:rsidRPr="0053226E">
        <w:rPr>
          <w:rFonts w:ascii="Times New Roman" w:hAnsi="Times New Roman"/>
          <w:sz w:val="24"/>
          <w:szCs w:val="24"/>
          <w:lang w:eastAsia="en-GB"/>
        </w:rPr>
        <w:t>j</w:t>
      </w:r>
      <w:r w:rsidRPr="0053226E">
        <w:rPr>
          <w:rFonts w:ascii="Times New Roman" w:hAnsi="Times New Roman"/>
          <w:sz w:val="24"/>
          <w:szCs w:val="24"/>
          <w:lang w:eastAsia="en-GB"/>
        </w:rPr>
        <w:t xml:space="preserve">e </w:t>
      </w:r>
      <w:proofErr w:type="spellStart"/>
      <w:r w:rsidRPr="0053226E">
        <w:rPr>
          <w:rFonts w:ascii="Times New Roman" w:hAnsi="Times New Roman"/>
          <w:i/>
          <w:iCs/>
          <w:sz w:val="24"/>
          <w:szCs w:val="24"/>
          <w:lang w:eastAsia="en-GB"/>
        </w:rPr>
        <w:t>Bristol-Myers</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Squibb</w:t>
      </w:r>
      <w:proofErr w:type="spellEnd"/>
      <w:r w:rsidRPr="0053226E">
        <w:rPr>
          <w:rFonts w:ascii="Times New Roman" w:hAnsi="Times New Roman"/>
          <w:sz w:val="24"/>
          <w:szCs w:val="24"/>
          <w:lang w:eastAsia="en-GB"/>
        </w:rPr>
        <w:t xml:space="preserve"> </w:t>
      </w:r>
      <w:r w:rsidRPr="0053226E">
        <w:rPr>
          <w:rFonts w:ascii="Times New Roman" w:hAnsi="Times New Roman"/>
          <w:i/>
          <w:iCs/>
          <w:sz w:val="24"/>
          <w:szCs w:val="24"/>
          <w:lang w:eastAsia="en-GB"/>
        </w:rPr>
        <w:t>ir kt.</w:t>
      </w:r>
      <w:r w:rsidRPr="0053226E">
        <w:rPr>
          <w:rFonts w:ascii="Times New Roman" w:hAnsi="Times New Roman"/>
          <w:sz w:val="24"/>
          <w:szCs w:val="24"/>
          <w:lang w:eastAsia="en-GB"/>
        </w:rPr>
        <w:t>, 79 punktas; 2007 m. balandžio 26</w:t>
      </w:r>
      <w:r w:rsidR="00AA0C3B" w:rsidRPr="0053226E">
        <w:rPr>
          <w:rFonts w:ascii="Times New Roman" w:hAnsi="Times New Roman"/>
          <w:sz w:val="24"/>
          <w:szCs w:val="24"/>
          <w:lang w:eastAsia="en-GB"/>
        </w:rPr>
        <w:t> </w:t>
      </w:r>
      <w:r w:rsidRPr="0053226E">
        <w:rPr>
          <w:rFonts w:ascii="Times New Roman" w:hAnsi="Times New Roman"/>
          <w:sz w:val="24"/>
          <w:szCs w:val="24"/>
          <w:lang w:eastAsia="en-GB"/>
        </w:rPr>
        <w:t xml:space="preserve">d. sprendimas byloje </w:t>
      </w:r>
      <w:proofErr w:type="spellStart"/>
      <w:r w:rsidRPr="0053226E">
        <w:rPr>
          <w:rFonts w:ascii="Times New Roman" w:hAnsi="Times New Roman"/>
          <w:i/>
          <w:iCs/>
          <w:sz w:val="24"/>
          <w:szCs w:val="24"/>
          <w:lang w:eastAsia="en-GB"/>
        </w:rPr>
        <w:t>Boehringer</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Ingelheim</w:t>
      </w:r>
      <w:proofErr w:type="spellEnd"/>
      <w:r w:rsidRPr="0053226E">
        <w:rPr>
          <w:rFonts w:ascii="Times New Roman" w:hAnsi="Times New Roman"/>
          <w:sz w:val="24"/>
          <w:szCs w:val="24"/>
          <w:lang w:eastAsia="en-GB"/>
        </w:rPr>
        <w:t xml:space="preserve"> </w:t>
      </w:r>
      <w:r w:rsidRPr="0053226E">
        <w:rPr>
          <w:rFonts w:ascii="Times New Roman" w:hAnsi="Times New Roman"/>
          <w:i/>
          <w:iCs/>
          <w:sz w:val="24"/>
          <w:szCs w:val="24"/>
          <w:lang w:eastAsia="en-GB"/>
        </w:rPr>
        <w:t>ir kt.</w:t>
      </w:r>
      <w:r w:rsidRPr="0053226E">
        <w:rPr>
          <w:rFonts w:ascii="Times New Roman" w:hAnsi="Times New Roman"/>
          <w:sz w:val="24"/>
          <w:szCs w:val="24"/>
          <w:lang w:eastAsia="en-GB"/>
        </w:rPr>
        <w:t>, C‑348/04, 32 punktas). Tai patvirtina ir kasacinio teismo praktika, kurioje nurodoma, kad išimtinių teisių į pramoninę nuosavybę, tarp jų ir į prekių ženklus, turėjimas ir įgyvendinimas įstatymų nustatyta tvarka jokiu būdu savaime dar nereiškia ir nesąžiningos konkurencijos veiksmų. Priešingos išvados apskritai prieštarautų pramoninės nuosavybės ir jos apsaugos esmei bei teisinei prigimčiai (Lietuvos Aukščiausiojo Teismo 2003 m. rugsėjo 10 d. nutartis civilinėje byloje Nr. 3K-3-781/2003).</w:t>
      </w:r>
    </w:p>
    <w:p w14:paraId="589DFD5E" w14:textId="602D0C70"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nusprendė, kad atsakovė nepagrindė teiginių, jog nagrinėjama byla yra susijusi su SESV 102 straipsnio pažeidimu.</w:t>
      </w:r>
    </w:p>
    <w:p w14:paraId="400DEEB8"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Spręsdama dėl veiksmingo atsakovės patekimo į rinką, kolegija pažymėjo, kad nors Lietuvos Respublikos farmacijos įstatymas draudžia reklamuoti receptinius vaistinius preparatus, tačiau toks draudimas nėra ir negali būti suprantamas kaip absoliutus draudimas apie receptinį vaistinį preparatą skleisti bet kokią informaciją, kuri yra skirta visuomenei informuoti ir šviesti. Vaistinis preparatas su veikliąja medžiaga </w:t>
      </w:r>
      <w:proofErr w:type="spellStart"/>
      <w:r w:rsidRPr="0053226E">
        <w:rPr>
          <w:rFonts w:ascii="Times New Roman" w:hAnsi="Times New Roman"/>
          <w:sz w:val="24"/>
          <w:szCs w:val="24"/>
          <w:lang w:eastAsia="en-GB"/>
        </w:rPr>
        <w:t>levotiroksino</w:t>
      </w:r>
      <w:proofErr w:type="spellEnd"/>
      <w:r w:rsidRPr="0053226E">
        <w:rPr>
          <w:rFonts w:ascii="Times New Roman" w:hAnsi="Times New Roman"/>
          <w:sz w:val="24"/>
          <w:szCs w:val="24"/>
          <w:lang w:eastAsia="en-GB"/>
        </w:rPr>
        <w:t xml:space="preserve"> natrio druska yra receptinis vaistinis preparatas. Pagal Farmacijos įstatymo 51 straipsnio 2 dalį, receptinius vaistinius preparatus leidžiama reklamuoti tik sveikatos priežiūros ir farmacijos specialistams skirtuose leidiniuose ir specializuotose interneto svetainėse. Tokios interneto svetainės gyventojams nėra prieinamos. Dėl šios priežasties kolegija sutiko su ieškovės argumentu, kad ginčo šalys turi vienodas sąlygas reklamuoti vaistinį preparatą Lietuvoje. Atsakovės nurodoma veiksmingo patekimo į rinką kliūtis, </w:t>
      </w:r>
      <w:r w:rsidRPr="0053226E">
        <w:rPr>
          <w:rFonts w:ascii="Times New Roman" w:hAnsi="Times New Roman"/>
          <w:sz w:val="24"/>
          <w:szCs w:val="24"/>
          <w:lang w:eastAsia="en-GB"/>
        </w:rPr>
        <w:lastRenderedPageBreak/>
        <w:t>susijusi su vaistinio preparato reklamos apribojimais, yra teisinio pobūdžio kliūtis, nulemta išimtinai įstatymų leidėjo valios ir atitinkamai nepriklausanti nei nuo ieškovės, nei nuo atsakovės veiksmų.</w:t>
      </w:r>
    </w:p>
    <w:p w14:paraId="718BCE13"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Kolegijos vertinimu, šiuo atveju atsakovės nurodomas atlygintinumo veiksnys, kad ji, Vengrijoje įsigydama lygiagrečiai importuojamą vaistinį preparatą, sumoka ir už naudojimąsi prekių ženklu, neatleidžia atsakovės nuo pareigos pagrįsti objektyvią būtinybę perpakuoti ir pervadinti vaistinį preparatą ieškovei priklausančiu žymeniu, kai pastaroji prieštarauja tokiems lygiagretaus importuotojo veiksmams.</w:t>
      </w:r>
    </w:p>
    <w:p w14:paraId="1B6DA8D0" w14:textId="3731D3CB"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pritarė pirmosios instancijos teismo išvadai, kad byloje nėra įmanoma atlikti rinkos tyrimo, siekiant išsiaiškinti pacientų poziciją dėl neperpakuoto lygiagrečiai importuojamo vaistinio preparato.</w:t>
      </w:r>
    </w:p>
    <w:p w14:paraId="58F1FB6B" w14:textId="0D96D9DB"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akcentavo, kad šioje byloje nėra ir neturėjo būti tiriamas piktnaudžiavimas dominuojančia padėtimi rinkoje, todėl atsakovės argumentus dėl taikos sutarties sąlygų prieštaravimo SESV 101 straipsniui vertino kaip teisiškai nereikšmingus.</w:t>
      </w:r>
    </w:p>
    <w:p w14:paraId="56471921"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taip pat atkreipė dėmesį, kad kita lygiagreti importuotoja UAB ,,</w:t>
      </w:r>
      <w:proofErr w:type="spellStart"/>
      <w:r w:rsidRPr="0053226E">
        <w:rPr>
          <w:rFonts w:ascii="Times New Roman" w:hAnsi="Times New Roman"/>
          <w:sz w:val="24"/>
          <w:szCs w:val="24"/>
          <w:lang w:eastAsia="en-GB"/>
        </w:rPr>
        <w:t>Niromed</w:t>
      </w:r>
      <w:proofErr w:type="spellEnd"/>
      <w:r w:rsidRPr="0053226E">
        <w:rPr>
          <w:rFonts w:ascii="Times New Roman" w:hAnsi="Times New Roman"/>
          <w:sz w:val="24"/>
          <w:szCs w:val="24"/>
          <w:lang w:eastAsia="en-GB"/>
        </w:rPr>
        <w:t xml:space="preserve">“ Lietuvoje įregistravo ir šiuo metu platina Nyderlanduose registruotą </w:t>
      </w:r>
      <w:proofErr w:type="spellStart"/>
      <w:r w:rsidRPr="0053226E">
        <w:rPr>
          <w:rFonts w:ascii="Times New Roman" w:hAnsi="Times New Roman"/>
          <w:sz w:val="24"/>
          <w:szCs w:val="24"/>
          <w:lang w:eastAsia="en-GB"/>
        </w:rPr>
        <w:t>levitiroksino</w:t>
      </w:r>
      <w:proofErr w:type="spellEnd"/>
      <w:r w:rsidRPr="0053226E">
        <w:rPr>
          <w:rFonts w:ascii="Times New Roman" w:hAnsi="Times New Roman"/>
          <w:sz w:val="24"/>
          <w:szCs w:val="24"/>
          <w:lang w:eastAsia="en-GB"/>
        </w:rPr>
        <w:t xml:space="preserve"> natrio druskos vaistinį preparatą, kurio pavadinimas – „</w:t>
      </w:r>
      <w:proofErr w:type="spellStart"/>
      <w:r w:rsidRPr="0053226E">
        <w:rPr>
          <w:rFonts w:ascii="Times New Roman" w:hAnsi="Times New Roman"/>
          <w:sz w:val="24"/>
          <w:szCs w:val="24"/>
          <w:lang w:eastAsia="en-GB"/>
        </w:rPr>
        <w:t>Euthyrox</w:t>
      </w:r>
      <w:proofErr w:type="spellEnd"/>
      <w:r w:rsidRPr="0053226E">
        <w:rPr>
          <w:rFonts w:ascii="Times New Roman" w:hAnsi="Times New Roman"/>
          <w:sz w:val="24"/>
          <w:szCs w:val="24"/>
          <w:lang w:eastAsia="en-GB"/>
        </w:rPr>
        <w:t>“. Ši aplinkybė, susijusi su kito lygiagretaus importuotojo atsiradimu rinkoje, kolegijos vertinimu, papildomai patvirtina pirmosios instancijos teismo išvadą, kad faktinės aplinkybės, susijusios su kitos lygiagrečios importuotojos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pasitraukimu iš Lietuvos rinkos, savaime nei patvirtina, nei paneigia objektyvią būtinybę atsakovei perpakuoti vaistinį preparatą nagrinėjamo ginčo faktinių aplinkybių kontekste bei galimą ieškovės atliekamą dirbtinį rinkų padalijimą.</w:t>
      </w:r>
    </w:p>
    <w:p w14:paraId="009BD7FD" w14:textId="5210B7EA"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Kolegija, įvertinusi pagrindinius apeliacinio skundo argumentus, nusprendė, kad pirmosios instancijos teismo išvada, jog atsakovė šioje byloje neįrodė, kad egzistuoja praktinės veiksmingo patekimo į rinką kliūtys, kurios lemtų atsakovei objektyvų būtinumą perpakuoti lygiagrečiai importuojamus vaistinius preparatus, yra pagrįsta ir padaryta tinkamai ištyrus Lietuvos Aukščiausiojo Teismo 2024 m. sausio 10 d. nutarties 64 punkte nurodytas aplinkybes.</w:t>
      </w:r>
    </w:p>
    <w:p w14:paraId="75B9C5F2"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Kolegijos vertinimu, byloje nustatytos aplinkybės ir pateikti įrodymai pagrindžia, kad perpakuodama ir pervadindama vaistinį preparatą atsakovė siekia komercinės naudos, kadangi neegzistuoja nei teisinės, nei praktinės kliūtys Lietuvoje pardavinėti neperpakuotą ir nepervadintą vaistinį preparatą.</w:t>
      </w:r>
    </w:p>
    <w:p w14:paraId="72EBC83A" w14:textId="77777777" w:rsidR="00FF0008" w:rsidRPr="0053226E" w:rsidRDefault="00FF0008" w:rsidP="00FF0008">
      <w:pPr>
        <w:pStyle w:val="PlainText"/>
        <w:tabs>
          <w:tab w:val="left" w:pos="426"/>
        </w:tabs>
        <w:spacing w:after="120"/>
        <w:ind w:left="360"/>
        <w:jc w:val="center"/>
        <w:rPr>
          <w:rFonts w:ascii="Times New Roman" w:hAnsi="Times New Roman" w:cs="Times New Roman"/>
          <w:sz w:val="24"/>
          <w:szCs w:val="24"/>
          <w:lang w:val="lt-LT"/>
        </w:rPr>
      </w:pPr>
    </w:p>
    <w:p w14:paraId="5A6D536D" w14:textId="77777777" w:rsidR="00FF0008" w:rsidRPr="0053226E" w:rsidRDefault="00FF0008" w:rsidP="00FF0008">
      <w:pPr>
        <w:pStyle w:val="PlainText"/>
        <w:tabs>
          <w:tab w:val="left" w:pos="426"/>
        </w:tabs>
        <w:spacing w:after="120"/>
        <w:ind w:left="360"/>
        <w:jc w:val="center"/>
        <w:rPr>
          <w:rFonts w:ascii="Times New Roman" w:hAnsi="Times New Roman" w:cs="Times New Roman"/>
          <w:sz w:val="24"/>
          <w:szCs w:val="24"/>
          <w:lang w:val="lt-LT"/>
        </w:rPr>
      </w:pPr>
      <w:r w:rsidRPr="0053226E">
        <w:rPr>
          <w:rFonts w:ascii="Times New Roman" w:hAnsi="Times New Roman" w:cs="Times New Roman"/>
          <w:sz w:val="24"/>
          <w:szCs w:val="24"/>
          <w:lang w:val="lt-LT"/>
        </w:rPr>
        <w:t>III. Kasacinio skundo ir atsiliepimo į jį teisiniai argumentai</w:t>
      </w:r>
    </w:p>
    <w:p w14:paraId="2F266E44" w14:textId="77777777" w:rsidR="00FF0008" w:rsidRPr="0053226E" w:rsidRDefault="00FF0008" w:rsidP="00FF0008">
      <w:pPr>
        <w:spacing w:after="120"/>
        <w:jc w:val="both"/>
      </w:pPr>
    </w:p>
    <w:p w14:paraId="7060EF3B" w14:textId="77777777" w:rsidR="00FF0008" w:rsidRPr="0053226E" w:rsidRDefault="00FF0008" w:rsidP="00FF0008">
      <w:pPr>
        <w:pStyle w:val="ListParagraph"/>
        <w:numPr>
          <w:ilvl w:val="0"/>
          <w:numId w:val="1"/>
        </w:numPr>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 kasaciniu skundu prašo panaikinti Vilniaus apygardos teismo 2024 m. spalio 1 d. dalinį sprendimą ir Lietuvos apeliacinio teismo 2025 m. vasario 6 d. nutartį; priimti naują sprendimą – ieškinį atmesti; priteisti bylinėjimosi išlaidų atlyginimą. Kasacinis skundas yra grindžiamas šiais argumentais:</w:t>
      </w:r>
    </w:p>
    <w:p w14:paraId="51C6A40B" w14:textId="14A5D84F"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Bylą nagrinėję teismai netyrė ir nevertino </w:t>
      </w:r>
      <w:bookmarkStart w:id="4" w:name="_Hlk199523120"/>
      <w:r w:rsidRPr="0053226E">
        <w:rPr>
          <w:rFonts w:ascii="Times New Roman" w:hAnsi="Times New Roman"/>
          <w:sz w:val="24"/>
          <w:szCs w:val="24"/>
          <w:lang w:eastAsia="en-GB"/>
        </w:rPr>
        <w:t xml:space="preserve">Lietuvos Aukščiausiojo Teismo </w:t>
      </w:r>
      <w:bookmarkEnd w:id="4"/>
      <w:r w:rsidRPr="0053226E">
        <w:rPr>
          <w:rFonts w:ascii="Times New Roman" w:hAnsi="Times New Roman"/>
          <w:sz w:val="24"/>
          <w:szCs w:val="24"/>
          <w:lang w:eastAsia="en-GB"/>
        </w:rPr>
        <w:t xml:space="preserve">2024 m. sausio 10 d. nutarties 64 punkte nurodytų aplinkybių išsamiai, visapusiškai, kaip to reikalaujama nutarties 65–66 punktuose, taip nukrypo nuo </w:t>
      </w:r>
      <w:r w:rsidR="00624884" w:rsidRPr="0053226E">
        <w:rPr>
          <w:rFonts w:ascii="Times New Roman" w:hAnsi="Times New Roman"/>
          <w:sz w:val="24"/>
          <w:szCs w:val="24"/>
          <w:lang w:eastAsia="en-GB"/>
        </w:rPr>
        <w:t>jo</w:t>
      </w:r>
      <w:r w:rsidRPr="0053226E">
        <w:rPr>
          <w:rFonts w:ascii="Times New Roman" w:hAnsi="Times New Roman"/>
          <w:sz w:val="24"/>
          <w:szCs w:val="24"/>
          <w:lang w:eastAsia="en-GB"/>
        </w:rPr>
        <w:t>je pateiktų išaiškinimų. Teismai nepagrįstai susiaurino ginčo ribas, apsiribojo formaliu ginčo nagrinėjimu ir suabsoliutino vaistinių poziciją ginčo klausimu:</w:t>
      </w:r>
    </w:p>
    <w:p w14:paraId="4C900C58" w14:textId="77777777"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Atsakovės į civilinę bylą pateikta teisinė išvada dėl dirbtinio rinkų padalinimo teismų buvo neįvertinta. </w:t>
      </w:r>
    </w:p>
    <w:p w14:paraId="4D365759" w14:textId="64A9FB38"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Kitos lygiagrečios importuotojos pasitraukimo iš rinkos aplinkybės liko neatskleistos. Lietuvos apeliacinis teismas, šiurkščiai pažeisdamas proceso teisės taisykles, atsisakė </w:t>
      </w:r>
      <w:r w:rsidRPr="0053226E">
        <w:rPr>
          <w:rFonts w:ascii="Times New Roman" w:hAnsi="Times New Roman"/>
          <w:sz w:val="24"/>
          <w:szCs w:val="24"/>
          <w:lang w:eastAsia="en-GB"/>
        </w:rPr>
        <w:lastRenderedPageBreak/>
        <w:t>priimti atsakovės teiktus įrodymus ir pateikė klaidingą išvadą dėl kitos lygiagrečios importuotojos UAB „</w:t>
      </w:r>
      <w:proofErr w:type="spellStart"/>
      <w:r w:rsidRPr="0053226E">
        <w:rPr>
          <w:rFonts w:ascii="Times New Roman" w:hAnsi="Times New Roman"/>
          <w:sz w:val="24"/>
          <w:szCs w:val="24"/>
          <w:lang w:eastAsia="en-GB"/>
        </w:rPr>
        <w:t>Niromed</w:t>
      </w:r>
      <w:proofErr w:type="spellEnd"/>
      <w:r w:rsidRPr="0053226E">
        <w:rPr>
          <w:rFonts w:ascii="Times New Roman" w:hAnsi="Times New Roman"/>
          <w:sz w:val="24"/>
          <w:szCs w:val="24"/>
          <w:lang w:eastAsia="en-GB"/>
        </w:rPr>
        <w:t>“ atėjimo į rinką.</w:t>
      </w:r>
    </w:p>
    <w:p w14:paraId="38C1C0D5" w14:textId="681777BF"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Teismai pripažino, kad atlikti rinkos tyrimą, siekiant išsiaiškinti pacientų poziciją dėl neperpakuoto lygiagrečiai importuojamo vaistinio preparato, yra neįmanoma.</w:t>
      </w:r>
    </w:p>
    <w:p w14:paraId="7C0F7A80" w14:textId="6759C382"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Teismai nusprendė, kad atsakovė neįrodė, jog vaistinės atsisako prekiauti neperpakuotais ir nepervadintais lygiagrečiai importuojamais vaistiniais preparatais. Sukurta teisiškai ydinga situacija, kai, lygiagrečiai importuotojai negavus tiesioginio vaistinių atsisakymo prekiauti nepervadintais ir neperpakuotais vaistais, vaistinių preparatų monopolininkei suteikiama neribota laisvė prieštarauti lygiagrečiai importuojamų vaistinių preparatų pervadinimui ir perpakavimui.</w:t>
      </w:r>
    </w:p>
    <w:p w14:paraId="78DB7982" w14:textId="2EB4421C"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Apeliacinės instancijos teismas nusprendė, kad jeigu atsakovė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vaistu prekiaus pigiau, nei ieškovė prekiauja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tai galėtų orientuotis į 20 proc. pacientų rinkos.</w:t>
      </w:r>
    </w:p>
    <w:p w14:paraId="16D1578E" w14:textId="51CD7F30"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bookmarkStart w:id="5" w:name="_Hlk199524155"/>
      <w:r w:rsidRPr="0053226E">
        <w:rPr>
          <w:rFonts w:ascii="Times New Roman" w:hAnsi="Times New Roman"/>
          <w:sz w:val="24"/>
          <w:szCs w:val="24"/>
          <w:lang w:eastAsia="en-GB"/>
        </w:rPr>
        <w:t xml:space="preserve">Apeliacinės instancijos </w:t>
      </w:r>
      <w:bookmarkEnd w:id="5"/>
      <w:r w:rsidRPr="0053226E">
        <w:rPr>
          <w:rFonts w:ascii="Times New Roman" w:hAnsi="Times New Roman"/>
          <w:sz w:val="24"/>
          <w:szCs w:val="24"/>
          <w:lang w:eastAsia="en-GB"/>
        </w:rPr>
        <w:t>teismas, nutartyje pateikdamas ES teisės aiškinimo taisyklę, kad BMS pirmajai sąlygai vertinti nėra taikomos ES konkurencijos teisės taisyklės ir metodai, nukrypo nuo Lietuvos Aukščiausiojo Teismo nutartimi pateiktų išaiškinimų, viršijo savo kompetenciją ir paneigė ESTT funkcijas. Nutartimi buvo pažeista SESV 256 straipsnio 3 dalis, 267 straipsnis, CPK 3 straipsnio 5 dalis ir sukurta beprecedentė situacija dėl nacionalinio teismo viršenybės ESTT atžvilgiu. Kasacinis teismas konstatavo, kad ginčas yra susijęs su veiksminga konkurencija bei jos apribojimu. Apeliacinės instancijos teismo pateikta teisės taikymo ir aiškinimo taisyklė yra nesuderinama su ESTT praktika ir ES teisės doktrina, pagal kurią pati pirmoji BMS sąlyga turi būti nustatoma pagal ES konkurencijos teisės metodus, kurie yra naudojami vertinant visas galimas patekimo į rinką kliūtis. Teismai</w:t>
      </w:r>
      <w:r w:rsidRPr="0053226E">
        <w:t xml:space="preserve"> </w:t>
      </w:r>
      <w:r w:rsidRPr="0053226E">
        <w:rPr>
          <w:rFonts w:ascii="Times New Roman" w:hAnsi="Times New Roman"/>
          <w:sz w:val="24"/>
          <w:szCs w:val="24"/>
          <w:lang w:eastAsia="en-GB"/>
        </w:rPr>
        <w:t>neatsižvelgė į tai, kad ieškovė yra dominuojantis ūkio subjektas vaistinio preparato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xml:space="preserve">“ prekyboje Lietuvos rinkoje. </w:t>
      </w:r>
      <w:r w:rsidR="00624884" w:rsidRPr="0053226E">
        <w:rPr>
          <w:rFonts w:ascii="Times New Roman" w:hAnsi="Times New Roman"/>
          <w:sz w:val="24"/>
          <w:szCs w:val="24"/>
          <w:lang w:eastAsia="en-GB"/>
        </w:rPr>
        <w:t>I</w:t>
      </w:r>
      <w:r w:rsidRPr="0053226E">
        <w:rPr>
          <w:rFonts w:ascii="Times New Roman" w:hAnsi="Times New Roman"/>
          <w:sz w:val="24"/>
          <w:szCs w:val="24"/>
          <w:lang w:eastAsia="en-GB"/>
        </w:rPr>
        <w:t xml:space="preserve">eškovė, įgyvendindama prekių ženklo savininko teises, uždarė vaistinio preparato rinką Lietuvoje, tokiu būdu pašalino bet kokią konkurenciją. SESV 34–36, 102 straipsnis, Reglamento Nr. 2017/1001 dėl Europos Sąjungos prekių ženklo 15 straipsnio 1–2 dalys ir </w:t>
      </w:r>
      <w:r w:rsidR="00156542" w:rsidRPr="0053226E">
        <w:rPr>
          <w:rFonts w:ascii="Times New Roman" w:hAnsi="Times New Roman"/>
          <w:sz w:val="24"/>
          <w:szCs w:val="24"/>
          <w:lang w:eastAsia="en-GB"/>
        </w:rPr>
        <w:t xml:space="preserve">2015 m. gruodžio 16 d. Europos Parlamento ir Tarybos direktyvos (ES) 2015/2436 valstybių narių teisės aktams, susijusiems su prekių ženklais, suderinti (toliau – </w:t>
      </w:r>
      <w:r w:rsidRPr="0053226E">
        <w:rPr>
          <w:rFonts w:ascii="Times New Roman" w:hAnsi="Times New Roman"/>
          <w:sz w:val="24"/>
          <w:szCs w:val="24"/>
          <w:lang w:eastAsia="en-GB"/>
        </w:rPr>
        <w:t>Direktyv</w:t>
      </w:r>
      <w:r w:rsidR="00156542" w:rsidRPr="0053226E">
        <w:rPr>
          <w:rFonts w:ascii="Times New Roman" w:hAnsi="Times New Roman"/>
          <w:sz w:val="24"/>
          <w:szCs w:val="24"/>
          <w:lang w:eastAsia="en-GB"/>
        </w:rPr>
        <w:t>a</w:t>
      </w:r>
      <w:r w:rsidRPr="0053226E">
        <w:rPr>
          <w:rFonts w:ascii="Times New Roman" w:hAnsi="Times New Roman"/>
          <w:sz w:val="24"/>
          <w:szCs w:val="24"/>
          <w:lang w:eastAsia="en-GB"/>
        </w:rPr>
        <w:t xml:space="preserve"> Nr. 2015/2436</w:t>
      </w:r>
      <w:r w:rsidR="00156542" w:rsidRPr="0053226E">
        <w:rPr>
          <w:rFonts w:ascii="Times New Roman" w:hAnsi="Times New Roman"/>
          <w:sz w:val="24"/>
          <w:szCs w:val="24"/>
          <w:lang w:eastAsia="en-GB"/>
        </w:rPr>
        <w:t>)</w:t>
      </w:r>
      <w:r w:rsidRPr="0053226E">
        <w:rPr>
          <w:rFonts w:ascii="Times New Roman" w:hAnsi="Times New Roman"/>
          <w:sz w:val="24"/>
          <w:szCs w:val="24"/>
          <w:lang w:eastAsia="en-GB"/>
        </w:rPr>
        <w:t xml:space="preserve"> 15 straipsnio 1–2 dalys turėtų būti aiškinamos taip, kad „efektyvaus“, „veiksmingo“ patekimo į importo valstybės narės rinką su eksporto valstybės narės žymeniu kliūtys turėtų būti nustatomos (vertinamos) taikant imperatyvias ES konkurencijos teisės taisykles, tik pagal kurias ir turėtų būti nustatomos patekimo į rinką kliūtys, įskaitant ieškovės piktnaudžiavimą intelektinės nuosavybės teisėmis, dirbtinai ribojantį konkurenciją, kuri galėtų atsirasti prekybos tarp valstybių narių pagrindu. Kito metodo, kaip veiksmingo patekimo į rinką kliūtys turėtų būti nustatomos (vertinamos) Lietuvos rinkoje, nėra.</w:t>
      </w:r>
    </w:p>
    <w:p w14:paraId="7818A8A4" w14:textId="77777777"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Pirmoji Lietuvos Aukščiausiojo Teismo nutartyje nurodyta sąlyga, t. y. dominavimo ir piktnaudžiavimo (naudojimosi intelektinės nuosavybės teisėmis ne pagal paskirtį) sąlyga, turėtų būti vertinama atsižvelgiant į tai, ar ieškovė, pastaruosius 15 metų užimdama 100 proc.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vaisto rinkos Lietuvoje, turėdama konkurencinį gerai žinomo žymens pranašumą ir vartotojų lojalumą žymeniui, tačiau jokia apimtimi Lietuvos teritorijoje nenaudodama žymens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nepiktnaudžiauja dominuojančia padėtimi (t. y. intelektinės nuosavybės teisėmis) ir (ar) kodėl piktnaudžiauja, kai intelektinės nuosavybės teises įgyvendina taip, kad būtų ribojama konkurencija, kuri galėtų atsirasti prekybos tarp valstybių narių pagrindu.</w:t>
      </w:r>
    </w:p>
    <w:p w14:paraId="650A9569" w14:textId="17FC31B3"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Antroji Lietuvos Aukščiausiojo Teismo nutartyje nurodyta sąlyga, t. y. dominavimo ir piktnaudžiavimo intelektinės nuosavybės teisėmis sąlyga kitos lygiagrečios importuotojos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xml:space="preserve">“ atžvilgiu, turėtų būti vertinama atsižvelgiant į tai, ar intelektinės nuosavybės teisių turėtojo kreipimasis į teismą dėl potencialių konkurentų </w:t>
      </w:r>
      <w:r w:rsidRPr="0053226E">
        <w:rPr>
          <w:rFonts w:ascii="Times New Roman" w:hAnsi="Times New Roman"/>
          <w:sz w:val="24"/>
          <w:szCs w:val="24"/>
          <w:lang w:eastAsia="en-GB"/>
        </w:rPr>
        <w:lastRenderedPageBreak/>
        <w:t>veiksmų ir šiuose ginčuose taikos sutarčių sudarymas su potencialiais konkurentais gali būti laikomas piktnaudžiavimu intelektinės nuosavybės teisėmis, pažeidžiant SESV 102 straipsnio nuostatas.</w:t>
      </w:r>
    </w:p>
    <w:p w14:paraId="6212C478" w14:textId="410B5FB7"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Trečioji Lietuvos Aukščiausiojo Teismo nutartyje nurodyta sąlyga turėtų būti vertinama atsižvelgiant į ES konkurencijos teisės imperatyvus, t. y. veiksmingo patekimo į rinką kliūtis (SESV 34–36 straipsniai, 102 straipsnio 1 dalis). Vertinant, ar yra veiksmingo patekimo į rinką kliūčių, privalu atsižvelgti į paklausos elastingumo nebuvimą dėl vartotojų lojalumo prekės ženklui, tinklo poveikį ir pasiūlos pakeičiamumo išlaidas (pvz., aplinkybę, kad atsakovė neturi teisės vykdyti rinkodaros funkcijų, integruojant žymenį, kuris Lietuvos rinkoje užima 0 proc.); veiksmingo patekimo į rinką kliūtis privalu vertinti pagal patekimo į rinką tikėtinumo, savalaikiškumo ir pakankamumo kriterijus.</w:t>
      </w:r>
    </w:p>
    <w:p w14:paraId="05081BF2" w14:textId="77777777" w:rsidR="00FF0008" w:rsidRPr="0053226E" w:rsidRDefault="00FF0008" w:rsidP="00FF0008">
      <w:pPr>
        <w:pStyle w:val="ListParagraph"/>
        <w:numPr>
          <w:ilvl w:val="2"/>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Dėl ketvirtosios Lietuvos Aukščiausiojo Teismo nutartyje nurodytos sąlygos bylą nagrinėjantys teismai nevykdė aktyvaus teismo vaidmens, negynė viešojo intereso konkurencijos apribojimo byloje, pažeidė Konkurencijos įstatymo 57 straipsnio 1 dalyje nustatytą pareigą apie šią bylą informuoti Konkurencijos tarybą ir savo iniciatyva nesikreipė į Konkurencijos tarybą arba Europos Komisiją kaip į išvadą nagrinėjamu klausimu duodančias institucijas, taip šiurkščiai pažeidė CPK 49 straipsnio 3 dalį, 179 straipsnio 2 dalį, Reglamento Nr. 1/2003 21 punktą ir Konkurencijos įstatymo 57 straipsnio 1 dalį.</w:t>
      </w:r>
    </w:p>
    <w:p w14:paraId="2324B90E" w14:textId="15372903"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Apeliacinės instancijos teismas padarė šiurkščią teisės taikymo ir aiškinimo klaidą, nusprendęs, kad konkurencijos teisės normos yra netaikomos. Naudojimosi intelektinės nuosavybės apsaugos ne pagal paskirtį aplinkybėmis gali būti pripažįstami įvairūs atvejai, pvz., intelektinės nuosavybės teisių įgyvendinimas: (i) ribojant konkurenciją, kuri gali atsirasti prekybos tarp valstybių narių pagrindu; (ii) sudarant konkurenciją ribojančius susitarimus (pvz., taikos sutarčių su potencialiais konkurentais ginčuose dėl intelektinės nuosavybės teisių pažeidimo sudarymas), tą ieškovė galimai atliko kitos lygiagrečios importuotos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atžvilgiu, tačiau tai liko net neištirta; (iii) teisių turėtojui kreipiantis į teismą dėl teisių pažeidimo, prašant uždrausti naudotis intelektinės nuosavybės teisės objektu, kai kreipimasis į teismą pagal situaciją yra nebūtinas ir kurio nesant nebūtų sudarytos papildomos patekimo į rinką kliūtys potencialiems konkurentams; (iv) ar paprasčiausias naudojimasis negatyviosiomis teisėmis, kai jomis naudojasi dominuojantis ūkio subjektas ir toks naudojimasis riboja konkurenciją. Taigi vertindami, ar ieškovė, naudodamasi intelektinės nuosavybės teisėmis, nepiktnaudžiauja dominuojančia padėtimi, bylą nagrinėję teismai privalėjo įvertinti: ar ieškovė yra dominuojantis ūkio subjektas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vaisto rinkoje Lietuvoje atžvilgiu; jei ieškovė yra dominuojantis ūkio subjektas, ar ji neįgyvendino intelektinės nuosavybės teisių taip, kad būtų sudarytos papildomos patekimo į rinką kliūtys ir (ar) apribota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vaisto rinkoje Lietuvoje konkurencija, kuri galėtų atsirasti prekybos tarp valstybių narių pagrindu. Potencialios konkurencijos nebuvimas taip pat sudaro savarankišką pagrindą konstatuoti objektyvų būtinumą pervadinti ar perpakuoti Vengrijoje įsigytą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vaistą. Jeigu yra nustatoma, kad ieškovė, įgyvendindama intelektinės nuosavybės teises, sudarė papildomas patekimo į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vaisto rinką Lietuvoje kliūtis ir (ar) apribojo konkurenciją kainomis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vaisto atžvilgiu Lietuvoje, kuri galėtų atsirasti prekybos tarp valstybių narių pagrindu, tai taip pat sudaro pagrindą konstatuoti objektyvų būtinumą pervadinti ar perpakuoti Vengrijoje įsigytą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vaistą. Lietuvos apeliacinis teismas, susidūręs su ES teisės taikymo problematika (nesant aktualaus ESTT išaiškinimo ginčo klausimu), neturėjo kompetencijos savarankiškai pateikti ES teisės taikymo ir aiškinimo taisyklės, o privalėjo kreiptis į ESTT su prašymu dėl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priėmimo.</w:t>
      </w:r>
    </w:p>
    <w:p w14:paraId="52DC1305" w14:textId="77777777" w:rsidR="00FF0008" w:rsidRPr="0053226E" w:rsidRDefault="00FF0008" w:rsidP="00FF0008">
      <w:pPr>
        <w:pStyle w:val="ListParagraph"/>
        <w:numPr>
          <w:ilvl w:val="1"/>
          <w:numId w:val="1"/>
        </w:numPr>
        <w:tabs>
          <w:tab w:val="clear" w:pos="357"/>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Nutartimi buvo pažeistas CPK 179 straipsnio 2 dalies 3 punktas. Apeliacinės instancijos teismas nepagrįstai nesivadovavo Lietuvos teismų informacinės sistemos LITEKO </w:t>
      </w:r>
      <w:r w:rsidRPr="0053226E">
        <w:rPr>
          <w:rFonts w:ascii="Times New Roman" w:hAnsi="Times New Roman"/>
          <w:sz w:val="24"/>
          <w:szCs w:val="24"/>
          <w:lang w:eastAsia="en-GB"/>
        </w:rPr>
        <w:lastRenderedPageBreak/>
        <w:t>duomenimis, todėl kitos lygiagrečios importuotojos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pasitraukimo iš rinkos aplinkybės liko neatskleistos. Teismas turėjo pareigą ginčą dėl pirmosios BMS sąlygos egzistavimo spręsti iš esmės, sudarydamas visapusiškas sąlygas atsakovei gintis nuo ieškovės pareikštų reikalavimų. Jeigu yra nustatoma, kad ieškovė pagal taikos sutartį perdavė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tam tikros sutartinės vertės (piniginio ir (ar) nepiniginio pobūdžio) mainais į tai, kad UAB „</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xml:space="preserve">“ atsisakytų ketinimų toliau mėginti patekti į rinką su „L- </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vaistu, pažymėtu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xml:space="preserve"> žymeniu, tai galima daryti tvirtą išvadą dėl ieškovės piktnaudžiavimo dominuojančia padėtimi. Pagal CPK 9, 10 straipsnius ir 179 straipsnio 2 dalį teismas, gindamas viešąjį interesą (saugodamas konkurenciją Lietuvos rinkoje ir vykdydamas pareigą saugoti prekybą tarp valstybių narių), visa apimtimi privalo naudotis duomenimis, kurie sudaro civilinės bylos Nr. e2-1046-580/2022 dalyką, įskaitant analizuoti taikos sutartį, kuri potencialiai apribojo konkurenciją. Teismams neteisėtai atsisakant SESV 101–102 straipsnių aspektu vertinti ir analizuoti taikos sutartį, kurią vertinti ir analizuoti įpareigojo ne tik Lietuvos Aukščiausiojo Teismo nutarties suformuota antroji sąlyga, bet ir poreikis ginti viešąjį interesą, buvo šiurkščiai pažeistos CPK 179 straipsnio 2–3 dalių, SESV 102 straipsnio nuostatos. </w:t>
      </w:r>
    </w:p>
    <w:p w14:paraId="5FD284DA" w14:textId="77777777" w:rsidR="00FF0008" w:rsidRPr="0053226E" w:rsidRDefault="00FF0008" w:rsidP="00FF0008">
      <w:pPr>
        <w:pStyle w:val="ListParagraph"/>
        <w:numPr>
          <w:ilvl w:val="1"/>
          <w:numId w:val="1"/>
        </w:numPr>
        <w:tabs>
          <w:tab w:val="clear" w:pos="357"/>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Buvo pažeisti ir CPK 49 straipsnio 3 dalies reikalavimai. Atsakovei nebuvo sudarytos sąlygos šioje civilinėje byloje atlikti vaisto paklausos santykinio pakeičiamumo vertinimą. Bylą nagrinėjant pirmosios instancijos teisme atsakovė pateikė rašytinius įrodymus, patvirtinančius, kad ji be teismo įsikišimo neturi galimybės atlikti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vaisto santykinio pakeičiamumo tyrimo, nes tokie duomenys jai nėra atskleidžiami.</w:t>
      </w:r>
      <w:r w:rsidRPr="0053226E">
        <w:t xml:space="preserve"> </w:t>
      </w:r>
      <w:r w:rsidRPr="0053226E">
        <w:rPr>
          <w:rFonts w:ascii="Times New Roman" w:hAnsi="Times New Roman"/>
          <w:sz w:val="24"/>
          <w:szCs w:val="24"/>
          <w:lang w:eastAsia="en-GB"/>
        </w:rPr>
        <w:t xml:space="preserve">Nagrinėdamas bylą teismas, remdamasis CPK 49 straipsnio 3 dalimi, 179 straipsnio 2 dalimi, Reglamento Nr. 1/2003 dėl konkurencijos taisyklių, nustatytų Sutarties 81 ir 82 straipsniuose, įgyvendinimo, 21 punkto nuostatomis ir Konkurencijos įstatymo 57 straipsnio 1 dalies nuostatomis, privalėjo į bylos nagrinėjimą įtraukti Konkurencijos tarybą arba Europos Komisiją, kaip išvadą duodančias institucijas, kurios įstatymų nustatytais atvejais turi teisę ne tik rinkti su rinkos apibrėžimu susijusius duomenis, bet ir juos įvertinti bei pateikti su tuo susijusią išvadą (Konkurencijos įstatymo 17–18 straipsniai). </w:t>
      </w:r>
    </w:p>
    <w:p w14:paraId="2A3F7776"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 prašo perduoti šią bylą nagrinėti išplėstinei teisėjų kolegijai; skirti žodinį bylos nagrinėjimą, nes byla sudėtinga, susijusi su viešuoju interesu, visu farmacijos sektoriumi, visuomenei aktualiais ir svarbiais klausimais, pacientų gerove, vartotojų interesais, ją nagrinėjant žodinio proceso tvarka būtų tiesiogiai nustatytos ir patikslintos visos kasaciniam skundui išnagrinėti būtinos aplinkybės.</w:t>
      </w:r>
    </w:p>
    <w:p w14:paraId="5FD6C2A8" w14:textId="77777777"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Atsakovė taip pat prašo sustabdyti bylos nagrinėjimą ir kreiptis į ESTT dėl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priėmimo pagal SESV </w:t>
      </w:r>
      <w:bookmarkStart w:id="6" w:name="_Hlk199529928"/>
      <w:r w:rsidRPr="0053226E">
        <w:rPr>
          <w:rFonts w:ascii="Times New Roman" w:hAnsi="Times New Roman"/>
          <w:sz w:val="24"/>
          <w:szCs w:val="24"/>
          <w:lang w:eastAsia="en-GB"/>
        </w:rPr>
        <w:t xml:space="preserve">34–36, 102 straipsnius, Reglamento Nr. 2017/1001 15 straipsnio 1–2 dalis ir Direktyvos Nr. 2015/2436 15 straipsnio 1–2 dalis </w:t>
      </w:r>
      <w:bookmarkEnd w:id="6"/>
      <w:r w:rsidRPr="0053226E">
        <w:rPr>
          <w:rFonts w:ascii="Times New Roman" w:hAnsi="Times New Roman"/>
          <w:sz w:val="24"/>
          <w:szCs w:val="24"/>
          <w:lang w:eastAsia="en-GB"/>
        </w:rPr>
        <w:t>dėl „efektyvaus“, „veiksmingo“ patekimo į valstybės narės rinką vertinimo sąlygų.</w:t>
      </w:r>
      <w:r w:rsidRPr="0053226E">
        <w:t xml:space="preserve"> </w:t>
      </w:r>
      <w:r w:rsidRPr="0053226E">
        <w:rPr>
          <w:rFonts w:ascii="Times New Roman" w:hAnsi="Times New Roman"/>
          <w:sz w:val="24"/>
          <w:szCs w:val="24"/>
          <w:lang w:eastAsia="en-GB"/>
        </w:rPr>
        <w:t xml:space="preserve">ES konkurencijos teisės metodai, nustatantys patekimo į rinką kliūtis, yra ir turi būti taikomi BMS sąlygoms vertinant, ar neegzistuoja veiksmingo patekimo į rinką kliūtys. Iš ESTT 2022 m. lapkričio 17 d. sprendimo byloje </w:t>
      </w:r>
      <w:proofErr w:type="spellStart"/>
      <w:r w:rsidRPr="0053226E">
        <w:rPr>
          <w:rFonts w:ascii="Times New Roman" w:hAnsi="Times New Roman"/>
          <w:i/>
          <w:iCs/>
          <w:sz w:val="24"/>
          <w:szCs w:val="24"/>
          <w:lang w:eastAsia="en-GB"/>
        </w:rPr>
        <w:t>Impexeco</w:t>
      </w:r>
      <w:proofErr w:type="spellEnd"/>
      <w:r w:rsidRPr="0053226E">
        <w:rPr>
          <w:rFonts w:ascii="Times New Roman" w:hAnsi="Times New Roman"/>
          <w:i/>
          <w:iCs/>
          <w:sz w:val="24"/>
          <w:szCs w:val="24"/>
          <w:lang w:eastAsia="en-GB"/>
        </w:rPr>
        <w:t xml:space="preserve"> NV prieš </w:t>
      </w:r>
      <w:proofErr w:type="spellStart"/>
      <w:r w:rsidRPr="0053226E">
        <w:rPr>
          <w:rFonts w:ascii="Times New Roman" w:hAnsi="Times New Roman"/>
          <w:i/>
          <w:iCs/>
          <w:sz w:val="24"/>
          <w:szCs w:val="24"/>
          <w:lang w:eastAsia="en-GB"/>
        </w:rPr>
        <w:t>Novartis</w:t>
      </w:r>
      <w:proofErr w:type="spellEnd"/>
      <w:r w:rsidRPr="0053226E">
        <w:rPr>
          <w:rFonts w:ascii="Times New Roman" w:hAnsi="Times New Roman"/>
          <w:i/>
          <w:iCs/>
          <w:sz w:val="24"/>
          <w:szCs w:val="24"/>
          <w:lang w:eastAsia="en-GB"/>
        </w:rPr>
        <w:t xml:space="preserve"> AG ir kt.</w:t>
      </w:r>
      <w:r w:rsidRPr="0053226E">
        <w:rPr>
          <w:rFonts w:ascii="Times New Roman" w:hAnsi="Times New Roman"/>
          <w:sz w:val="24"/>
          <w:szCs w:val="24"/>
          <w:lang w:eastAsia="en-GB"/>
        </w:rPr>
        <w:t>, C-253/20 ir C-254/20, aiškiai matyti, kad ESTT nepateikė išaiškinimo, kaip veiksmingo patekimo į importo valstybės narės rinką kliūtys turi būti nustatomos. Veiksmingo patekimo į rinką kliūčių nustatymas pagal konkurencijos apribojimo sąlygas reiškia, kad veiksmingo patekimo į rinką kliūtys turi būti nustatomos pagal ES konkurencijos teisės metodus. Atsakovė neturi jokių teisinių galimybių vykdyti rinkodaros (Farmacijos įstatymo 49 straipsnio 4, 5 dalys), patirti jos išlaidų ir į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vaisto rinką mėginti patekti su naujo šio preparato žymeniu. Be to, receptinių vaistų (toks yra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reklama apskritai draudžiama pagal Farmacijos įstatymo 49 straipsnio 7 dalies 2 punktą ir 50 straipsnio 2 dalies 2 punktą. Taigi, yra konkrečios kliūtys faktiškai patekti į vaisto rinką, jį žymint kitu negu ieškovės žymeniu (to faktiškai neįmanoma padaryti, kai atsakovei draudžiama vykdyti vaisto rinkodarą (reklamą), t. y. ieškovei priklausantį kitą prekių ženklą įvesti į rinką (sukurti naują rinką), o tai visiškai nedera su ES suprantama lygiagretaus importo prekybos forma. Negana to, atsakovės patekimas į vaisto </w:t>
      </w:r>
      <w:r w:rsidRPr="0053226E">
        <w:rPr>
          <w:rFonts w:ascii="Times New Roman" w:hAnsi="Times New Roman"/>
          <w:sz w:val="24"/>
          <w:szCs w:val="24"/>
          <w:lang w:eastAsia="en-GB"/>
        </w:rPr>
        <w:lastRenderedPageBreak/>
        <w:t>rinką Lietuvoje, jį žymint kitu žymeniu, nebūtų veiksmingas, nes dėl tinklo poveikio ir ilgai trunkančios ieškovės dominuojančios padėties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vaisto atžvilgiu susiformavusi vaisto paklausa Lietuvoje yra lojali gerai žinomam žymeniui „L-</w:t>
      </w:r>
      <w:proofErr w:type="spellStart"/>
      <w:r w:rsidRPr="0053226E">
        <w:rPr>
          <w:rFonts w:ascii="Times New Roman" w:hAnsi="Times New Roman"/>
          <w:sz w:val="24"/>
          <w:szCs w:val="24"/>
          <w:lang w:eastAsia="en-GB"/>
        </w:rPr>
        <w:t>Thyroxin</w:t>
      </w:r>
      <w:proofErr w:type="spellEnd"/>
      <w:r w:rsidRPr="0053226E">
        <w:rPr>
          <w:rFonts w:ascii="Times New Roman" w:hAnsi="Times New Roman"/>
          <w:sz w:val="24"/>
          <w:szCs w:val="24"/>
          <w:lang w:eastAsia="en-GB"/>
        </w:rPr>
        <w:t xml:space="preserve">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xml:space="preserve">“. Egzistuoja pagrindas pripažinti veiksmingo patekimo į rinką kliūtis, jeigu jos yra vertinamos pagal ES konkurencijos apribojimo (SESV 102 straipsnio pažeidimo) sąlygas. Esant situacijai, kai byloje yra keliamas SESV 34–36, 102 straipsnių, Reglamento Nr. 2017/1001 15 straipsnio 1–2 dalių ir Direktyvos Nr. 2015/2436 15 straipsnio 1–2 dalių taikymo ir aiškinimo pagal konkurencijos apribojimo sąlygas klausimas, byloje nebuvo analizuotas SESV 102 straipsnio nuostatų galimas pažeidimas, taip pat veiksmingo patekimo į rinką kliūčių klausimas SESV 102 straipsnio pažeidimo aspektu, tai darytina išvada, kad kasacinis teismas turi pareigą stabdyti bylos nagrinėjimą ir kreiptis į ESTT, kad šis priimtų </w:t>
      </w:r>
      <w:proofErr w:type="spellStart"/>
      <w:r w:rsidRPr="0053226E">
        <w:rPr>
          <w:rFonts w:ascii="Times New Roman" w:hAnsi="Times New Roman"/>
          <w:sz w:val="24"/>
          <w:szCs w:val="24"/>
          <w:lang w:eastAsia="en-GB"/>
        </w:rPr>
        <w:t>prejudicinį</w:t>
      </w:r>
      <w:proofErr w:type="spellEnd"/>
      <w:r w:rsidRPr="0053226E">
        <w:rPr>
          <w:rFonts w:ascii="Times New Roman" w:hAnsi="Times New Roman"/>
          <w:sz w:val="24"/>
          <w:szCs w:val="24"/>
          <w:lang w:eastAsia="en-GB"/>
        </w:rPr>
        <w:t xml:space="preserve"> sprendimą šiais trimis klausimais:</w:t>
      </w:r>
    </w:p>
    <w:p w14:paraId="4CF68A3C"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Ar SESV 34–36, 102 straipsniai, Reglamento Nr. 2017/1001 15 straipsnio 1–2 dalys ir Direktyvos Nr. 2015/2436 15 straipsnio 1–2 dalys turėtų būti aiškinami taip, kad veiksmingas patekimas į importo valstybės narės rinką su eksporto valstybės narės rinkai pateikto vaisto prekių ženklu turėtų būti nustatomas pagal patekimo į importo valstybės narės rinką su eksporto valstybės narės rinkai pateikto vaisto prekių ženklu pakankamumo, savalaikiškumo ir tikėtinumo kriterijus, kurie ir yra vertinami aiškinantis, ar prekių ženklo savininkas nepiktnaudžiauja dominuojančia padėtimi, pažeisdamas SESV 102 straipsnio nuostatas?</w:t>
      </w:r>
    </w:p>
    <w:p w14:paraId="29220C85"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Ar SESV 34–36, 102 straipsniai, Reglamento Nr. 2017/1001 15 straipsnio 1–2 dalys ir Direktyvos Nr. 2015/2436 15 straipsnio 1–2 dalys turėtų būti aiškinami taip, kad:</w:t>
      </w:r>
    </w:p>
    <w:p w14:paraId="1A47134D" w14:textId="77777777" w:rsidR="00FF0008" w:rsidRPr="0053226E" w:rsidRDefault="00FF0008" w:rsidP="00073FAA">
      <w:pPr>
        <w:pStyle w:val="ListParagraph"/>
        <w:numPr>
          <w:ilvl w:val="2"/>
          <w:numId w:val="37"/>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prekių ženklo savininko dominuojanti padėtis (užimanti 100 proc. rinkos dalis) importo valstybėje narėje;</w:t>
      </w:r>
    </w:p>
    <w:p w14:paraId="33BC214D" w14:textId="77777777" w:rsidR="00FF0008" w:rsidRPr="0053226E" w:rsidRDefault="00FF0008" w:rsidP="00073FAA">
      <w:pPr>
        <w:pStyle w:val="ListParagraph"/>
        <w:numPr>
          <w:ilvl w:val="2"/>
          <w:numId w:val="37"/>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prekių ženklo savininko konkurencinis pranašumas, kurį suteikia importo valstybėje narėje esanti gerai žinomo prekės ženklo registracija;</w:t>
      </w:r>
    </w:p>
    <w:p w14:paraId="535666E1" w14:textId="77777777" w:rsidR="00FF0008" w:rsidRPr="0053226E" w:rsidRDefault="00FF0008" w:rsidP="00073FAA">
      <w:pPr>
        <w:pStyle w:val="ListParagraph"/>
        <w:numPr>
          <w:ilvl w:val="2"/>
          <w:numId w:val="37"/>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importo valstybės narės nustatytas draudimas lygiagrečiam importuotojui patirti rinkodaros ar reklamos išlaidų, importo valstybėje narėje integruojant eksporto valstybėje narėje naudojamą prekių ženklą, kuris nėra integruotas importo valstybėje narėje;</w:t>
      </w:r>
    </w:p>
    <w:p w14:paraId="34B5B2C3" w14:textId="77777777" w:rsidR="00FF0008" w:rsidRPr="0053226E" w:rsidRDefault="00FF0008" w:rsidP="00073FAA">
      <w:pPr>
        <w:pStyle w:val="ListParagraph"/>
        <w:numPr>
          <w:ilvl w:val="2"/>
          <w:numId w:val="37"/>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importo valstybėje narėje esančios paklausos lojalumas importo valstybėje narėje registruotam prekių ženklui;</w:t>
      </w:r>
    </w:p>
    <w:p w14:paraId="3997A155" w14:textId="02DF0EA5" w:rsidR="00FF0008" w:rsidRPr="0053226E" w:rsidRDefault="00FF0008" w:rsidP="00073FAA">
      <w:pPr>
        <w:pStyle w:val="ListParagraph"/>
        <w:numPr>
          <w:ilvl w:val="2"/>
          <w:numId w:val="37"/>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importo valstybėje narėje esančios paklausos tinklo poveikio ypatumas</w:t>
      </w:r>
    </w:p>
    <w:p w14:paraId="09150017" w14:textId="77777777" w:rsidR="00FF0008" w:rsidRPr="0053226E" w:rsidRDefault="00FF0008" w:rsidP="00FF0008">
      <w:pPr>
        <w:pStyle w:val="ListParagraph"/>
        <w:tabs>
          <w:tab w:val="left" w:pos="1276"/>
        </w:tabs>
        <w:snapToGrid w:val="0"/>
        <w:spacing w:after="120" w:line="240" w:lineRule="auto"/>
        <w:ind w:left="851"/>
        <w:contextualSpacing w:val="0"/>
        <w:jc w:val="both"/>
        <w:rPr>
          <w:rFonts w:ascii="Times New Roman" w:hAnsi="Times New Roman"/>
          <w:sz w:val="24"/>
          <w:szCs w:val="24"/>
          <w:lang w:eastAsia="en-GB"/>
        </w:rPr>
      </w:pPr>
      <w:r w:rsidRPr="0053226E">
        <w:rPr>
          <w:rFonts w:ascii="Times New Roman" w:hAnsi="Times New Roman"/>
          <w:sz w:val="24"/>
          <w:szCs w:val="24"/>
          <w:lang w:eastAsia="en-GB"/>
        </w:rPr>
        <w:t>turėtų būti laikoma veiksmingo patekimo į importo valstybės narės rinką su eksporto valstybės narės rinkai pateikto vaisto prekių ženklu kliūtimis?</w:t>
      </w:r>
    </w:p>
    <w:p w14:paraId="05B12D67" w14:textId="77777777" w:rsidR="00FF0008" w:rsidRPr="0053226E" w:rsidRDefault="00FF0008" w:rsidP="00FF0008">
      <w:pPr>
        <w:pStyle w:val="ListParagraph"/>
        <w:numPr>
          <w:ilvl w:val="1"/>
          <w:numId w:val="1"/>
        </w:numPr>
        <w:tabs>
          <w:tab w:val="left"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Ar SESV 34-36, 102 straipsniai, Reglamento Nr. 2017/1001 15 straipsnio 1–2 dalys ir Direktyvos Nr. 2015/2436 15 straipsnio 1–2 dalys turėtų būti aiškinami taip, kad prekių ženklo savininko prieštaravimas tam, kad eksporto valstybės narės rinkai pateikto vaisto prekių ženklas būtų pakeistas to paties vaisto, kuriuo prekiaujama importo valstybėje narėje prekių ženklu, reiškia trukdymą atitinkamam vaistui veiksmingai patekti į importo valstybės narės rinką, jeigu yra nustatoma, kad prekių ženklo savininkas tokiu prieštaravimu piktnaudžiauja dominuojančia padėtimi, pažeisdamas SESV 102 straipsnio nuostatas?</w:t>
      </w:r>
    </w:p>
    <w:p w14:paraId="792780FC" w14:textId="07334788" w:rsidR="00FF0008" w:rsidRPr="0053226E" w:rsidRDefault="00FF000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Atsiliepimu į kasacinį skundą </w:t>
      </w:r>
      <w:r w:rsidR="00073FAA" w:rsidRPr="0053226E">
        <w:rPr>
          <w:rFonts w:ascii="Times New Roman" w:hAnsi="Times New Roman"/>
          <w:sz w:val="24"/>
          <w:szCs w:val="24"/>
          <w:lang w:eastAsia="en-GB"/>
        </w:rPr>
        <w:t>ieš</w:t>
      </w:r>
      <w:r w:rsidRPr="0053226E">
        <w:rPr>
          <w:rFonts w:ascii="Times New Roman" w:hAnsi="Times New Roman"/>
          <w:sz w:val="24"/>
          <w:szCs w:val="24"/>
          <w:lang w:eastAsia="en-GB"/>
        </w:rPr>
        <w:t>kovė prašo jį atmesti ir skundžiamus teismų procesinius sprendimus palikti nepakeistus, priteisti bylinėjimosi išlaidų atlyginimą. Atsiliepimas grindžiamas šiais argumentais:</w:t>
      </w:r>
    </w:p>
    <w:p w14:paraId="7B8C4911" w14:textId="151B9C68" w:rsidR="00FF0008" w:rsidRPr="0053226E" w:rsidRDefault="00FF0008" w:rsidP="006A1A7C">
      <w:pPr>
        <w:pStyle w:val="ListParagraph"/>
        <w:numPr>
          <w:ilvl w:val="1"/>
          <w:numId w:val="1"/>
        </w:numPr>
        <w:tabs>
          <w:tab w:val="clear" w:pos="357"/>
          <w:tab w:val="num" w:pos="993"/>
        </w:tabs>
        <w:snapToGrid w:val="0"/>
        <w:spacing w:after="120" w:line="240" w:lineRule="auto"/>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Teismai bylos faktines aplinkybes vertino laikydamiesi kasacinio teismo nustatytų teisinių ginčo ribų. Kasaciniame skunde nurodytas CPK 346 straipsnio 2 dalies 2 punkto pagrindas iš tikrųjų yra susijęs ne su teisės taikymo bei aiškinimo, o su fakto klausimais. Atsakovės pozicija dėl teismų tariamo nukrypimo nuo Lietuvos Aukščiausiojo Teismo nutarties </w:t>
      </w:r>
      <w:r w:rsidRPr="0053226E">
        <w:rPr>
          <w:rFonts w:ascii="Times New Roman" w:hAnsi="Times New Roman"/>
          <w:sz w:val="24"/>
          <w:szCs w:val="24"/>
          <w:lang w:eastAsia="en-GB"/>
        </w:rPr>
        <w:lastRenderedPageBreak/>
        <w:t>64 punkte pateiktų gairių, kurios yra susijusios su faktinių aplinkybių vertinimu, apsiriboja tiesiog nesutikimu su teismų pateiktu faktinių aplinkybių vertinimu, pačiai atsakovei netinkamai interpretuojant Lietuvos Aukščiausiojo Teismo nutarties 64 punktą. Kaip patvirtino kasacinis teismas, nagrinėjamos bylos ginčo dalyką sudaro pirmosios BMS sąlygos nustatymas taikant ESTT jurisprudencijoje įtvirtintą objektyvaus būtinumo testą, pagal kurį byloje turi būti nustatyta, ar atsakovė byloje įrodė, jog egzistuoja praktinė kliūtis lygiagrečiai importuojamam vaistui patekti į rinką (vartotojai nepirktų nepervadintų ir neperpakuotų ginčo vaistų). Teismai tinkamai ir išsamiai vadovavosi Lietuvos Aukščiausiojo Teismo nutarties 64 punktu ir įvertino visas jame nurodytas aplinkybes (su jomis susijusius įrodymus). Kasacinio teismo nurodymų nepaisymas galėtų būti konstatuotas tik tuo atveju, jei teismai tų aplinkybių neįvertino visiškai, bet ne tuo pagrindu, kad viena iš ginčo šalių tiesiog nesutinka su faktinių aplinkybių vertinimu ir teismo išvadomis. Nors Lietuvos Aukščiausiasis Teismas nurodė, kad teismai turėtų imtis aktyvesnio vaidmens nustatant ir vertinant atitinkamas faktines aplinkybes, teismas neatleido atsakovės nuo įrodinėjimo pareigos ir nepriskyrė teismams pareigos patiems pradėti procesą dėl tariamo SESV 102 straipsnio pažeidimo be jokio tinkamo faktinio ar teisinio pagrindo, tiesiog „įrodymų žvejybos“ būdu. Atsakovė bando išvengti pagrindinio ESTT nustatyto ir pripažinto principo taikymo, pagal kurį vien siekis gauti komercinės naudos nėra pakankamas, kad būtų galima nustatyti objektyvų būtinumą naudoti ir pažeisti saugomą prekių ženklą pagal pirmąją BMS sąlygą. Aiškus ir konkretus objektyvaus būtinumo testas negali būti pakeistas ar paneigtas abstrakčiais argumentais, susijusiais su tariamai dominuojančio subjektu tariamu piktnaudžiavimu (šios aplinkybės būtų nustatomos tik taikant SESV 102 straipsnį). Teiginys dėl teisininko nuomonės tariamo neįvertinimo yra teisiškai nepagrįstas, nes pirmosios instancijos teismo yra aiškiai dėl jos pasisakyta (ir atitinkamai įvertinta), o tai, kad apeliacinės instancijos teismas nutartyje atskirai nepasisakė dėl jos, nereiškia, kad jos nevertino. BMS sąlygų pagrindimas negali būti pakeistas teisininko nuomone, parengta vienos suinteresuotos bylos šalies vardu. Teisininko nuomonė net nelaikytina įrodymu CPK 177 straipsnio prasme, nes neatitinka įrodymams keliamų reikalavimų. Atsakovė klaidingai teigia, jog kasacinis teismas įpareigojo teismus vertinti ir analizuoti taikos sutarties tarp ieškovės ir UAB</w:t>
      </w:r>
      <w:r w:rsidR="00456E1E" w:rsidRPr="0053226E">
        <w:rPr>
          <w:rFonts w:ascii="Times New Roman" w:hAnsi="Times New Roman"/>
          <w:sz w:val="24"/>
          <w:szCs w:val="24"/>
          <w:lang w:eastAsia="en-GB"/>
        </w:rPr>
        <w:t> </w:t>
      </w:r>
      <w:r w:rsidRPr="0053226E">
        <w:rPr>
          <w:rFonts w:ascii="Times New Roman" w:hAnsi="Times New Roman"/>
          <w:sz w:val="24"/>
          <w:szCs w:val="24"/>
          <w:lang w:eastAsia="en-GB"/>
        </w:rPr>
        <w:t>„</w:t>
      </w:r>
      <w:proofErr w:type="spellStart"/>
      <w:r w:rsidRPr="0053226E">
        <w:rPr>
          <w:rFonts w:ascii="Times New Roman" w:hAnsi="Times New Roman"/>
          <w:sz w:val="24"/>
          <w:szCs w:val="24"/>
          <w:lang w:eastAsia="en-GB"/>
        </w:rPr>
        <w:t>Actiofarma</w:t>
      </w:r>
      <w:proofErr w:type="spellEnd"/>
      <w:r w:rsidRPr="0053226E">
        <w:rPr>
          <w:rFonts w:ascii="Times New Roman" w:hAnsi="Times New Roman"/>
          <w:sz w:val="24"/>
          <w:szCs w:val="24"/>
          <w:lang w:eastAsia="en-GB"/>
        </w:rPr>
        <w:t>“ turinį, jau nekalbant apie jos turinio analizavimą SESV 102 straipsnio aspektu. Atsakovė iškreipia Lietuvos Aukščiausiojo Teismo nutartyje pateiktus išaiškinimus dėl importuojamojo vaisto kainos svarbos vertinant objektyvų būtinumą perpakuoti ir pervadinti ginčo vaistus. Lygiagrečiam importuotojui neįrodžius, jog egzistuoja objektyvus būtinumas perpakuoti ir pervadinti lygiagrečiai importuojamą vaistą (t. y. neįrodžius pirmosios BMS sąlygos), didesnės kainos nei įprasta lygiagrečiai importuojamiems vaistams taikymas yra papildomas (bet ne būtinas) indikatorius, jog lygiagretus importuotojas, pervadindamas vaistus, siekia vien komercinio pranašumo. Saugomo prekių ženklo naudojimas akivaizdžiai nėra būtinas norint veiksmingai patekti į Lietuvos rinką, o tiesiog reikalingas lygiagretaus importuotojo pelno maržai padidinti nesuteikiant jokios naudos nacionalinei sveikatos apsaugos sistemai ir pacientams. Tačiau noras padidinti pelno maržą nėra susijęs su kliūtimi patekti į rinką, tai tik komercinė naudos siekio išraiška, kurios nepakanka tam, kad būtų laikomasi objektyvaus būtinumo kriterijaus, nustatyto pagal nuoseklią ESTT praktiką.</w:t>
      </w:r>
    </w:p>
    <w:p w14:paraId="4FDC0564" w14:textId="04F4DB66" w:rsidR="00FF0008" w:rsidRPr="0053226E" w:rsidRDefault="00FF0008" w:rsidP="006A1A7C">
      <w:pPr>
        <w:pStyle w:val="ListParagraph"/>
        <w:numPr>
          <w:ilvl w:val="1"/>
          <w:numId w:val="1"/>
        </w:numPr>
        <w:tabs>
          <w:tab w:val="clear" w:pos="357"/>
          <w:tab w:val="num" w:pos="993"/>
        </w:tabs>
        <w:snapToGrid w:val="0"/>
        <w:spacing w:after="120" w:line="240" w:lineRule="auto"/>
        <w:ind w:left="788" w:hanging="431"/>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Atsakovės pozicija dėl konkurencijos teisės taikymo byloje prieštarauja ES teisei bei ESTT jurisprudencijai ir nesuderinama su Lietuvos Aukščiausiojo Teismo nutartyje pateiktais išaiškinimais. Tai, kad Lietuvos Aukščiausiojo Teismo nutartyje kalbama apie poreikį vertinti įtaką konkurencijai, savaime nesuponuoja galimo ieškovės piktnaudžiavimo dominuojančia padėtimi ir SESV 102 straipsnio pažeidimo. Remiantis ESTT praktika, lygiagrečiai importuojamų vaistų įvedimo į rinką vertinimui aktualūs SESV 34–36</w:t>
      </w:r>
      <w:r w:rsidR="00456E1E" w:rsidRPr="0053226E">
        <w:rPr>
          <w:rFonts w:ascii="Times New Roman" w:hAnsi="Times New Roman"/>
          <w:sz w:val="24"/>
          <w:szCs w:val="24"/>
          <w:lang w:eastAsia="en-GB"/>
        </w:rPr>
        <w:t> </w:t>
      </w:r>
      <w:r w:rsidRPr="0053226E">
        <w:rPr>
          <w:rFonts w:ascii="Times New Roman" w:hAnsi="Times New Roman"/>
          <w:sz w:val="24"/>
          <w:szCs w:val="24"/>
          <w:lang w:eastAsia="en-GB"/>
        </w:rPr>
        <w:t xml:space="preserve">straipsniai, užtikrinantys laisvą prekių judėjimą, o ne SESV 102 straipsnis. Lietuvos Aukščiausiojo Teismo nutartyje netiesiogiai nurodomas būtent SESV 36, o ne 102 straipsnio aktualumas nagrinėjamos bylos ginčo kontekste. Atitinkamai nėra jokio teisinio pagrindo </w:t>
      </w:r>
      <w:r w:rsidRPr="0053226E">
        <w:rPr>
          <w:rFonts w:ascii="Times New Roman" w:hAnsi="Times New Roman"/>
          <w:sz w:val="24"/>
          <w:szCs w:val="24"/>
          <w:lang w:eastAsia="en-GB"/>
        </w:rPr>
        <w:lastRenderedPageBreak/>
        <w:t xml:space="preserve">teigti, kad Lietuvos Aukščiausiojo Teismo nutartimi teismai buvo įpareigoti pirmąją BMS sąlygą nustatyti vertindami SESV 102 straipsnį. ESTT praktikoje yra aiškiai nustatyta, kad prekių ženklo savininko prieštaravimas lygiagrečiai importuojamo vaisto perpakavimui yra leidžiamas ir negali būti </w:t>
      </w:r>
      <w:r w:rsidRPr="0053226E">
        <w:rPr>
          <w:rFonts w:ascii="Times New Roman" w:hAnsi="Times New Roman"/>
          <w:i/>
          <w:iCs/>
          <w:sz w:val="24"/>
          <w:szCs w:val="24"/>
          <w:lang w:eastAsia="en-GB"/>
        </w:rPr>
        <w:t xml:space="preserve">per </w:t>
      </w:r>
      <w:proofErr w:type="spellStart"/>
      <w:r w:rsidRPr="0053226E">
        <w:rPr>
          <w:rFonts w:ascii="Times New Roman" w:hAnsi="Times New Roman"/>
          <w:i/>
          <w:iCs/>
          <w:sz w:val="24"/>
          <w:szCs w:val="24"/>
          <w:lang w:eastAsia="en-GB"/>
        </w:rPr>
        <w:t>se</w:t>
      </w:r>
      <w:proofErr w:type="spellEnd"/>
      <w:r w:rsidRPr="0053226E">
        <w:rPr>
          <w:rFonts w:ascii="Times New Roman" w:hAnsi="Times New Roman"/>
          <w:sz w:val="24"/>
          <w:szCs w:val="24"/>
          <w:lang w:eastAsia="en-GB"/>
        </w:rPr>
        <w:t xml:space="preserve"> (savaime) laikomas piktnaudžiavimu dominuojančia padėtimi ir SESV 102 straipsnio pažeidimu (ESTT 1977 m. gegužės 22 d. sprendimas byloje </w:t>
      </w:r>
      <w:proofErr w:type="spellStart"/>
      <w:r w:rsidRPr="0053226E">
        <w:rPr>
          <w:rFonts w:ascii="Times New Roman" w:hAnsi="Times New Roman"/>
          <w:i/>
          <w:iCs/>
          <w:sz w:val="24"/>
          <w:szCs w:val="24"/>
          <w:lang w:eastAsia="en-GB"/>
        </w:rPr>
        <w:t>Hoffmann</w:t>
      </w:r>
      <w:proofErr w:type="spellEnd"/>
      <w:r w:rsidRPr="0053226E">
        <w:rPr>
          <w:rFonts w:ascii="Times New Roman" w:hAnsi="Times New Roman"/>
          <w:i/>
          <w:iCs/>
          <w:sz w:val="24"/>
          <w:szCs w:val="24"/>
          <w:lang w:eastAsia="en-GB"/>
        </w:rPr>
        <w:t xml:space="preserve">-La </w:t>
      </w:r>
      <w:proofErr w:type="spellStart"/>
      <w:r w:rsidRPr="0053226E">
        <w:rPr>
          <w:rFonts w:ascii="Times New Roman" w:hAnsi="Times New Roman"/>
          <w:i/>
          <w:iCs/>
          <w:sz w:val="24"/>
          <w:szCs w:val="24"/>
          <w:lang w:eastAsia="en-GB"/>
        </w:rPr>
        <w:t>Roche</w:t>
      </w:r>
      <w:proofErr w:type="spellEnd"/>
      <w:r w:rsidRPr="0053226E">
        <w:rPr>
          <w:rFonts w:ascii="Times New Roman" w:hAnsi="Times New Roman"/>
          <w:i/>
          <w:iCs/>
          <w:sz w:val="24"/>
          <w:szCs w:val="24"/>
          <w:lang w:eastAsia="en-GB"/>
        </w:rPr>
        <w:t xml:space="preserve"> &amp; </w:t>
      </w:r>
      <w:proofErr w:type="spellStart"/>
      <w:r w:rsidRPr="0053226E">
        <w:rPr>
          <w:rFonts w:ascii="Times New Roman" w:hAnsi="Times New Roman"/>
          <w:i/>
          <w:iCs/>
          <w:sz w:val="24"/>
          <w:szCs w:val="24"/>
          <w:lang w:eastAsia="en-GB"/>
        </w:rPr>
        <w:t>Co</w:t>
      </w:r>
      <w:proofErr w:type="spellEnd"/>
      <w:r w:rsidRPr="0053226E">
        <w:rPr>
          <w:rFonts w:ascii="Times New Roman" w:hAnsi="Times New Roman"/>
          <w:i/>
          <w:iCs/>
          <w:sz w:val="24"/>
          <w:szCs w:val="24"/>
          <w:lang w:eastAsia="en-GB"/>
        </w:rPr>
        <w:t xml:space="preserve">. AG prieš </w:t>
      </w:r>
      <w:proofErr w:type="spellStart"/>
      <w:r w:rsidRPr="0053226E">
        <w:rPr>
          <w:rFonts w:ascii="Times New Roman" w:hAnsi="Times New Roman"/>
          <w:i/>
          <w:iCs/>
          <w:sz w:val="24"/>
          <w:szCs w:val="24"/>
          <w:lang w:eastAsia="en-GB"/>
        </w:rPr>
        <w:t>Centrafarm</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Vertriebsgesellschaft</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Pharmazeutischer</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Erzeugnisse</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mbH</w:t>
      </w:r>
      <w:proofErr w:type="spellEnd"/>
      <w:r w:rsidRPr="0053226E">
        <w:rPr>
          <w:rFonts w:ascii="Times New Roman" w:hAnsi="Times New Roman"/>
          <w:sz w:val="24"/>
          <w:szCs w:val="24"/>
          <w:lang w:eastAsia="en-GB"/>
        </w:rPr>
        <w:t xml:space="preserve">, C-102/77; sprendimas byloje </w:t>
      </w:r>
      <w:proofErr w:type="spellStart"/>
      <w:r w:rsidRPr="0053226E">
        <w:rPr>
          <w:rFonts w:ascii="Times New Roman" w:hAnsi="Times New Roman"/>
          <w:i/>
          <w:iCs/>
          <w:sz w:val="24"/>
          <w:szCs w:val="24"/>
          <w:lang w:eastAsia="en-GB"/>
        </w:rPr>
        <w:t>Bristol-Myers</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Squibb</w:t>
      </w:r>
      <w:proofErr w:type="spellEnd"/>
      <w:r w:rsidRPr="0053226E">
        <w:rPr>
          <w:rFonts w:ascii="Times New Roman" w:hAnsi="Times New Roman"/>
          <w:i/>
          <w:iCs/>
          <w:sz w:val="24"/>
          <w:szCs w:val="24"/>
          <w:lang w:eastAsia="en-GB"/>
        </w:rPr>
        <w:t xml:space="preserve"> ir kt.</w:t>
      </w:r>
      <w:r w:rsidRPr="0053226E">
        <w:rPr>
          <w:rFonts w:ascii="Times New Roman" w:hAnsi="Times New Roman"/>
          <w:sz w:val="24"/>
          <w:szCs w:val="24"/>
          <w:lang w:eastAsia="en-GB"/>
        </w:rPr>
        <w:t xml:space="preserve">). Kadangi atsakovė neįrodė ir nepagrindė, kad lygiagrečiai importuojamą ginčo vaistą objektyviai būtina perpakuoti ir pervadinti, turi būti daroma išvada, jog ieškovė, prieštaraudama lygiagrečiai importuojamo vaistinio preparato perpakavimui, teisėtai įgyvendina savo, kaip prekių ženklo savininkės, teises. Prieštaravimas trečiųjų šalių, kurios siekia savo naudai pasinaudoti prekių ženklu be savininko sutikimo, naudojimui nėra piktnaudžiavimas, o pati tokios teisės esmė ir prigimtis. Šis bendrasis principas taikomas visoms ES teisės nuostatoms, įskaitant SESV 102 straipsnį. Pagal ESTT praktiką, aplinkybė, jog prekių ženklo savininkas turi dominuojančią padėtį, rinkoje nedaro įtakos BMS sąlygų turiniui, sąlygoms ar taikymui, todėl savaime negali būti pagrindu konstatuoti objektyvų būtinumą pervadinti ir perpakuoti lygiagrečiai importuojamą vaistą. Atsakovė neįvykdė jai pagal ESTT praktiką tenkančios pareigos įrodyti pirmąją BMS sąlygą, konkrečiai – praktinės kliūties lygiagrečiai importuojamam ginčo vaistui be perpakavimo ir pervadinimo patekti į Lietuvos rinką buvimą, pradėjo nepagrįstai „veiksmingo patekimo į rinką“ kliūtis objektyvaus būtinumo testo (pirmosios BMS sąlygos) kontekste tapatinti su „įėjimo į rinką kliūtimis“ kaip ūkio subjekto dominuojančios padėties nustatymo kriterijumi. Tokia nauja teisės teorija ne tik nepriimtina, nes pateikta pavėluotai šiame procese, bet ir yra nesuderinama bei tiesiogiai prieštarauja fundamentaliems Europos Sąjungos ir Lietuvos teisės principams, įskaitant (i) išimtinių teisių į prekių ženklą, kaip teisėtą intelektinės nuosavybės teisę, pripažinimą; (ii) individualių teisių įgyvendinimą kaip teisėtą prekių ženklo savininko teisę; (iii) įrodinėjimo naštos priskyrimą ne prekių ženklo savininkui, o trečiajai šaliai, pažeidžiančiai prekių ženklo savininko teises, kuri turi įrodyti išimtinį pagrindą, pateisinantį ženklo naudojimą (pažeidimą). Lietuvos apeliacinis teismas pagrįstai atsisakė kreiptis į ESTT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siekiant nustatyti, ar byloje taikomi konkurencijos teisės apribojimai.</w:t>
      </w:r>
    </w:p>
    <w:p w14:paraId="46C79CAD" w14:textId="77777777" w:rsidR="00FF0008" w:rsidRPr="0053226E" w:rsidRDefault="00FF0008" w:rsidP="006A1A7C">
      <w:pPr>
        <w:pStyle w:val="ListParagraph"/>
        <w:numPr>
          <w:ilvl w:val="1"/>
          <w:numId w:val="1"/>
        </w:numPr>
        <w:tabs>
          <w:tab w:val="num" w:pos="993"/>
        </w:tabs>
        <w:snapToGrid w:val="0"/>
        <w:spacing w:after="120" w:line="240" w:lineRule="auto"/>
        <w:ind w:left="788" w:hanging="431"/>
        <w:contextualSpacing w:val="0"/>
        <w:jc w:val="both"/>
        <w:rPr>
          <w:rFonts w:ascii="Times New Roman" w:hAnsi="Times New Roman"/>
          <w:sz w:val="24"/>
          <w:szCs w:val="24"/>
          <w:lang w:eastAsia="en-GB"/>
        </w:rPr>
      </w:pPr>
      <w:r w:rsidRPr="0053226E">
        <w:rPr>
          <w:rFonts w:ascii="Times New Roman" w:hAnsi="Times New Roman"/>
          <w:sz w:val="24"/>
          <w:szCs w:val="24"/>
          <w:lang w:eastAsia="en-GB"/>
        </w:rPr>
        <w:t>Lietuvos apeliacinis teismas nepažeidė CPK 49 straipsnio 3 dalies bei 179 straipsnio. Kadangi byla nėra susijusi su SESV 102 straipsniu, nebuvo poreikio tenkinti atsakovės prašymų, kildinamų iš SESV 102 straipsnio. Be to, abiejų atsakovės prašymų priėmimas būtų nesuderinamas su CPK 314 straipsniu. Tai tėra atsakovės sąmoningas siekis perkelti įrodinėjimo naštą tiek ieškovei (nurodant, neva ieškovė turi įrodyti, jog neužima dominuojančios padėties ir ja nepiktnaudžiauja), tiek teismui ir kitoms institucijoms, kad jie įrodinėtų aplinkybės, kurios net nėra susijusios su ginču.</w:t>
      </w:r>
    </w:p>
    <w:p w14:paraId="72D28065" w14:textId="77777777" w:rsidR="00FF0008" w:rsidRPr="0053226E" w:rsidRDefault="00FF0008" w:rsidP="006A1A7C">
      <w:pPr>
        <w:pStyle w:val="ListParagraph"/>
        <w:numPr>
          <w:ilvl w:val="1"/>
          <w:numId w:val="1"/>
        </w:numPr>
        <w:tabs>
          <w:tab w:val="num" w:pos="993"/>
        </w:tabs>
        <w:snapToGrid w:val="0"/>
        <w:spacing w:after="120" w:line="240" w:lineRule="auto"/>
        <w:ind w:left="788" w:hanging="431"/>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Atsakovės prašymas kreiptis į ESTT yra nepagrįstas. Teiginiai, jog kreipimasis į ESTT būtinas tam, kad ESTT išaiškintų, kaip turi būti nustatomos praktinės kliūtys, kurios galėtų pagrįsti objektyvaus būtinumo pervadinti ir perpakuoti ginčo vaistus buvimą, t. y. dėl pirmosios BMS sąlygos buvimo, nepagrindžia kreipimosi į ESTT būtinumo, nes ESTT nepriklauso nagrinėti fakto klausimų. Iškelti klausimai nėra aktualūs bylos teisingam išnagrinėjimui ir sprendimui priimti, todėl nesudaro pagrindo kreiptis į ESTT. Kita vertus, pažymėtina, jog ESTT jau yra pateikęs išaiškinimų bylai aktualiais klausimais ir papildomas išaiškinimas nereikalingas sprendimui byloje priimti.</w:t>
      </w:r>
    </w:p>
    <w:p w14:paraId="50883833" w14:textId="77777777" w:rsidR="000A4CD9" w:rsidRPr="0053226E" w:rsidRDefault="000A4CD9" w:rsidP="00A71E29">
      <w:pPr>
        <w:spacing w:after="120"/>
        <w:ind w:firstLine="720"/>
        <w:jc w:val="both"/>
      </w:pPr>
    </w:p>
    <w:p w14:paraId="6BA4047B" w14:textId="13BCE41F" w:rsidR="006030DD" w:rsidRPr="0053226E" w:rsidRDefault="008B4C96" w:rsidP="00A71E29">
      <w:pPr>
        <w:spacing w:after="120"/>
        <w:ind w:firstLine="720"/>
        <w:jc w:val="both"/>
      </w:pPr>
      <w:r w:rsidRPr="0053226E">
        <w:t xml:space="preserve">Teisėjų kolegija </w:t>
      </w:r>
    </w:p>
    <w:p w14:paraId="0E4CC837" w14:textId="77777777" w:rsidR="006030DD" w:rsidRPr="0053226E" w:rsidRDefault="006030DD" w:rsidP="00A71E29">
      <w:pPr>
        <w:shd w:val="clear" w:color="auto" w:fill="FFFFFF"/>
        <w:spacing w:after="120"/>
        <w:jc w:val="both"/>
      </w:pPr>
    </w:p>
    <w:p w14:paraId="32A99E41" w14:textId="77777777" w:rsidR="006030DD" w:rsidRPr="0053226E" w:rsidRDefault="008B4C96" w:rsidP="00A71E29">
      <w:pPr>
        <w:spacing w:after="120"/>
      </w:pPr>
      <w:r w:rsidRPr="0053226E">
        <w:t xml:space="preserve">k o n s t a t u o j a : </w:t>
      </w:r>
    </w:p>
    <w:p w14:paraId="3028E6E6" w14:textId="77777777" w:rsidR="006030DD" w:rsidRPr="0053226E" w:rsidRDefault="006030DD" w:rsidP="00A71E29">
      <w:pPr>
        <w:spacing w:after="120"/>
      </w:pPr>
    </w:p>
    <w:p w14:paraId="2C2EE3BE" w14:textId="7412FB22" w:rsidR="006030DD" w:rsidRPr="0053226E" w:rsidRDefault="008B4C96" w:rsidP="00633BBA">
      <w:pPr>
        <w:pStyle w:val="ListParagraph"/>
        <w:spacing w:after="120" w:line="240" w:lineRule="auto"/>
        <w:ind w:left="0"/>
        <w:contextualSpacing w:val="0"/>
        <w:jc w:val="center"/>
        <w:rPr>
          <w:rFonts w:ascii="Times New Roman" w:hAnsi="Times New Roman"/>
          <w:sz w:val="24"/>
          <w:szCs w:val="24"/>
        </w:rPr>
      </w:pPr>
      <w:r w:rsidRPr="0053226E">
        <w:rPr>
          <w:rFonts w:ascii="Times New Roman" w:hAnsi="Times New Roman"/>
          <w:sz w:val="24"/>
          <w:szCs w:val="24"/>
        </w:rPr>
        <w:t>IV. Kasacinio teismo argumentai ir išaiškinimai</w:t>
      </w:r>
    </w:p>
    <w:p w14:paraId="5DAE009D" w14:textId="77777777" w:rsidR="007F77E3" w:rsidRPr="0053226E" w:rsidRDefault="007F77E3" w:rsidP="00F6065F">
      <w:pPr>
        <w:pStyle w:val="ListParagraph"/>
        <w:tabs>
          <w:tab w:val="left" w:pos="426"/>
        </w:tabs>
        <w:spacing w:after="120" w:line="240" w:lineRule="auto"/>
        <w:ind w:left="0"/>
        <w:contextualSpacing w:val="0"/>
        <w:jc w:val="center"/>
        <w:rPr>
          <w:rFonts w:ascii="Times New Roman" w:hAnsi="Times New Roman"/>
          <w:sz w:val="24"/>
          <w:szCs w:val="24"/>
        </w:rPr>
      </w:pPr>
    </w:p>
    <w:p w14:paraId="65F1ED1E" w14:textId="01234CA7" w:rsidR="007F77E3" w:rsidRPr="0053226E" w:rsidRDefault="007F77E3" w:rsidP="00F6065F">
      <w:pPr>
        <w:pStyle w:val="ListParagraph"/>
        <w:tabs>
          <w:tab w:val="left" w:pos="426"/>
        </w:tabs>
        <w:spacing w:after="120" w:line="240" w:lineRule="auto"/>
        <w:ind w:left="0" w:firstLine="709"/>
        <w:contextualSpacing w:val="0"/>
        <w:jc w:val="both"/>
        <w:rPr>
          <w:rFonts w:ascii="Times New Roman" w:hAnsi="Times New Roman"/>
          <w:i/>
          <w:iCs/>
          <w:sz w:val="24"/>
          <w:szCs w:val="24"/>
        </w:rPr>
      </w:pPr>
      <w:r w:rsidRPr="0053226E">
        <w:rPr>
          <w:rFonts w:ascii="Times New Roman" w:hAnsi="Times New Roman"/>
          <w:i/>
          <w:iCs/>
          <w:sz w:val="24"/>
          <w:szCs w:val="24"/>
        </w:rPr>
        <w:t xml:space="preserve">Dėl prašymų perduoti bylą </w:t>
      </w:r>
      <w:r w:rsidR="00AD5483" w:rsidRPr="0053226E">
        <w:rPr>
          <w:rFonts w:ascii="Times New Roman" w:hAnsi="Times New Roman"/>
          <w:i/>
          <w:iCs/>
          <w:sz w:val="24"/>
          <w:szCs w:val="24"/>
        </w:rPr>
        <w:t>nagrinėti išplėstinei teisėjų kolegijai ir skirti žodinį bylos nagrinėjimą</w:t>
      </w:r>
    </w:p>
    <w:p w14:paraId="17393D97" w14:textId="09FC959D" w:rsidR="00F7595D" w:rsidRPr="0053226E" w:rsidRDefault="00F7595D" w:rsidP="00F6065F">
      <w:pPr>
        <w:pStyle w:val="ListParagraph"/>
        <w:tabs>
          <w:tab w:val="left" w:pos="426"/>
        </w:tabs>
        <w:spacing w:after="120" w:line="240" w:lineRule="auto"/>
        <w:ind w:left="284" w:hanging="284"/>
        <w:contextualSpacing w:val="0"/>
        <w:jc w:val="center"/>
        <w:rPr>
          <w:rFonts w:ascii="Times New Roman" w:hAnsi="Times New Roman"/>
          <w:sz w:val="24"/>
          <w:szCs w:val="24"/>
        </w:rPr>
      </w:pPr>
    </w:p>
    <w:p w14:paraId="5FBE4743" w14:textId="72852A8B" w:rsidR="00AD5483" w:rsidRPr="0053226E" w:rsidRDefault="00AD5483"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Atsakovė prašym</w:t>
      </w:r>
      <w:r w:rsidR="00F6065F" w:rsidRPr="0053226E">
        <w:rPr>
          <w:rFonts w:ascii="Times New Roman" w:hAnsi="Times New Roman"/>
          <w:sz w:val="24"/>
          <w:szCs w:val="24"/>
          <w:lang w:eastAsia="en-GB"/>
        </w:rPr>
        <w:t>us</w:t>
      </w:r>
      <w:r w:rsidRPr="0053226E">
        <w:rPr>
          <w:rFonts w:ascii="Times New Roman" w:hAnsi="Times New Roman"/>
          <w:sz w:val="24"/>
          <w:szCs w:val="24"/>
          <w:lang w:eastAsia="en-GB"/>
        </w:rPr>
        <w:t xml:space="preserve"> perduoti šią bylą nagrinėti išplėstinei teisėjų kolegijai</w:t>
      </w:r>
      <w:r w:rsidR="00F6065F" w:rsidRPr="0053226E">
        <w:rPr>
          <w:rFonts w:ascii="Times New Roman" w:hAnsi="Times New Roman"/>
          <w:sz w:val="24"/>
          <w:szCs w:val="24"/>
          <w:lang w:eastAsia="en-GB"/>
        </w:rPr>
        <w:t xml:space="preserve"> ir</w:t>
      </w:r>
      <w:r w:rsidRPr="0053226E">
        <w:rPr>
          <w:rFonts w:ascii="Times New Roman" w:hAnsi="Times New Roman"/>
          <w:sz w:val="24"/>
          <w:szCs w:val="24"/>
          <w:lang w:eastAsia="en-GB"/>
        </w:rPr>
        <w:t xml:space="preserve"> skirti žodinį bylos nagrinėjimą</w:t>
      </w:r>
      <w:r w:rsidR="00374BAE" w:rsidRPr="0053226E">
        <w:rPr>
          <w:rFonts w:ascii="Times New Roman" w:hAnsi="Times New Roman"/>
          <w:sz w:val="24"/>
          <w:szCs w:val="24"/>
          <w:lang w:eastAsia="en-GB"/>
        </w:rPr>
        <w:t xml:space="preserve"> grindžia argumentais, kad </w:t>
      </w:r>
      <w:r w:rsidRPr="0053226E">
        <w:rPr>
          <w:rFonts w:ascii="Times New Roman" w:hAnsi="Times New Roman"/>
          <w:sz w:val="24"/>
          <w:szCs w:val="24"/>
          <w:lang w:eastAsia="en-GB"/>
        </w:rPr>
        <w:t xml:space="preserve">byla </w:t>
      </w:r>
      <w:r w:rsidR="00F6065F" w:rsidRPr="0053226E">
        <w:rPr>
          <w:rFonts w:ascii="Times New Roman" w:hAnsi="Times New Roman"/>
          <w:sz w:val="24"/>
          <w:szCs w:val="24"/>
          <w:lang w:eastAsia="en-GB"/>
        </w:rPr>
        <w:t xml:space="preserve">yra </w:t>
      </w:r>
      <w:r w:rsidRPr="0053226E">
        <w:rPr>
          <w:rFonts w:ascii="Times New Roman" w:hAnsi="Times New Roman"/>
          <w:sz w:val="24"/>
          <w:szCs w:val="24"/>
          <w:lang w:eastAsia="en-GB"/>
        </w:rPr>
        <w:t>sudėtinga, susijusi su viešuoju interesu, visu farmacijos sektoriumi, visuomenei aktualiais ir svarbiais klausimais, pacientų gerove, vartotojų interesais, ją nagrinėjant žodinio proceso tvarka būtų tiesiogiai nustatytos ir patikslintos visos kasaciniam skundui išnagrinėti būtinos aplinkybės.</w:t>
      </w:r>
      <w:r w:rsidR="00374BAE" w:rsidRPr="0053226E">
        <w:rPr>
          <w:rFonts w:ascii="Times New Roman" w:hAnsi="Times New Roman"/>
          <w:sz w:val="24"/>
          <w:szCs w:val="24"/>
          <w:lang w:eastAsia="en-GB"/>
        </w:rPr>
        <w:t xml:space="preserve"> </w:t>
      </w:r>
    </w:p>
    <w:p w14:paraId="188EBAE6" w14:textId="30544727" w:rsidR="002E4B88" w:rsidRPr="0053226E" w:rsidRDefault="00374BAE"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Pagal bendrąją įstatyme įtvirtintą taisyklę</w:t>
      </w:r>
      <w:r w:rsidR="00220E12" w:rsidRPr="0053226E">
        <w:rPr>
          <w:rFonts w:ascii="Times New Roman" w:hAnsi="Times New Roman"/>
          <w:sz w:val="24"/>
          <w:szCs w:val="24"/>
          <w:lang w:eastAsia="en-GB"/>
        </w:rPr>
        <w:t>,</w:t>
      </w:r>
      <w:r w:rsidRPr="0053226E">
        <w:rPr>
          <w:rFonts w:ascii="Times New Roman" w:hAnsi="Times New Roman"/>
          <w:sz w:val="24"/>
          <w:szCs w:val="24"/>
          <w:lang w:eastAsia="en-GB"/>
        </w:rPr>
        <w:t xml:space="preserve"> kasacinė byla nagrinėjama rašytinio proceso tvarka (CPK 356 straipsnio 1 dalis). Žodinis bylos nagrinėjimas – bendrosios proceso taisyklės išimtis</w:t>
      </w:r>
      <w:r w:rsidR="00F6065F" w:rsidRPr="0053226E">
        <w:rPr>
          <w:rFonts w:ascii="Times New Roman" w:hAnsi="Times New Roman"/>
          <w:sz w:val="24"/>
          <w:szCs w:val="24"/>
          <w:lang w:eastAsia="en-GB"/>
        </w:rPr>
        <w:t>. P</w:t>
      </w:r>
      <w:r w:rsidRPr="0053226E">
        <w:rPr>
          <w:rFonts w:ascii="Times New Roman" w:hAnsi="Times New Roman"/>
          <w:sz w:val="24"/>
          <w:szCs w:val="24"/>
          <w:lang w:eastAsia="en-GB"/>
        </w:rPr>
        <w:t>agal CPK 356 straipsnio 2 dalį</w:t>
      </w:r>
      <w:r w:rsidR="00F6065F" w:rsidRPr="0053226E">
        <w:rPr>
          <w:rFonts w:ascii="Times New Roman" w:hAnsi="Times New Roman"/>
          <w:sz w:val="24"/>
          <w:szCs w:val="24"/>
          <w:lang w:eastAsia="en-GB"/>
        </w:rPr>
        <w:t>,</w:t>
      </w:r>
      <w:r w:rsidRPr="0053226E">
        <w:rPr>
          <w:rFonts w:ascii="Times New Roman" w:hAnsi="Times New Roman"/>
          <w:sz w:val="24"/>
          <w:szCs w:val="24"/>
          <w:lang w:eastAsia="en-GB"/>
        </w:rPr>
        <w:t xml:space="preserve"> nusprendusi, kad tai yra būtina, teisėjų kolegija paskiria žodinį bylos nagrinėjimą. Taigi, sprendimas dėl žodinio posėdžio skyrimo – bylą nagrinėjančios teisėjų kolegijos </w:t>
      </w:r>
      <w:proofErr w:type="spellStart"/>
      <w:r w:rsidRPr="0053226E">
        <w:rPr>
          <w:rFonts w:ascii="Times New Roman" w:hAnsi="Times New Roman"/>
          <w:sz w:val="24"/>
          <w:szCs w:val="24"/>
          <w:lang w:eastAsia="en-GB"/>
        </w:rPr>
        <w:t>diskrecija</w:t>
      </w:r>
      <w:proofErr w:type="spellEnd"/>
      <w:r w:rsidRPr="0053226E">
        <w:rPr>
          <w:rFonts w:ascii="Times New Roman" w:hAnsi="Times New Roman"/>
          <w:sz w:val="24"/>
          <w:szCs w:val="24"/>
          <w:lang w:eastAsia="en-GB"/>
        </w:rPr>
        <w:t xml:space="preserve">. </w:t>
      </w:r>
    </w:p>
    <w:p w14:paraId="03CE3120" w14:textId="50F5D6B8" w:rsidR="002E4B88" w:rsidRPr="0053226E" w:rsidRDefault="002E4B8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Kasacinio teismo praktikoje nurodoma, kad</w:t>
      </w:r>
      <w:r w:rsidR="009C7413" w:rsidRPr="0053226E">
        <w:rPr>
          <w:rFonts w:ascii="Times New Roman" w:hAnsi="Times New Roman"/>
          <w:sz w:val="24"/>
          <w:szCs w:val="24"/>
          <w:lang w:eastAsia="en-GB"/>
        </w:rPr>
        <w:t>,</w:t>
      </w:r>
      <w:r w:rsidRPr="0053226E">
        <w:rPr>
          <w:rFonts w:ascii="Times New Roman" w:hAnsi="Times New Roman"/>
          <w:sz w:val="24"/>
          <w:szCs w:val="24"/>
          <w:lang w:eastAsia="en-GB"/>
        </w:rPr>
        <w:t xml:space="preserve"> pagal teisinį reguliavimą</w:t>
      </w:r>
      <w:r w:rsidR="009C7413" w:rsidRPr="0053226E">
        <w:rPr>
          <w:rFonts w:ascii="Times New Roman" w:hAnsi="Times New Roman"/>
          <w:sz w:val="24"/>
          <w:szCs w:val="24"/>
          <w:lang w:eastAsia="en-GB"/>
        </w:rPr>
        <w:t>,</w:t>
      </w:r>
      <w:r w:rsidRPr="0053226E">
        <w:rPr>
          <w:rFonts w:ascii="Times New Roman" w:hAnsi="Times New Roman"/>
          <w:sz w:val="24"/>
          <w:szCs w:val="24"/>
          <w:lang w:eastAsia="en-GB"/>
        </w:rPr>
        <w:t xml:space="preserve"> bylos nagrinėjimą žodinio proceso tvarka lemia šio proceso būtinybės konstatavimas, o išimtinė teisė tai nuspręsti skirta teismui. Byloje dalyvaujančių asmenų prašymas nagrinėti bylą žodinio proceso tvarka pats savaime nesuponuoja žodinio proceso būtinumo (CPK 7 straipsnis) (Lietuvos Aukščiausiojo Teismo 2013 m. lapkričio 4 d. nutartis civilinėje byloje Nr. 3K-3-539/2013; 2018 m. balandžio 20 d. nutartis civilinėje byloje Nr. e3K-3-164-611/2018, 33 punktas). Šalys gali pateikti motyvuotą prašymą nagrinėti bylą žodinio proceso tvarka, tačiau šis teismui nėra privalomas. Šalys, teikdamos prašymą nagrinėti bylą žodinio proceso tvarka, turi jį pagrįsti, nurodydamos išimtines aplinkybes, dėl kurių būtinas žodinis bylos nagrinėjimas, o teismas sprendžia, kiek pateikti argumentai reikšmingi ir ar jie pagrindžia poreikį nagrinėti bylą žodinio proceso tvarka (Lietuvos Aukščiausiojo Teismo 2021 m. rugpjūčio 26 d. nutartis civilinėje byloje Nr. 3K-3-219-701/2021, 52 punktas).</w:t>
      </w:r>
    </w:p>
    <w:p w14:paraId="095918F9" w14:textId="3A1FC201" w:rsidR="002E4B88" w:rsidRPr="0053226E" w:rsidRDefault="00374BAE"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Pažymėt</w:t>
      </w:r>
      <w:r w:rsidR="002F4788" w:rsidRPr="0053226E">
        <w:rPr>
          <w:rFonts w:ascii="Times New Roman" w:hAnsi="Times New Roman"/>
          <w:sz w:val="24"/>
          <w:szCs w:val="24"/>
          <w:lang w:eastAsia="en-GB"/>
        </w:rPr>
        <w:t>i</w:t>
      </w:r>
      <w:r w:rsidRPr="0053226E">
        <w:rPr>
          <w:rFonts w:ascii="Times New Roman" w:hAnsi="Times New Roman"/>
          <w:sz w:val="24"/>
          <w:szCs w:val="24"/>
          <w:lang w:eastAsia="en-GB"/>
        </w:rPr>
        <w:t xml:space="preserve">na, kad </w:t>
      </w:r>
      <w:r w:rsidR="002F4788" w:rsidRPr="0053226E">
        <w:rPr>
          <w:rFonts w:ascii="Times New Roman" w:hAnsi="Times New Roman"/>
          <w:sz w:val="24"/>
          <w:szCs w:val="24"/>
          <w:lang w:eastAsia="en-GB"/>
        </w:rPr>
        <w:t>žodinio bylos nagrinėjimo būtinybė negali būti grindžiama poreikiu išsiaiškinti faktines bylos aplinkybes – pagal įstatyme apibrėžtas bylos nagrinėjimo ribas kasacinis teismas, neperžengdamas kasacinio skundo ribų, patikrina apskųstus sprendimus ir (ar) nutartis teisės taikymo aspektu; kasacinis teismas yra saistomas pirmosios ir apeliacinės instancijos teismų nustatytų aplinkybių (CPK 353 straipsnio 1 dalis</w:t>
      </w:r>
      <w:r w:rsidR="00F6065F" w:rsidRPr="0053226E">
        <w:rPr>
          <w:rFonts w:ascii="Times New Roman" w:hAnsi="Times New Roman"/>
          <w:sz w:val="24"/>
          <w:szCs w:val="24"/>
          <w:lang w:eastAsia="en-GB"/>
        </w:rPr>
        <w:t>)</w:t>
      </w:r>
      <w:r w:rsidR="002F4788" w:rsidRPr="0053226E">
        <w:rPr>
          <w:rFonts w:ascii="Times New Roman" w:hAnsi="Times New Roman"/>
          <w:sz w:val="24"/>
          <w:szCs w:val="24"/>
          <w:lang w:eastAsia="en-GB"/>
        </w:rPr>
        <w:t>. Taigi, žodinio bylos nagrinėjimo būtinybė gali būti grindžiama tik poreikiu geriau išsiaiškinti aktualius teisės taikymo aspektus, be kita ko, ginčo šalių poziciją taikytinos teisės klausimais.</w:t>
      </w:r>
    </w:p>
    <w:p w14:paraId="1EE617FF" w14:textId="2999B8F3" w:rsidR="003C5507" w:rsidRPr="0053226E" w:rsidRDefault="002F478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Teisėjų kolegija konstatuoja, kad nagrinėjamoje byloje žodinio nagrinėjimo </w:t>
      </w:r>
      <w:r w:rsidR="003C5507" w:rsidRPr="0053226E">
        <w:rPr>
          <w:rFonts w:ascii="Times New Roman" w:hAnsi="Times New Roman"/>
          <w:sz w:val="24"/>
          <w:szCs w:val="24"/>
          <w:lang w:eastAsia="en-GB"/>
        </w:rPr>
        <w:t>būtinybės</w:t>
      </w:r>
      <w:r w:rsidRPr="0053226E">
        <w:rPr>
          <w:rFonts w:ascii="Times New Roman" w:hAnsi="Times New Roman"/>
          <w:sz w:val="24"/>
          <w:szCs w:val="24"/>
          <w:lang w:eastAsia="en-GB"/>
        </w:rPr>
        <w:t xml:space="preserve"> nėra, kadangi ginčo šalių pozicija </w:t>
      </w:r>
      <w:r w:rsidR="00F6065F" w:rsidRPr="0053226E">
        <w:rPr>
          <w:rFonts w:ascii="Times New Roman" w:hAnsi="Times New Roman"/>
          <w:sz w:val="24"/>
          <w:szCs w:val="24"/>
          <w:lang w:eastAsia="en-GB"/>
        </w:rPr>
        <w:t xml:space="preserve">dėl teisės aiškinimo ir taikymo byloje </w:t>
      </w:r>
      <w:r w:rsidRPr="0053226E">
        <w:rPr>
          <w:rFonts w:ascii="Times New Roman" w:hAnsi="Times New Roman"/>
          <w:sz w:val="24"/>
          <w:szCs w:val="24"/>
          <w:lang w:eastAsia="en-GB"/>
        </w:rPr>
        <w:t xml:space="preserve">yra </w:t>
      </w:r>
      <w:r w:rsidR="003C5507" w:rsidRPr="0053226E">
        <w:rPr>
          <w:rFonts w:ascii="Times New Roman" w:hAnsi="Times New Roman"/>
          <w:sz w:val="24"/>
          <w:szCs w:val="24"/>
          <w:lang w:eastAsia="en-GB"/>
        </w:rPr>
        <w:t xml:space="preserve">išsamiai išdėstyta </w:t>
      </w:r>
      <w:r w:rsidR="00F6065F" w:rsidRPr="0053226E">
        <w:rPr>
          <w:rFonts w:ascii="Times New Roman" w:hAnsi="Times New Roman"/>
          <w:sz w:val="24"/>
          <w:szCs w:val="24"/>
          <w:lang w:eastAsia="en-GB"/>
        </w:rPr>
        <w:t xml:space="preserve">jų </w:t>
      </w:r>
      <w:r w:rsidR="003C5507" w:rsidRPr="0053226E">
        <w:rPr>
          <w:rFonts w:ascii="Times New Roman" w:hAnsi="Times New Roman"/>
          <w:sz w:val="24"/>
          <w:szCs w:val="24"/>
          <w:lang w:eastAsia="en-GB"/>
        </w:rPr>
        <w:t>procesiniuose dokumentuose ir papildomo aiškinimosi poreikis n</w:t>
      </w:r>
      <w:r w:rsidR="001273D9" w:rsidRPr="0053226E">
        <w:rPr>
          <w:rFonts w:ascii="Times New Roman" w:hAnsi="Times New Roman"/>
          <w:sz w:val="24"/>
          <w:szCs w:val="24"/>
          <w:lang w:eastAsia="en-GB"/>
        </w:rPr>
        <w:t>e</w:t>
      </w:r>
      <w:r w:rsidR="003C5507" w:rsidRPr="0053226E">
        <w:rPr>
          <w:rFonts w:ascii="Times New Roman" w:hAnsi="Times New Roman"/>
          <w:sz w:val="24"/>
          <w:szCs w:val="24"/>
          <w:lang w:eastAsia="en-GB"/>
        </w:rPr>
        <w:t>kyla.</w:t>
      </w:r>
    </w:p>
    <w:p w14:paraId="0810D043" w14:textId="740A8A76" w:rsidR="00DC7C18" w:rsidRPr="0053226E" w:rsidRDefault="00DC7C1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CPK 357 straipsnio 1 dalyje įtvirtinta, kad Lietuvos Aukščiausiojo </w:t>
      </w:r>
      <w:r w:rsidR="009C7413" w:rsidRPr="0053226E">
        <w:rPr>
          <w:rFonts w:ascii="Times New Roman" w:hAnsi="Times New Roman"/>
          <w:sz w:val="24"/>
          <w:szCs w:val="24"/>
          <w:lang w:eastAsia="en-GB"/>
        </w:rPr>
        <w:t>T</w:t>
      </w:r>
      <w:r w:rsidRPr="0053226E">
        <w:rPr>
          <w:rFonts w:ascii="Times New Roman" w:hAnsi="Times New Roman"/>
          <w:sz w:val="24"/>
          <w:szCs w:val="24"/>
          <w:lang w:eastAsia="en-GB"/>
        </w:rPr>
        <w:t>eismo pirmininkas, Civilinių bylų skyriaus pirmininkas ar teisėjų kolegija nutartimi bylą gali perduoti nagrinėti išplėstinei teisėjų kolegijai arba Civilinių bylų skyriaus plenarinei sesijai, jeigu kasacinėje byloje yra iškilęs sudėtingas teisės aiškinimo ir taikymo klausimas. Įstatyme nėra įtvirtinta, kokioje konkrečioje procesinėje situacijoje konstatuotinas sudėtingas teisės aiškinimo ir taikymo klausimas, suponuojantis bylos perdavimo nagrinėti išplėstinei teisėjų kolegijai būtinybę</w:t>
      </w:r>
      <w:r w:rsidR="00034501" w:rsidRPr="0053226E">
        <w:rPr>
          <w:rFonts w:ascii="Times New Roman" w:hAnsi="Times New Roman"/>
          <w:sz w:val="24"/>
          <w:szCs w:val="24"/>
          <w:lang w:eastAsia="en-GB"/>
        </w:rPr>
        <w:t xml:space="preserve">. </w:t>
      </w:r>
      <w:r w:rsidR="00D844B3" w:rsidRPr="0053226E">
        <w:rPr>
          <w:rFonts w:ascii="Times New Roman" w:hAnsi="Times New Roman"/>
          <w:sz w:val="24"/>
          <w:szCs w:val="24"/>
          <w:lang w:eastAsia="en-GB"/>
        </w:rPr>
        <w:t xml:space="preserve">Teisė spręsti, ar iškilęs teisės aiškinimo ir taikymo klausimas yra sudėtingas ir toks sudėtingumas yra pakankamas pagrindas perduoti bylą nagrinėti išplėstinei septynių teisėjų kolegijai, visų pirma priklauso bylą nagrinėjančios teisėjų kolegijos </w:t>
      </w:r>
      <w:proofErr w:type="spellStart"/>
      <w:r w:rsidR="00D844B3" w:rsidRPr="0053226E">
        <w:rPr>
          <w:rFonts w:ascii="Times New Roman" w:hAnsi="Times New Roman"/>
          <w:sz w:val="24"/>
          <w:szCs w:val="24"/>
          <w:lang w:eastAsia="en-GB"/>
        </w:rPr>
        <w:t>diskrecijai</w:t>
      </w:r>
      <w:proofErr w:type="spellEnd"/>
      <w:r w:rsidR="00D844B3" w:rsidRPr="0053226E">
        <w:rPr>
          <w:rFonts w:ascii="Times New Roman" w:hAnsi="Times New Roman"/>
          <w:sz w:val="24"/>
          <w:szCs w:val="24"/>
          <w:lang w:eastAsia="en-GB"/>
        </w:rPr>
        <w:t xml:space="preserve">. </w:t>
      </w:r>
      <w:r w:rsidR="00AA28C3" w:rsidRPr="0053226E">
        <w:rPr>
          <w:rFonts w:ascii="Times New Roman" w:hAnsi="Times New Roman"/>
          <w:sz w:val="24"/>
          <w:szCs w:val="24"/>
          <w:lang w:eastAsia="en-GB"/>
        </w:rPr>
        <w:t>Pagal nusistovėjusią kasacinio teismo praktiką</w:t>
      </w:r>
      <w:r w:rsidR="009C7413" w:rsidRPr="0053226E">
        <w:rPr>
          <w:rFonts w:ascii="Times New Roman" w:hAnsi="Times New Roman"/>
          <w:sz w:val="24"/>
          <w:szCs w:val="24"/>
          <w:lang w:eastAsia="en-GB"/>
        </w:rPr>
        <w:t>,</w:t>
      </w:r>
      <w:r w:rsidR="00AA28C3" w:rsidRPr="0053226E">
        <w:rPr>
          <w:rFonts w:ascii="Times New Roman" w:hAnsi="Times New Roman"/>
          <w:sz w:val="24"/>
          <w:szCs w:val="24"/>
          <w:lang w:eastAsia="en-GB"/>
        </w:rPr>
        <w:t xml:space="preserve"> </w:t>
      </w:r>
      <w:r w:rsidR="00034501" w:rsidRPr="0053226E">
        <w:rPr>
          <w:rFonts w:ascii="Times New Roman" w:hAnsi="Times New Roman"/>
          <w:sz w:val="24"/>
          <w:szCs w:val="24"/>
          <w:lang w:eastAsia="en-GB"/>
        </w:rPr>
        <w:t xml:space="preserve">pagrindu perduoti bylą nagrinėti išplėstinei teisėjų kolegijai paprastai pripažįstamos situacijos, </w:t>
      </w:r>
      <w:r w:rsidR="00034501" w:rsidRPr="0053226E">
        <w:rPr>
          <w:rFonts w:ascii="Times New Roman" w:hAnsi="Times New Roman"/>
          <w:sz w:val="24"/>
          <w:szCs w:val="24"/>
          <w:lang w:eastAsia="en-GB"/>
        </w:rPr>
        <w:lastRenderedPageBreak/>
        <w:t>kai kyla poreikis suvienodinti kasacinio teismo praktiką ar ją pakeisti</w:t>
      </w:r>
      <w:r w:rsidR="00D844B3" w:rsidRPr="0053226E">
        <w:rPr>
          <w:rFonts w:ascii="Times New Roman" w:hAnsi="Times New Roman"/>
          <w:sz w:val="24"/>
          <w:szCs w:val="24"/>
          <w:lang w:eastAsia="en-GB"/>
        </w:rPr>
        <w:t xml:space="preserve"> (žr., pvz., Lietuvos Aukščiausiojo Teismo 2013 m. sausio 4 d. nutartį civilinėje byloje Nr. 3K-7-83/2013)</w:t>
      </w:r>
      <w:r w:rsidR="00034501" w:rsidRPr="0053226E">
        <w:rPr>
          <w:rFonts w:ascii="Times New Roman" w:hAnsi="Times New Roman"/>
          <w:sz w:val="24"/>
          <w:szCs w:val="24"/>
          <w:lang w:eastAsia="en-GB"/>
        </w:rPr>
        <w:t xml:space="preserve">; kitais atvejais </w:t>
      </w:r>
      <w:r w:rsidR="008E46D8" w:rsidRPr="0053226E">
        <w:rPr>
          <w:rFonts w:ascii="Times New Roman" w:hAnsi="Times New Roman"/>
          <w:sz w:val="24"/>
          <w:szCs w:val="24"/>
          <w:lang w:eastAsia="en-GB"/>
        </w:rPr>
        <w:t>dėl bylos nagrinėjimo išplėstinėje kolegijoje sprendžiama įvertinus individualią situaciją</w:t>
      </w:r>
      <w:r w:rsidR="00D559F4" w:rsidRPr="0053226E">
        <w:rPr>
          <w:rFonts w:ascii="Times New Roman" w:hAnsi="Times New Roman"/>
          <w:sz w:val="24"/>
          <w:szCs w:val="24"/>
          <w:lang w:eastAsia="en-GB"/>
        </w:rPr>
        <w:t>, pvz.</w:t>
      </w:r>
      <w:r w:rsidR="009C7413" w:rsidRPr="0053226E">
        <w:rPr>
          <w:rFonts w:ascii="Times New Roman" w:hAnsi="Times New Roman"/>
          <w:sz w:val="24"/>
          <w:szCs w:val="24"/>
          <w:lang w:eastAsia="en-GB"/>
        </w:rPr>
        <w:t>,</w:t>
      </w:r>
      <w:r w:rsidR="00D559F4" w:rsidRPr="0053226E">
        <w:rPr>
          <w:rFonts w:ascii="Times New Roman" w:hAnsi="Times New Roman"/>
          <w:sz w:val="24"/>
          <w:szCs w:val="24"/>
          <w:lang w:eastAsia="en-GB"/>
        </w:rPr>
        <w:t xml:space="preserve"> taikytinos teisės klausimo naujumą, komple</w:t>
      </w:r>
      <w:r w:rsidR="00DD6F8F" w:rsidRPr="0053226E">
        <w:rPr>
          <w:rFonts w:ascii="Times New Roman" w:hAnsi="Times New Roman"/>
          <w:sz w:val="24"/>
          <w:szCs w:val="24"/>
          <w:lang w:eastAsia="en-GB"/>
        </w:rPr>
        <w:t>k</w:t>
      </w:r>
      <w:r w:rsidR="00D559F4" w:rsidRPr="0053226E">
        <w:rPr>
          <w:rFonts w:ascii="Times New Roman" w:hAnsi="Times New Roman"/>
          <w:sz w:val="24"/>
          <w:szCs w:val="24"/>
          <w:lang w:eastAsia="en-GB"/>
        </w:rPr>
        <w:t xml:space="preserve">siškumą ar </w:t>
      </w:r>
      <w:r w:rsidR="00DD6F8F" w:rsidRPr="0053226E">
        <w:rPr>
          <w:rFonts w:ascii="Times New Roman" w:hAnsi="Times New Roman"/>
          <w:sz w:val="24"/>
          <w:szCs w:val="24"/>
          <w:lang w:eastAsia="en-GB"/>
        </w:rPr>
        <w:t>pan.</w:t>
      </w:r>
      <w:r w:rsidR="00D818FA" w:rsidRPr="0053226E">
        <w:rPr>
          <w:rFonts w:ascii="Times New Roman" w:hAnsi="Times New Roman"/>
          <w:sz w:val="24"/>
          <w:szCs w:val="24"/>
          <w:lang w:eastAsia="en-GB"/>
        </w:rPr>
        <w:t xml:space="preserve"> </w:t>
      </w:r>
      <w:r w:rsidR="00DD6F8F" w:rsidRPr="0053226E">
        <w:rPr>
          <w:rFonts w:ascii="Times New Roman" w:hAnsi="Times New Roman"/>
          <w:sz w:val="24"/>
          <w:szCs w:val="24"/>
          <w:lang w:eastAsia="en-GB"/>
        </w:rPr>
        <w:t>Byloje ginamų (gintinų) interesų pobūdis nepripažįstamas pagrindu perduoti bylą nagrinėti išplėstinei teisėjų kolegijai.</w:t>
      </w:r>
      <w:r w:rsidR="008E46D8" w:rsidRPr="0053226E">
        <w:rPr>
          <w:rFonts w:ascii="Times New Roman" w:hAnsi="Times New Roman"/>
          <w:sz w:val="24"/>
          <w:szCs w:val="24"/>
          <w:lang w:eastAsia="en-GB"/>
        </w:rPr>
        <w:t xml:space="preserve"> </w:t>
      </w:r>
    </w:p>
    <w:p w14:paraId="1C4D34B6" w14:textId="4D8E0F87" w:rsidR="00D844B3" w:rsidRPr="0053226E" w:rsidRDefault="00D844B3"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Nagrinėjamoje byloje teisėjų kolegija nenustatė objektyvios būtinybės keisti ar suvienodinti Lietuvos Aukščiausiojo Teismo suformuotą praktiką. Be to, nagrinėjamoje byloje keliami teisės normų aiškinimo ir taikymo klausimai nėra tokie sudėtingi, kad negalėtų būti išspręsti trijų teisėjų kolegijoje</w:t>
      </w:r>
      <w:r w:rsidR="00D818FA" w:rsidRPr="0053226E">
        <w:rPr>
          <w:rFonts w:ascii="Times New Roman" w:hAnsi="Times New Roman"/>
          <w:sz w:val="24"/>
          <w:szCs w:val="24"/>
          <w:lang w:eastAsia="en-GB"/>
        </w:rPr>
        <w:t>, atsižvelgiant, be kita ko, ir į tai, kad byla pirmą kartą kasaciniame teisme buvo išnagrinėta trijų teisėjų kolegijos</w:t>
      </w:r>
      <w:r w:rsidRPr="0053226E">
        <w:rPr>
          <w:rFonts w:ascii="Times New Roman" w:hAnsi="Times New Roman"/>
          <w:sz w:val="24"/>
          <w:szCs w:val="24"/>
          <w:lang w:eastAsia="en-GB"/>
        </w:rPr>
        <w:t xml:space="preserve">. </w:t>
      </w:r>
      <w:r w:rsidR="00D818FA" w:rsidRPr="0053226E">
        <w:rPr>
          <w:rFonts w:ascii="Times New Roman" w:hAnsi="Times New Roman"/>
          <w:sz w:val="24"/>
          <w:szCs w:val="24"/>
          <w:lang w:eastAsia="en-GB"/>
        </w:rPr>
        <w:t>T</w:t>
      </w:r>
      <w:r w:rsidRPr="0053226E">
        <w:rPr>
          <w:rFonts w:ascii="Times New Roman" w:hAnsi="Times New Roman"/>
          <w:sz w:val="24"/>
          <w:szCs w:val="24"/>
          <w:lang w:eastAsia="en-GB"/>
        </w:rPr>
        <w:t xml:space="preserve">eisėjų kolegija konstatuoja, kad </w:t>
      </w:r>
      <w:r w:rsidR="00D818FA" w:rsidRPr="0053226E">
        <w:rPr>
          <w:rFonts w:ascii="Times New Roman" w:hAnsi="Times New Roman"/>
          <w:sz w:val="24"/>
          <w:szCs w:val="24"/>
          <w:lang w:eastAsia="en-GB"/>
        </w:rPr>
        <w:t>atsa</w:t>
      </w:r>
      <w:r w:rsidRPr="0053226E">
        <w:rPr>
          <w:rFonts w:ascii="Times New Roman" w:hAnsi="Times New Roman"/>
          <w:sz w:val="24"/>
          <w:szCs w:val="24"/>
          <w:lang w:eastAsia="en-GB"/>
        </w:rPr>
        <w:t>kovės nurodyti argumentai nesudaro pakankamo teisinio pagrindo perduoti bylą nagrinėti išplėstinei septynių teisėjų kolegijai (CPK 357 straipsnio 1 dalis).</w:t>
      </w:r>
    </w:p>
    <w:p w14:paraId="15CB8B82" w14:textId="1CA54C68" w:rsidR="00A72D05" w:rsidRPr="0053226E" w:rsidRDefault="00B72D44"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Dėl nurodytų a</w:t>
      </w:r>
      <w:r w:rsidR="00F6065F" w:rsidRPr="0053226E">
        <w:rPr>
          <w:rFonts w:ascii="Times New Roman" w:hAnsi="Times New Roman"/>
          <w:sz w:val="24"/>
          <w:szCs w:val="24"/>
          <w:lang w:eastAsia="en-GB"/>
        </w:rPr>
        <w:t>rgument</w:t>
      </w:r>
      <w:r w:rsidRPr="0053226E">
        <w:rPr>
          <w:rFonts w:ascii="Times New Roman" w:hAnsi="Times New Roman"/>
          <w:sz w:val="24"/>
          <w:szCs w:val="24"/>
          <w:lang w:eastAsia="en-GB"/>
        </w:rPr>
        <w:t xml:space="preserve">ų atsakovės prašymai </w:t>
      </w:r>
      <w:r w:rsidR="00F6065F" w:rsidRPr="0053226E">
        <w:rPr>
          <w:rFonts w:ascii="Times New Roman" w:hAnsi="Times New Roman"/>
          <w:sz w:val="24"/>
          <w:szCs w:val="24"/>
          <w:lang w:eastAsia="en-GB"/>
        </w:rPr>
        <w:t xml:space="preserve">perduoti šią bylą nagrinėti išplėstinei teisėjų kolegijai ir skirti žodinį bylos nagrinėjimą </w:t>
      </w:r>
      <w:r w:rsidRPr="0053226E">
        <w:rPr>
          <w:rFonts w:ascii="Times New Roman" w:hAnsi="Times New Roman"/>
          <w:sz w:val="24"/>
          <w:szCs w:val="24"/>
          <w:lang w:eastAsia="en-GB"/>
        </w:rPr>
        <w:t>atmetami.</w:t>
      </w:r>
    </w:p>
    <w:p w14:paraId="028040A4" w14:textId="77777777" w:rsidR="006D26B7" w:rsidRPr="0053226E" w:rsidRDefault="006D26B7" w:rsidP="00F6065F">
      <w:pPr>
        <w:tabs>
          <w:tab w:val="left" w:pos="426"/>
          <w:tab w:val="left" w:pos="851"/>
          <w:tab w:val="left" w:pos="993"/>
        </w:tabs>
        <w:snapToGrid w:val="0"/>
        <w:spacing w:after="120"/>
        <w:ind w:left="284" w:hanging="284"/>
        <w:jc w:val="both"/>
        <w:rPr>
          <w:lang w:eastAsia="en-GB"/>
        </w:rPr>
      </w:pPr>
    </w:p>
    <w:p w14:paraId="7CC8CF54" w14:textId="726375EE" w:rsidR="00B72D44" w:rsidRPr="0053226E" w:rsidRDefault="00B72D44" w:rsidP="00F6065F">
      <w:pPr>
        <w:tabs>
          <w:tab w:val="left" w:pos="426"/>
          <w:tab w:val="left" w:pos="851"/>
          <w:tab w:val="left" w:pos="993"/>
        </w:tabs>
        <w:snapToGrid w:val="0"/>
        <w:spacing w:after="120"/>
        <w:ind w:firstLine="709"/>
        <w:jc w:val="both"/>
        <w:rPr>
          <w:i/>
          <w:iCs/>
        </w:rPr>
      </w:pPr>
      <w:r w:rsidRPr="0053226E">
        <w:rPr>
          <w:i/>
          <w:iCs/>
          <w:lang w:eastAsia="en-GB"/>
        </w:rPr>
        <w:t xml:space="preserve">Dėl </w:t>
      </w:r>
      <w:r w:rsidR="00A72D05" w:rsidRPr="0053226E">
        <w:rPr>
          <w:i/>
          <w:iCs/>
          <w:lang w:eastAsia="en-GB"/>
        </w:rPr>
        <w:t xml:space="preserve">vertinimo, ar </w:t>
      </w:r>
      <w:r w:rsidR="00456E1E" w:rsidRPr="0053226E">
        <w:rPr>
          <w:i/>
          <w:iCs/>
          <w:lang w:eastAsia="en-GB"/>
        </w:rPr>
        <w:t xml:space="preserve">prekių ženklo savininko </w:t>
      </w:r>
      <w:r w:rsidR="00A72D05" w:rsidRPr="0053226E">
        <w:rPr>
          <w:i/>
          <w:iCs/>
        </w:rPr>
        <w:t xml:space="preserve">draudimas perpakuoti </w:t>
      </w:r>
      <w:r w:rsidR="00CC06F8" w:rsidRPr="0053226E">
        <w:rPr>
          <w:i/>
          <w:iCs/>
        </w:rPr>
        <w:t xml:space="preserve">farmacijos prekę </w:t>
      </w:r>
      <w:r w:rsidR="00A72D05" w:rsidRPr="0053226E">
        <w:rPr>
          <w:i/>
          <w:iCs/>
        </w:rPr>
        <w:t>prisideda prie dirbtinio valstybių narių rinkų atskyrimo</w:t>
      </w:r>
    </w:p>
    <w:p w14:paraId="3684EDBC" w14:textId="77777777" w:rsidR="00CC06F8" w:rsidRPr="0053226E" w:rsidRDefault="00CC06F8" w:rsidP="00B1606B">
      <w:pPr>
        <w:pStyle w:val="ListParagraph"/>
        <w:tabs>
          <w:tab w:val="left" w:pos="993"/>
        </w:tabs>
        <w:snapToGrid w:val="0"/>
        <w:spacing w:after="120" w:line="240" w:lineRule="auto"/>
        <w:ind w:left="360"/>
        <w:contextualSpacing w:val="0"/>
        <w:jc w:val="both"/>
        <w:rPr>
          <w:rFonts w:ascii="Times New Roman" w:hAnsi="Times New Roman"/>
          <w:sz w:val="24"/>
          <w:szCs w:val="24"/>
          <w:lang w:eastAsia="en-GB"/>
        </w:rPr>
      </w:pPr>
    </w:p>
    <w:p w14:paraId="6009F65F" w14:textId="76A05922" w:rsidR="00B1606B" w:rsidRPr="0053226E" w:rsidRDefault="00B1606B" w:rsidP="00B1606B">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Byloje sprendžiamas klausimas, ar nagrinėjamu atveju ieškovės, kaip prekių ženklo savininkės, naudojimasis prekių ženklo suteiktomis teisėmis tam, </w:t>
      </w:r>
      <w:r w:rsidR="00E551A6" w:rsidRPr="0053226E">
        <w:rPr>
          <w:rFonts w:ascii="Times New Roman" w:hAnsi="Times New Roman"/>
          <w:sz w:val="24"/>
          <w:szCs w:val="24"/>
          <w:lang w:eastAsia="en-GB"/>
        </w:rPr>
        <w:t>t. y.</w:t>
      </w:r>
      <w:r w:rsidRPr="0053226E">
        <w:rPr>
          <w:rFonts w:ascii="Times New Roman" w:hAnsi="Times New Roman"/>
          <w:sz w:val="24"/>
          <w:szCs w:val="24"/>
          <w:lang w:eastAsia="en-GB"/>
        </w:rPr>
        <w:t xml:space="preserve"> prieštara</w:t>
      </w:r>
      <w:r w:rsidR="00E551A6" w:rsidRPr="0053226E">
        <w:rPr>
          <w:rFonts w:ascii="Times New Roman" w:hAnsi="Times New Roman"/>
          <w:sz w:val="24"/>
          <w:szCs w:val="24"/>
          <w:lang w:eastAsia="en-GB"/>
        </w:rPr>
        <w:t xml:space="preserve">vimas </w:t>
      </w:r>
      <w:r w:rsidRPr="0053226E">
        <w:rPr>
          <w:rFonts w:ascii="Times New Roman" w:hAnsi="Times New Roman"/>
          <w:sz w:val="24"/>
          <w:szCs w:val="24"/>
          <w:lang w:eastAsia="en-GB"/>
        </w:rPr>
        <w:t>prekybai perpakuotomis šiuo prekių ženklu pažymėtomis prekėmis, prisideda prie dirbtinio valstybių narių rinkų atskyrimo ir ar atsakovei egzistavo objektyvus būtinumas perpakuoti ir pervadinti lygiagrečiai iš Vengrijos į Lietuvą importuojamą tą patį vaistinį preparatą.</w:t>
      </w:r>
    </w:p>
    <w:p w14:paraId="44C4B034" w14:textId="09AFE872" w:rsidR="00262C2F" w:rsidRPr="0053226E" w:rsidRDefault="007F77E3"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Lietuvos Respublikos prekių ženklų įstatymo 19 straipsnio 1 dalyje nustatyta, kad ženklo savininkas neturi teisės uždrausti ženklu žymėti prekių, kurios paties ženklo savininko arba jo sutikimu buvo su tuo ženklu išleistos į Europos Sąjungos rinką. </w:t>
      </w:r>
      <w:r w:rsidR="00F6065F" w:rsidRPr="0053226E">
        <w:rPr>
          <w:rFonts w:ascii="Times New Roman" w:hAnsi="Times New Roman"/>
          <w:sz w:val="24"/>
          <w:szCs w:val="24"/>
          <w:lang w:eastAsia="en-GB"/>
        </w:rPr>
        <w:t xml:space="preserve">Prekių ženklų įstatymo </w:t>
      </w:r>
      <w:r w:rsidR="00C92304" w:rsidRPr="0053226E">
        <w:rPr>
          <w:rFonts w:ascii="Times New Roman" w:hAnsi="Times New Roman"/>
          <w:sz w:val="24"/>
          <w:szCs w:val="24"/>
          <w:lang w:eastAsia="en-GB"/>
        </w:rPr>
        <w:t>19</w:t>
      </w:r>
      <w:r w:rsidR="006A1A7C" w:rsidRPr="0053226E">
        <w:rPr>
          <w:rFonts w:ascii="Times New Roman" w:hAnsi="Times New Roman"/>
          <w:sz w:val="24"/>
          <w:szCs w:val="24"/>
          <w:lang w:eastAsia="en-GB"/>
        </w:rPr>
        <w:t> </w:t>
      </w:r>
      <w:r w:rsidRPr="0053226E">
        <w:rPr>
          <w:rFonts w:ascii="Times New Roman" w:hAnsi="Times New Roman"/>
          <w:sz w:val="24"/>
          <w:szCs w:val="24"/>
          <w:lang w:eastAsia="en-GB"/>
        </w:rPr>
        <w:t xml:space="preserve">straipsnio 2 dalyje </w:t>
      </w:r>
      <w:r w:rsidR="00D86EC7" w:rsidRPr="0053226E">
        <w:rPr>
          <w:rFonts w:ascii="Times New Roman" w:hAnsi="Times New Roman"/>
          <w:sz w:val="24"/>
          <w:szCs w:val="24"/>
          <w:lang w:eastAsia="en-GB"/>
        </w:rPr>
        <w:t>nustatyt</w:t>
      </w:r>
      <w:r w:rsidRPr="0053226E">
        <w:rPr>
          <w:rFonts w:ascii="Times New Roman" w:hAnsi="Times New Roman"/>
          <w:sz w:val="24"/>
          <w:szCs w:val="24"/>
          <w:lang w:eastAsia="en-GB"/>
        </w:rPr>
        <w:t xml:space="preserve">a, kad šio straipsnio 1 dalis netaikoma, jeigu ženklo savininkas turi pagrįstų priežasčių prieštarauti, kad prekės toliau būtų </w:t>
      </w:r>
      <w:proofErr w:type="spellStart"/>
      <w:r w:rsidRPr="0053226E">
        <w:rPr>
          <w:rFonts w:ascii="Times New Roman" w:hAnsi="Times New Roman"/>
          <w:sz w:val="24"/>
          <w:szCs w:val="24"/>
          <w:lang w:eastAsia="en-GB"/>
        </w:rPr>
        <w:t>komercializuojamos</w:t>
      </w:r>
      <w:proofErr w:type="spellEnd"/>
      <w:r w:rsidRPr="0053226E">
        <w:rPr>
          <w:rFonts w:ascii="Times New Roman" w:hAnsi="Times New Roman"/>
          <w:sz w:val="24"/>
          <w:szCs w:val="24"/>
          <w:lang w:eastAsia="en-GB"/>
        </w:rPr>
        <w:t xml:space="preserve"> (naudojamos siekiant gauti pelną), ypač jeigu po jų išleidimo į rinką pasikeitė ar pablogėjo prekių būklė. </w:t>
      </w:r>
      <w:r w:rsidR="00FB2BC6" w:rsidRPr="0053226E">
        <w:rPr>
          <w:rFonts w:ascii="Times New Roman" w:hAnsi="Times New Roman"/>
          <w:sz w:val="24"/>
          <w:szCs w:val="24"/>
          <w:lang w:eastAsia="en-GB"/>
        </w:rPr>
        <w:t xml:space="preserve">Šios </w:t>
      </w:r>
      <w:r w:rsidRPr="0053226E">
        <w:rPr>
          <w:rFonts w:ascii="Times New Roman" w:hAnsi="Times New Roman"/>
          <w:sz w:val="24"/>
          <w:szCs w:val="24"/>
          <w:lang w:eastAsia="en-GB"/>
        </w:rPr>
        <w:t xml:space="preserve">Prekių ženklų įstatymo 19 straipsnyje įtvirtintos nuostatos yra suderintos su Europos Sąjungos teise (žr. šiuo metu galiojančios </w:t>
      </w:r>
      <w:r w:rsidR="006A1A7C" w:rsidRPr="0053226E">
        <w:rPr>
          <w:rFonts w:ascii="Times New Roman" w:hAnsi="Times New Roman"/>
          <w:sz w:val="24"/>
          <w:szCs w:val="24"/>
          <w:lang w:eastAsia="en-GB"/>
        </w:rPr>
        <w:t>Direktyvos</w:t>
      </w:r>
      <w:r w:rsidRPr="0053226E">
        <w:rPr>
          <w:rFonts w:ascii="Times New Roman" w:hAnsi="Times New Roman"/>
          <w:sz w:val="24"/>
          <w:szCs w:val="24"/>
          <w:lang w:eastAsia="en-GB"/>
        </w:rPr>
        <w:t xml:space="preserve"> </w:t>
      </w:r>
      <w:r w:rsidR="00156542" w:rsidRPr="0053226E">
        <w:rPr>
          <w:rFonts w:ascii="Times New Roman" w:hAnsi="Times New Roman"/>
          <w:sz w:val="24"/>
          <w:szCs w:val="24"/>
          <w:lang w:eastAsia="en-GB"/>
        </w:rPr>
        <w:t>Nr. </w:t>
      </w:r>
      <w:r w:rsidRPr="0053226E">
        <w:rPr>
          <w:rFonts w:ascii="Times New Roman" w:hAnsi="Times New Roman"/>
          <w:sz w:val="24"/>
          <w:szCs w:val="24"/>
          <w:lang w:eastAsia="en-GB"/>
        </w:rPr>
        <w:t>2015/2436 15</w:t>
      </w:r>
      <w:r w:rsidR="006A1A7C" w:rsidRPr="0053226E">
        <w:rPr>
          <w:rFonts w:ascii="Times New Roman" w:hAnsi="Times New Roman"/>
          <w:sz w:val="24"/>
          <w:szCs w:val="24"/>
          <w:lang w:eastAsia="en-GB"/>
        </w:rPr>
        <w:t> </w:t>
      </w:r>
      <w:r w:rsidRPr="0053226E">
        <w:rPr>
          <w:rFonts w:ascii="Times New Roman" w:hAnsi="Times New Roman"/>
          <w:sz w:val="24"/>
          <w:szCs w:val="24"/>
          <w:lang w:eastAsia="en-GB"/>
        </w:rPr>
        <w:t>straipsnį, Reglament</w:t>
      </w:r>
      <w:r w:rsidR="006A1A7C" w:rsidRPr="0053226E">
        <w:rPr>
          <w:rFonts w:ascii="Times New Roman" w:hAnsi="Times New Roman"/>
          <w:sz w:val="24"/>
          <w:szCs w:val="24"/>
          <w:lang w:eastAsia="en-GB"/>
        </w:rPr>
        <w:t xml:space="preserve">o </w:t>
      </w:r>
      <w:r w:rsidRPr="0053226E">
        <w:rPr>
          <w:rFonts w:ascii="Times New Roman" w:hAnsi="Times New Roman"/>
          <w:sz w:val="24"/>
          <w:szCs w:val="24"/>
          <w:lang w:eastAsia="en-GB"/>
        </w:rPr>
        <w:t>2017/1001 15 straipsnį).</w:t>
      </w:r>
      <w:r w:rsidR="00DD6F8F" w:rsidRPr="0053226E">
        <w:rPr>
          <w:rFonts w:ascii="Times New Roman" w:hAnsi="Times New Roman"/>
          <w:sz w:val="24"/>
          <w:szCs w:val="24"/>
          <w:lang w:eastAsia="en-GB"/>
        </w:rPr>
        <w:t xml:space="preserve"> Šios aplinkybės suponuoja būtinybę nagrinėjant bylą</w:t>
      </w:r>
      <w:r w:rsidR="00343453" w:rsidRPr="0053226E">
        <w:rPr>
          <w:rFonts w:ascii="Times New Roman" w:hAnsi="Times New Roman"/>
          <w:sz w:val="24"/>
          <w:szCs w:val="24"/>
          <w:lang w:eastAsia="en-GB"/>
        </w:rPr>
        <w:t xml:space="preserve">, be kita ko, </w:t>
      </w:r>
      <w:r w:rsidR="00DD6F8F" w:rsidRPr="0053226E">
        <w:rPr>
          <w:rFonts w:ascii="Times New Roman" w:hAnsi="Times New Roman"/>
          <w:sz w:val="24"/>
          <w:szCs w:val="24"/>
          <w:lang w:eastAsia="en-GB"/>
        </w:rPr>
        <w:t xml:space="preserve">vadovautis ESTT jurisprudencija dėl ginčo sprendimui taikytinos </w:t>
      </w:r>
      <w:r w:rsidR="003E3DB8" w:rsidRPr="0053226E">
        <w:rPr>
          <w:rFonts w:ascii="Times New Roman" w:hAnsi="Times New Roman"/>
          <w:sz w:val="24"/>
          <w:szCs w:val="24"/>
          <w:lang w:eastAsia="en-GB"/>
        </w:rPr>
        <w:t>teisės.</w:t>
      </w:r>
    </w:p>
    <w:p w14:paraId="50A57D5F" w14:textId="63D832A8" w:rsidR="00E43369" w:rsidRPr="0053226E" w:rsidRDefault="007F77E3"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Prekių ženklų įstatymo 19 straipsnio 1 dalyje įtvirtinta nuostata </w:t>
      </w:r>
      <w:r w:rsidR="00B74451" w:rsidRPr="0053226E">
        <w:rPr>
          <w:rFonts w:ascii="Times New Roman" w:hAnsi="Times New Roman"/>
          <w:sz w:val="24"/>
          <w:szCs w:val="24"/>
          <w:lang w:eastAsia="en-GB"/>
        </w:rPr>
        <w:t xml:space="preserve">(pagal kurią ženklo savininkas neturi teisės uždrausti ženklu žymėti prekių, kurios paties ženklo savininko arba jo sutikimu buvo su tuo ženklu išleistos į Europos Sąjungos rinką) </w:t>
      </w:r>
      <w:r w:rsidRPr="0053226E">
        <w:rPr>
          <w:rFonts w:ascii="Times New Roman" w:hAnsi="Times New Roman"/>
          <w:sz w:val="24"/>
          <w:szCs w:val="24"/>
          <w:lang w:eastAsia="en-GB"/>
        </w:rPr>
        <w:t xml:space="preserve">yra susijusi su vadinamuoju teisių į prekių ženklą pasibaigimo (kartais dar vadinamo </w:t>
      </w:r>
      <w:r w:rsidR="009C7413" w:rsidRPr="0053226E">
        <w:rPr>
          <w:rFonts w:ascii="Times New Roman" w:hAnsi="Times New Roman"/>
          <w:sz w:val="24"/>
          <w:szCs w:val="24"/>
          <w:lang w:eastAsia="en-GB"/>
        </w:rPr>
        <w:t>„</w:t>
      </w:r>
      <w:r w:rsidRPr="0053226E">
        <w:rPr>
          <w:rFonts w:ascii="Times New Roman" w:hAnsi="Times New Roman"/>
          <w:sz w:val="24"/>
          <w:szCs w:val="24"/>
          <w:lang w:eastAsia="en-GB"/>
        </w:rPr>
        <w:t>išsėmim</w:t>
      </w:r>
      <w:r w:rsidR="00156542" w:rsidRPr="0053226E">
        <w:rPr>
          <w:rFonts w:ascii="Times New Roman" w:hAnsi="Times New Roman"/>
          <w:sz w:val="24"/>
          <w:szCs w:val="24"/>
          <w:lang w:eastAsia="en-GB"/>
        </w:rPr>
        <w:t>u</w:t>
      </w:r>
      <w:r w:rsidR="009C7413" w:rsidRPr="0053226E">
        <w:rPr>
          <w:rFonts w:ascii="Times New Roman" w:hAnsi="Times New Roman"/>
          <w:sz w:val="24"/>
          <w:szCs w:val="24"/>
          <w:lang w:eastAsia="en-GB"/>
        </w:rPr>
        <w:t>“</w:t>
      </w:r>
      <w:r w:rsidRPr="0053226E">
        <w:rPr>
          <w:rFonts w:ascii="Times New Roman" w:hAnsi="Times New Roman"/>
          <w:sz w:val="24"/>
          <w:szCs w:val="24"/>
          <w:lang w:eastAsia="en-GB"/>
        </w:rPr>
        <w:t xml:space="preserve">, angl. </w:t>
      </w:r>
      <w:proofErr w:type="spellStart"/>
      <w:r w:rsidRPr="0053226E">
        <w:rPr>
          <w:rFonts w:ascii="Times New Roman" w:hAnsi="Times New Roman"/>
          <w:i/>
          <w:iCs/>
          <w:sz w:val="24"/>
          <w:szCs w:val="24"/>
          <w:lang w:eastAsia="en-GB"/>
        </w:rPr>
        <w:t>exhaustion</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of</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rights</w:t>
      </w:r>
      <w:proofErr w:type="spellEnd"/>
      <w:r w:rsidRPr="0053226E">
        <w:rPr>
          <w:rFonts w:ascii="Times New Roman" w:hAnsi="Times New Roman"/>
          <w:sz w:val="24"/>
          <w:szCs w:val="24"/>
          <w:lang w:eastAsia="en-GB"/>
        </w:rPr>
        <w:t xml:space="preserve">) principu. Europos Sąjungoje yra taikomas vadinamasis regioninis ženklo savininko teisių pasibaigimo principas </w:t>
      </w:r>
      <w:r w:rsidR="00A5668F" w:rsidRPr="0053226E">
        <w:rPr>
          <w:rFonts w:ascii="Times New Roman" w:hAnsi="Times New Roman"/>
          <w:sz w:val="24"/>
          <w:szCs w:val="24"/>
          <w:lang w:eastAsia="en-GB"/>
        </w:rPr>
        <w:t>(žr., pvz.</w:t>
      </w:r>
      <w:r w:rsidR="00DE0437" w:rsidRPr="0053226E">
        <w:rPr>
          <w:rFonts w:ascii="Times New Roman" w:hAnsi="Times New Roman"/>
          <w:sz w:val="24"/>
          <w:szCs w:val="24"/>
          <w:lang w:eastAsia="en-GB"/>
        </w:rPr>
        <w:t>,</w:t>
      </w:r>
      <w:r w:rsidR="00A5668F" w:rsidRPr="0053226E">
        <w:rPr>
          <w:rFonts w:ascii="Times New Roman" w:hAnsi="Times New Roman"/>
          <w:sz w:val="24"/>
          <w:szCs w:val="24"/>
          <w:lang w:eastAsia="en-GB"/>
        </w:rPr>
        <w:t xml:space="preserve"> </w:t>
      </w:r>
      <w:r w:rsidRPr="0053226E">
        <w:rPr>
          <w:rFonts w:ascii="Times New Roman" w:hAnsi="Times New Roman"/>
          <w:sz w:val="24"/>
          <w:szCs w:val="24"/>
          <w:lang w:eastAsia="en-GB"/>
        </w:rPr>
        <w:t>Lietuvos Aukščiausiojo Teismo 2012 m. kovo 6 d. nutart</w:t>
      </w:r>
      <w:r w:rsidR="00DE0437" w:rsidRPr="0053226E">
        <w:rPr>
          <w:rFonts w:ascii="Times New Roman" w:hAnsi="Times New Roman"/>
          <w:sz w:val="24"/>
          <w:szCs w:val="24"/>
          <w:lang w:eastAsia="en-GB"/>
        </w:rPr>
        <w:t>į</w:t>
      </w:r>
      <w:r w:rsidRPr="0053226E">
        <w:rPr>
          <w:rFonts w:ascii="Times New Roman" w:hAnsi="Times New Roman"/>
          <w:sz w:val="24"/>
          <w:szCs w:val="24"/>
          <w:lang w:eastAsia="en-GB"/>
        </w:rPr>
        <w:t xml:space="preserve"> civilinėje byloje Nr. 3K-3-82/2012</w:t>
      </w:r>
      <w:r w:rsidR="00DE0437" w:rsidRPr="0053226E">
        <w:rPr>
          <w:rFonts w:ascii="Times New Roman" w:hAnsi="Times New Roman"/>
          <w:sz w:val="24"/>
          <w:szCs w:val="24"/>
          <w:lang w:eastAsia="en-GB"/>
        </w:rPr>
        <w:t>;</w:t>
      </w:r>
      <w:r w:rsidRPr="0053226E">
        <w:rPr>
          <w:rFonts w:ascii="Times New Roman" w:hAnsi="Times New Roman"/>
          <w:sz w:val="24"/>
          <w:szCs w:val="24"/>
          <w:lang w:eastAsia="en-GB"/>
        </w:rPr>
        <w:t xml:space="preserve"> 2015 m. gegužės 15 d. nutart</w:t>
      </w:r>
      <w:r w:rsidR="00DE0437" w:rsidRPr="0053226E">
        <w:rPr>
          <w:rFonts w:ascii="Times New Roman" w:hAnsi="Times New Roman"/>
          <w:sz w:val="24"/>
          <w:szCs w:val="24"/>
          <w:lang w:eastAsia="en-GB"/>
        </w:rPr>
        <w:t>į</w:t>
      </w:r>
      <w:r w:rsidRPr="0053226E">
        <w:rPr>
          <w:rFonts w:ascii="Times New Roman" w:hAnsi="Times New Roman"/>
          <w:sz w:val="24"/>
          <w:szCs w:val="24"/>
          <w:lang w:eastAsia="en-GB"/>
        </w:rPr>
        <w:t xml:space="preserve"> civilinėje byloje Nr. 3K-3-292-248/2015</w:t>
      </w:r>
      <w:r w:rsidR="00DE0437" w:rsidRPr="0053226E">
        <w:rPr>
          <w:rFonts w:ascii="Times New Roman" w:hAnsi="Times New Roman"/>
          <w:sz w:val="24"/>
          <w:szCs w:val="24"/>
          <w:lang w:eastAsia="en-GB"/>
        </w:rPr>
        <w:t>;</w:t>
      </w:r>
      <w:r w:rsidRPr="0053226E">
        <w:rPr>
          <w:rFonts w:ascii="Times New Roman" w:hAnsi="Times New Roman"/>
          <w:sz w:val="24"/>
          <w:szCs w:val="24"/>
          <w:lang w:eastAsia="en-GB"/>
        </w:rPr>
        <w:t xml:space="preserve"> 2018</w:t>
      </w:r>
      <w:r w:rsidR="00B1606B" w:rsidRPr="0053226E">
        <w:rPr>
          <w:rFonts w:ascii="Times New Roman" w:hAnsi="Times New Roman"/>
          <w:sz w:val="24"/>
          <w:szCs w:val="24"/>
          <w:lang w:eastAsia="en-GB"/>
        </w:rPr>
        <w:t> </w:t>
      </w:r>
      <w:r w:rsidRPr="0053226E">
        <w:rPr>
          <w:rFonts w:ascii="Times New Roman" w:hAnsi="Times New Roman"/>
          <w:sz w:val="24"/>
          <w:szCs w:val="24"/>
          <w:lang w:eastAsia="en-GB"/>
        </w:rPr>
        <w:t>m. balandžio 13 d. nutart</w:t>
      </w:r>
      <w:r w:rsidR="00DE0437" w:rsidRPr="0053226E">
        <w:rPr>
          <w:rFonts w:ascii="Times New Roman" w:hAnsi="Times New Roman"/>
          <w:sz w:val="24"/>
          <w:szCs w:val="24"/>
          <w:lang w:eastAsia="en-GB"/>
        </w:rPr>
        <w:t>į</w:t>
      </w:r>
      <w:r w:rsidRPr="0053226E">
        <w:rPr>
          <w:rFonts w:ascii="Times New Roman" w:hAnsi="Times New Roman"/>
          <w:sz w:val="24"/>
          <w:szCs w:val="24"/>
          <w:lang w:eastAsia="en-GB"/>
        </w:rPr>
        <w:t xml:space="preserve"> civilinėje byloje Nr. e3K-3-155-695/2018</w:t>
      </w:r>
      <w:r w:rsidR="00A5668F" w:rsidRPr="0053226E">
        <w:rPr>
          <w:rFonts w:ascii="Times New Roman" w:hAnsi="Times New Roman"/>
          <w:sz w:val="24"/>
          <w:szCs w:val="24"/>
          <w:lang w:eastAsia="en-GB"/>
        </w:rPr>
        <w:t>)</w:t>
      </w:r>
      <w:r w:rsidRPr="0053226E">
        <w:rPr>
          <w:rFonts w:ascii="Times New Roman" w:hAnsi="Times New Roman"/>
          <w:sz w:val="24"/>
          <w:szCs w:val="24"/>
          <w:lang w:eastAsia="en-GB"/>
        </w:rPr>
        <w:t xml:space="preserve">. </w:t>
      </w:r>
      <w:r w:rsidR="003E3DB8" w:rsidRPr="0053226E">
        <w:rPr>
          <w:rFonts w:ascii="Times New Roman" w:hAnsi="Times New Roman"/>
          <w:sz w:val="24"/>
          <w:szCs w:val="24"/>
          <w:lang w:eastAsia="en-GB"/>
        </w:rPr>
        <w:t>Šis reglamentavimas grindžiamas</w:t>
      </w:r>
      <w:r w:rsidRPr="0053226E">
        <w:rPr>
          <w:rFonts w:ascii="Times New Roman" w:hAnsi="Times New Roman"/>
          <w:sz w:val="24"/>
          <w:szCs w:val="24"/>
          <w:lang w:eastAsia="en-GB"/>
        </w:rPr>
        <w:t xml:space="preserve"> </w:t>
      </w:r>
      <w:r w:rsidR="003E3DB8" w:rsidRPr="0053226E">
        <w:rPr>
          <w:rFonts w:ascii="Times New Roman" w:hAnsi="Times New Roman"/>
          <w:sz w:val="24"/>
          <w:szCs w:val="24"/>
          <w:lang w:eastAsia="en-GB"/>
        </w:rPr>
        <w:t xml:space="preserve">vienu iš esminių Europos Sąjungos principų </w:t>
      </w:r>
      <w:r w:rsidR="00B1606B" w:rsidRPr="0053226E">
        <w:rPr>
          <w:rFonts w:ascii="Times New Roman" w:hAnsi="Times New Roman"/>
          <w:sz w:val="24"/>
          <w:szCs w:val="24"/>
          <w:lang w:eastAsia="en-GB"/>
        </w:rPr>
        <w:t>–</w:t>
      </w:r>
      <w:r w:rsidR="003E3DB8" w:rsidRPr="0053226E">
        <w:rPr>
          <w:rFonts w:ascii="Times New Roman" w:hAnsi="Times New Roman"/>
          <w:sz w:val="24"/>
          <w:szCs w:val="24"/>
          <w:lang w:eastAsia="en-GB"/>
        </w:rPr>
        <w:t xml:space="preserve"> l</w:t>
      </w:r>
      <w:r w:rsidRPr="0053226E">
        <w:rPr>
          <w:rFonts w:ascii="Times New Roman" w:hAnsi="Times New Roman"/>
          <w:sz w:val="24"/>
          <w:szCs w:val="24"/>
          <w:lang w:eastAsia="en-GB"/>
        </w:rPr>
        <w:t>aisvo prekių judėjimo</w:t>
      </w:r>
      <w:r w:rsidR="003E3DB8" w:rsidRPr="0053226E">
        <w:rPr>
          <w:rFonts w:ascii="Times New Roman" w:hAnsi="Times New Roman"/>
          <w:sz w:val="24"/>
          <w:szCs w:val="24"/>
          <w:lang w:eastAsia="en-GB"/>
        </w:rPr>
        <w:t xml:space="preserve"> principu</w:t>
      </w:r>
      <w:r w:rsidR="00EE7330" w:rsidRPr="0053226E">
        <w:rPr>
          <w:rFonts w:ascii="Times New Roman" w:hAnsi="Times New Roman"/>
          <w:sz w:val="24"/>
          <w:szCs w:val="24"/>
          <w:lang w:eastAsia="en-GB"/>
        </w:rPr>
        <w:t>.</w:t>
      </w:r>
      <w:r w:rsidR="003E3DB8" w:rsidRPr="0053226E">
        <w:rPr>
          <w:rFonts w:ascii="Times New Roman" w:hAnsi="Times New Roman"/>
          <w:sz w:val="24"/>
          <w:szCs w:val="24"/>
          <w:lang w:eastAsia="en-GB"/>
        </w:rPr>
        <w:t xml:space="preserve"> </w:t>
      </w:r>
      <w:r w:rsidR="00EE7330" w:rsidRPr="0053226E">
        <w:rPr>
          <w:rFonts w:ascii="Times New Roman" w:hAnsi="Times New Roman"/>
          <w:sz w:val="24"/>
          <w:szCs w:val="24"/>
          <w:lang w:eastAsia="en-GB"/>
        </w:rPr>
        <w:t>P</w:t>
      </w:r>
      <w:r w:rsidR="003E3DB8" w:rsidRPr="0053226E">
        <w:rPr>
          <w:rFonts w:ascii="Times New Roman" w:hAnsi="Times New Roman"/>
          <w:sz w:val="24"/>
          <w:szCs w:val="24"/>
          <w:lang w:eastAsia="en-GB"/>
        </w:rPr>
        <w:t>agal laisvo prekių judėjimo principą</w:t>
      </w:r>
      <w:r w:rsidRPr="0053226E">
        <w:rPr>
          <w:rFonts w:ascii="Times New Roman" w:hAnsi="Times New Roman"/>
          <w:sz w:val="24"/>
          <w:szCs w:val="24"/>
          <w:lang w:eastAsia="en-GB"/>
        </w:rPr>
        <w:t xml:space="preserve"> valstybėse narėse turi būti pašalintos visos kliūtys (tokios kaip muito mokesčiai, kiekybiniai prekybos apribojimai, lygiaverčio poveikio priemonių panaikinimas), kad būtų sukurta Europos Sąjungos vidaus rinka, kurioje prekės galėtų judėti taip pat laisvai, kaip jos juda nacionalinėje rinkoje (SESV 34</w:t>
      </w:r>
      <w:r w:rsidR="00B1606B" w:rsidRPr="0053226E">
        <w:rPr>
          <w:rFonts w:ascii="Times New Roman" w:hAnsi="Times New Roman"/>
          <w:sz w:val="24"/>
          <w:szCs w:val="24"/>
          <w:lang w:eastAsia="en-GB"/>
        </w:rPr>
        <w:t>–</w:t>
      </w:r>
      <w:r w:rsidRPr="0053226E">
        <w:rPr>
          <w:rFonts w:ascii="Times New Roman" w:hAnsi="Times New Roman"/>
          <w:sz w:val="24"/>
          <w:szCs w:val="24"/>
          <w:lang w:eastAsia="en-GB"/>
        </w:rPr>
        <w:t>35 straipsniai</w:t>
      </w:r>
      <w:r w:rsidR="00B1606B" w:rsidRPr="0053226E">
        <w:rPr>
          <w:rFonts w:ascii="Times New Roman" w:hAnsi="Times New Roman"/>
          <w:sz w:val="24"/>
          <w:szCs w:val="24"/>
          <w:lang w:eastAsia="en-GB"/>
        </w:rPr>
        <w:t>)</w:t>
      </w:r>
      <w:r w:rsidR="00582ED8" w:rsidRPr="0053226E">
        <w:rPr>
          <w:rFonts w:ascii="Times New Roman" w:hAnsi="Times New Roman"/>
          <w:sz w:val="24"/>
          <w:szCs w:val="24"/>
          <w:lang w:eastAsia="en-GB"/>
        </w:rPr>
        <w:t>.</w:t>
      </w:r>
    </w:p>
    <w:p w14:paraId="170EB641" w14:textId="18F79DCB" w:rsidR="007F77E3" w:rsidRPr="0053226E" w:rsidRDefault="00AF40AA"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L</w:t>
      </w:r>
      <w:r w:rsidR="007F77E3" w:rsidRPr="0053226E">
        <w:rPr>
          <w:rFonts w:ascii="Times New Roman" w:hAnsi="Times New Roman"/>
          <w:sz w:val="24"/>
          <w:szCs w:val="24"/>
          <w:lang w:eastAsia="en-GB"/>
        </w:rPr>
        <w:t>aisvo prekių judėjimo principu</w:t>
      </w:r>
      <w:r w:rsidRPr="0053226E">
        <w:rPr>
          <w:rFonts w:ascii="Times New Roman" w:hAnsi="Times New Roman"/>
          <w:sz w:val="24"/>
          <w:szCs w:val="24"/>
          <w:lang w:eastAsia="en-GB"/>
        </w:rPr>
        <w:t xml:space="preserve">, be kita ko, </w:t>
      </w:r>
      <w:r w:rsidR="007F77E3" w:rsidRPr="0053226E">
        <w:rPr>
          <w:rFonts w:ascii="Times New Roman" w:hAnsi="Times New Roman"/>
          <w:sz w:val="24"/>
          <w:szCs w:val="24"/>
          <w:lang w:eastAsia="en-GB"/>
        </w:rPr>
        <w:t xml:space="preserve">grindžiama lygiagretaus </w:t>
      </w:r>
      <w:r w:rsidR="003F223A" w:rsidRPr="0053226E">
        <w:rPr>
          <w:rFonts w:ascii="Times New Roman" w:hAnsi="Times New Roman"/>
          <w:sz w:val="24"/>
          <w:szCs w:val="24"/>
          <w:lang w:eastAsia="en-GB"/>
        </w:rPr>
        <w:t xml:space="preserve">farmacijos prekių </w:t>
      </w:r>
      <w:r w:rsidR="007F77E3" w:rsidRPr="0053226E">
        <w:rPr>
          <w:rFonts w:ascii="Times New Roman" w:hAnsi="Times New Roman"/>
          <w:sz w:val="24"/>
          <w:szCs w:val="24"/>
          <w:lang w:eastAsia="en-GB"/>
        </w:rPr>
        <w:t xml:space="preserve">importo veikla. </w:t>
      </w:r>
      <w:r w:rsidRPr="0053226E">
        <w:rPr>
          <w:rFonts w:ascii="Times New Roman" w:hAnsi="Times New Roman"/>
          <w:sz w:val="24"/>
          <w:szCs w:val="24"/>
          <w:lang w:eastAsia="en-GB"/>
        </w:rPr>
        <w:t>Kaip pažymima teisės doktrinoje</w:t>
      </w:r>
      <w:r w:rsidR="00EF7E79" w:rsidRPr="0053226E">
        <w:rPr>
          <w:rFonts w:ascii="Times New Roman" w:hAnsi="Times New Roman"/>
          <w:sz w:val="24"/>
          <w:szCs w:val="24"/>
          <w:lang w:eastAsia="en-GB"/>
        </w:rPr>
        <w:t>,</w:t>
      </w:r>
      <w:r w:rsidRPr="0053226E">
        <w:rPr>
          <w:rFonts w:ascii="Times New Roman" w:hAnsi="Times New Roman"/>
          <w:sz w:val="24"/>
          <w:szCs w:val="24"/>
          <w:lang w:eastAsia="en-GB"/>
        </w:rPr>
        <w:t xml:space="preserve"> </w:t>
      </w:r>
      <w:r w:rsidR="00EF7E79" w:rsidRPr="0053226E">
        <w:rPr>
          <w:rFonts w:ascii="Times New Roman" w:hAnsi="Times New Roman"/>
          <w:sz w:val="24"/>
          <w:szCs w:val="24"/>
          <w:lang w:eastAsia="en-GB"/>
        </w:rPr>
        <w:t>v</w:t>
      </w:r>
      <w:r w:rsidR="007F77E3" w:rsidRPr="0053226E">
        <w:rPr>
          <w:rFonts w:ascii="Times New Roman" w:hAnsi="Times New Roman"/>
          <w:sz w:val="24"/>
          <w:szCs w:val="24"/>
          <w:lang w:eastAsia="en-GB"/>
        </w:rPr>
        <w:t xml:space="preserve">aistinių preparatų lygiagretus importas vyksta dėl </w:t>
      </w:r>
      <w:r w:rsidR="007F77E3" w:rsidRPr="0053226E">
        <w:rPr>
          <w:rFonts w:ascii="Times New Roman" w:hAnsi="Times New Roman"/>
          <w:sz w:val="24"/>
          <w:szCs w:val="24"/>
          <w:lang w:eastAsia="en-GB"/>
        </w:rPr>
        <w:lastRenderedPageBreak/>
        <w:t>skirtingų vaistų kainų skirtingose valstybėse, t.</w:t>
      </w:r>
      <w:r w:rsidR="00EE7330" w:rsidRPr="0053226E">
        <w:rPr>
          <w:rFonts w:ascii="Times New Roman" w:hAnsi="Times New Roman"/>
          <w:sz w:val="24"/>
          <w:szCs w:val="24"/>
          <w:lang w:eastAsia="en-GB"/>
        </w:rPr>
        <w:t> </w:t>
      </w:r>
      <w:r w:rsidR="007F77E3" w:rsidRPr="0053226E">
        <w:rPr>
          <w:rFonts w:ascii="Times New Roman" w:hAnsi="Times New Roman"/>
          <w:sz w:val="24"/>
          <w:szCs w:val="24"/>
          <w:lang w:eastAsia="en-GB"/>
        </w:rPr>
        <w:t>y. lygiagretus importuotojas įsigyja vaistinį preparatą valstybėje narėje, kurioje produktas pardavinėjamas mažesne kaina</w:t>
      </w:r>
      <w:r w:rsidR="00DE0437" w:rsidRPr="0053226E">
        <w:rPr>
          <w:rFonts w:ascii="Times New Roman" w:hAnsi="Times New Roman"/>
          <w:sz w:val="24"/>
          <w:szCs w:val="24"/>
          <w:lang w:eastAsia="en-GB"/>
        </w:rPr>
        <w:t>,</w:t>
      </w:r>
      <w:r w:rsidR="007F77E3" w:rsidRPr="0053226E">
        <w:rPr>
          <w:rFonts w:ascii="Times New Roman" w:hAnsi="Times New Roman"/>
          <w:sz w:val="24"/>
          <w:szCs w:val="24"/>
          <w:lang w:eastAsia="en-GB"/>
        </w:rPr>
        <w:t xml:space="preserve"> ir importuoja į valstybę narę, kurioje tas pats vaistinis preparatas pardavinėjamas didesne kaina. Lygiagrečiai importuojant vaistinius preparatus į importuojančias valstybes nares, lygiagrečiam importuotojui kyla poreikis pakoreguoti vaistinio preparato pakuotes, pritaikant jį importuojančios valstybės nacionalinei rinkai, pavyzdžiui, dėl vaistinių preparatų pakuočių ženklinimui taikomų nacionalinės kalbos reik</w:t>
      </w:r>
      <w:r w:rsidR="00582ED8" w:rsidRPr="0053226E">
        <w:rPr>
          <w:rFonts w:ascii="Times New Roman" w:hAnsi="Times New Roman"/>
          <w:sz w:val="24"/>
          <w:szCs w:val="24"/>
          <w:lang w:eastAsia="en-GB"/>
        </w:rPr>
        <w:t>a</w:t>
      </w:r>
      <w:r w:rsidR="007F77E3" w:rsidRPr="0053226E">
        <w:rPr>
          <w:rFonts w:ascii="Times New Roman" w:hAnsi="Times New Roman"/>
          <w:sz w:val="24"/>
          <w:szCs w:val="24"/>
          <w:lang w:eastAsia="en-GB"/>
        </w:rPr>
        <w:t>lavimų. Vykdant lygiagretų vaistinių preparatų importą turi būti užtikrinama</w:t>
      </w:r>
      <w:r w:rsidR="00EE7330" w:rsidRPr="0053226E">
        <w:rPr>
          <w:rFonts w:ascii="Times New Roman" w:hAnsi="Times New Roman"/>
          <w:sz w:val="24"/>
          <w:szCs w:val="24"/>
          <w:lang w:eastAsia="en-GB"/>
        </w:rPr>
        <w:t>s</w:t>
      </w:r>
      <w:r w:rsidR="007F77E3" w:rsidRPr="0053226E">
        <w:rPr>
          <w:rFonts w:ascii="Times New Roman" w:hAnsi="Times New Roman"/>
          <w:sz w:val="24"/>
          <w:szCs w:val="24"/>
          <w:lang w:eastAsia="en-GB"/>
        </w:rPr>
        <w:t xml:space="preserve"> ne tik balansas tarp laisvo prekių judėjimo ir prekių ženklo savininko teisių apsaugos, bet ir vertinamas pacientų saugumas bei visuomenės sveikatos užtikrinimas (žr. Grigienė, J. et al. </w:t>
      </w:r>
      <w:r w:rsidR="007F77E3" w:rsidRPr="0053226E">
        <w:rPr>
          <w:rFonts w:ascii="Times New Roman" w:hAnsi="Times New Roman"/>
          <w:i/>
          <w:iCs/>
          <w:sz w:val="24"/>
          <w:szCs w:val="24"/>
          <w:lang w:eastAsia="en-GB"/>
        </w:rPr>
        <w:t>Prekės ženklo apsauga, vykdant vaistinių preparatų lygiagretų importą</w:t>
      </w:r>
      <w:r w:rsidR="007F77E3" w:rsidRPr="0053226E">
        <w:rPr>
          <w:rFonts w:ascii="Times New Roman" w:hAnsi="Times New Roman"/>
          <w:sz w:val="24"/>
          <w:szCs w:val="24"/>
          <w:lang w:eastAsia="en-GB"/>
        </w:rPr>
        <w:t>. Vytauto Didžiojo universitetas. Teisės apžvalga (</w:t>
      </w:r>
      <w:proofErr w:type="spellStart"/>
      <w:r w:rsidR="007F77E3" w:rsidRPr="0053226E">
        <w:rPr>
          <w:rFonts w:ascii="Times New Roman" w:hAnsi="Times New Roman"/>
          <w:sz w:val="24"/>
          <w:szCs w:val="24"/>
          <w:lang w:eastAsia="en-GB"/>
        </w:rPr>
        <w:t>Law</w:t>
      </w:r>
      <w:proofErr w:type="spellEnd"/>
      <w:r w:rsidR="007F77E3" w:rsidRPr="0053226E">
        <w:rPr>
          <w:rFonts w:ascii="Times New Roman" w:hAnsi="Times New Roman"/>
          <w:sz w:val="24"/>
          <w:szCs w:val="24"/>
          <w:lang w:eastAsia="en-GB"/>
        </w:rPr>
        <w:t xml:space="preserve"> </w:t>
      </w:r>
      <w:proofErr w:type="spellStart"/>
      <w:r w:rsidR="007F77E3" w:rsidRPr="0053226E">
        <w:rPr>
          <w:rFonts w:ascii="Times New Roman" w:hAnsi="Times New Roman"/>
          <w:sz w:val="24"/>
          <w:szCs w:val="24"/>
          <w:lang w:eastAsia="en-GB"/>
        </w:rPr>
        <w:t>review</w:t>
      </w:r>
      <w:proofErr w:type="spellEnd"/>
      <w:r w:rsidR="007F77E3" w:rsidRPr="0053226E">
        <w:rPr>
          <w:rFonts w:ascii="Times New Roman" w:hAnsi="Times New Roman"/>
          <w:sz w:val="24"/>
          <w:szCs w:val="24"/>
          <w:lang w:eastAsia="en-GB"/>
        </w:rPr>
        <w:t xml:space="preserve">), Nr. 2 (24), 2021, p. </w:t>
      </w:r>
      <w:r w:rsidR="001F4EF4" w:rsidRPr="0053226E">
        <w:rPr>
          <w:rFonts w:ascii="Times New Roman" w:hAnsi="Times New Roman"/>
          <w:sz w:val="24"/>
          <w:szCs w:val="24"/>
          <w:lang w:eastAsia="en-GB"/>
        </w:rPr>
        <w:t>38,</w:t>
      </w:r>
      <w:r w:rsidR="00B74451" w:rsidRPr="0053226E">
        <w:rPr>
          <w:rFonts w:ascii="Times New Roman" w:hAnsi="Times New Roman"/>
          <w:sz w:val="24"/>
          <w:szCs w:val="24"/>
          <w:lang w:eastAsia="en-GB"/>
        </w:rPr>
        <w:t xml:space="preserve"> </w:t>
      </w:r>
      <w:r w:rsidR="001F4EF4" w:rsidRPr="0053226E">
        <w:rPr>
          <w:rFonts w:ascii="Times New Roman" w:hAnsi="Times New Roman"/>
          <w:sz w:val="24"/>
          <w:szCs w:val="24"/>
          <w:lang w:eastAsia="en-GB"/>
        </w:rPr>
        <w:t xml:space="preserve">p. </w:t>
      </w:r>
      <w:r w:rsidR="007F77E3" w:rsidRPr="0053226E">
        <w:rPr>
          <w:rFonts w:ascii="Times New Roman" w:hAnsi="Times New Roman"/>
          <w:sz w:val="24"/>
          <w:szCs w:val="24"/>
          <w:lang w:eastAsia="en-GB"/>
        </w:rPr>
        <w:t>54).</w:t>
      </w:r>
    </w:p>
    <w:p w14:paraId="0153F71D" w14:textId="16667821" w:rsidR="00534E5C" w:rsidRPr="0053226E" w:rsidRDefault="0097692C"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Vis dėlto l</w:t>
      </w:r>
      <w:r w:rsidR="003F0359" w:rsidRPr="0053226E">
        <w:rPr>
          <w:rFonts w:ascii="Times New Roman" w:hAnsi="Times New Roman"/>
          <w:sz w:val="24"/>
          <w:szCs w:val="24"/>
          <w:lang w:eastAsia="en-GB"/>
        </w:rPr>
        <w:t>aisv</w:t>
      </w:r>
      <w:r w:rsidRPr="0053226E">
        <w:rPr>
          <w:rFonts w:ascii="Times New Roman" w:hAnsi="Times New Roman"/>
          <w:sz w:val="24"/>
          <w:szCs w:val="24"/>
          <w:lang w:eastAsia="en-GB"/>
        </w:rPr>
        <w:t xml:space="preserve">o prekių </w:t>
      </w:r>
      <w:r w:rsidR="003F0359" w:rsidRPr="0053226E">
        <w:rPr>
          <w:rFonts w:ascii="Times New Roman" w:hAnsi="Times New Roman"/>
          <w:sz w:val="24"/>
          <w:szCs w:val="24"/>
          <w:lang w:eastAsia="en-GB"/>
        </w:rPr>
        <w:t>judėjim</w:t>
      </w:r>
      <w:r w:rsidRPr="0053226E">
        <w:rPr>
          <w:rFonts w:ascii="Times New Roman" w:hAnsi="Times New Roman"/>
          <w:sz w:val="24"/>
          <w:szCs w:val="24"/>
          <w:lang w:eastAsia="en-GB"/>
        </w:rPr>
        <w:t>o principas nėra absoliutus</w:t>
      </w:r>
      <w:r w:rsidR="003F0359" w:rsidRPr="0053226E">
        <w:rPr>
          <w:rFonts w:ascii="Times New Roman" w:hAnsi="Times New Roman"/>
          <w:sz w:val="24"/>
          <w:szCs w:val="24"/>
          <w:lang w:eastAsia="en-GB"/>
        </w:rPr>
        <w:t xml:space="preserve">. </w:t>
      </w:r>
      <w:r w:rsidR="002510AB" w:rsidRPr="0053226E">
        <w:rPr>
          <w:rFonts w:ascii="Times New Roman" w:hAnsi="Times New Roman"/>
          <w:sz w:val="24"/>
          <w:szCs w:val="24"/>
          <w:lang w:eastAsia="en-GB"/>
        </w:rPr>
        <w:t>SESV 36 straipsnyje įtvirtintas išimčių iš šio principo taikymas siekiant užtikrinti kitas Europos Sąjungos vertybes – SESV 34 ir 35</w:t>
      </w:r>
      <w:r w:rsidR="00DE0437" w:rsidRPr="0053226E">
        <w:rPr>
          <w:rFonts w:ascii="Times New Roman" w:hAnsi="Times New Roman"/>
          <w:sz w:val="24"/>
          <w:szCs w:val="24"/>
          <w:lang w:eastAsia="en-GB"/>
        </w:rPr>
        <w:t> </w:t>
      </w:r>
      <w:r w:rsidR="002510AB" w:rsidRPr="0053226E">
        <w:rPr>
          <w:rFonts w:ascii="Times New Roman" w:hAnsi="Times New Roman"/>
          <w:sz w:val="24"/>
          <w:szCs w:val="24"/>
          <w:lang w:eastAsia="en-GB"/>
        </w:rPr>
        <w:t xml:space="preserve">straipsnių nuostatos nekliudo taikyti prekių importo, eksporto ar tranzito draudimų arba apribojimų, jei jie yra pateisinami visuomenės dorovės, viešosios tvarkos arba visuomenės saugumo, žmonių, gyvūnų ar augalų sveikatos bei gyvybės apsaugos, nacionalinių meno, istorijos ar archeologijos vertybių apsaugos bei pramoninės ir komercinės nuosavybės apsaugos sumetimais. Tačiau tokie draudimai arba apribojimai neturi tapti savavališka diskriminacijos priemone ar užslėptu valstybių narių tarpusavio prekybos apribojimu. </w:t>
      </w:r>
    </w:p>
    <w:p w14:paraId="0D1B50FD" w14:textId="348B921D" w:rsidR="00337077" w:rsidRPr="0053226E" w:rsidRDefault="00534E5C"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ESTT praktikoje nurodoma, kad dėl </w:t>
      </w:r>
      <w:r w:rsidR="004E7329" w:rsidRPr="0053226E">
        <w:rPr>
          <w:rFonts w:ascii="Times New Roman" w:hAnsi="Times New Roman"/>
          <w:sz w:val="24"/>
          <w:szCs w:val="24"/>
          <w:lang w:eastAsia="en-GB"/>
        </w:rPr>
        <w:t>prekių ženklo savininko teisės užkirsti kelią importuotojui</w:t>
      </w:r>
      <w:r w:rsidRPr="0053226E">
        <w:rPr>
          <w:rFonts w:ascii="Times New Roman" w:hAnsi="Times New Roman"/>
          <w:sz w:val="24"/>
          <w:szCs w:val="24"/>
          <w:lang w:eastAsia="en-GB"/>
        </w:rPr>
        <w:t xml:space="preserve"> </w:t>
      </w:r>
      <w:r w:rsidR="004E7329" w:rsidRPr="0053226E">
        <w:rPr>
          <w:rFonts w:ascii="Times New Roman" w:hAnsi="Times New Roman"/>
          <w:sz w:val="24"/>
          <w:szCs w:val="24"/>
          <w:lang w:eastAsia="en-GB"/>
        </w:rPr>
        <w:t>prekiauti preke, kuri buvo išleista į rinką kitoje valstybėje narėje</w:t>
      </w:r>
      <w:r w:rsidRPr="0053226E">
        <w:rPr>
          <w:rFonts w:ascii="Times New Roman" w:hAnsi="Times New Roman"/>
          <w:sz w:val="24"/>
          <w:szCs w:val="24"/>
          <w:lang w:eastAsia="en-GB"/>
        </w:rPr>
        <w:t xml:space="preserve"> paties savininko </w:t>
      </w:r>
      <w:r w:rsidR="004E7329" w:rsidRPr="0053226E">
        <w:rPr>
          <w:rFonts w:ascii="Times New Roman" w:hAnsi="Times New Roman"/>
          <w:sz w:val="24"/>
          <w:szCs w:val="24"/>
          <w:lang w:eastAsia="en-GB"/>
        </w:rPr>
        <w:t>arba su jo sutikimu, jei šis importuotojas perpakavo produktą</w:t>
      </w:r>
      <w:r w:rsidRPr="0053226E">
        <w:rPr>
          <w:rFonts w:ascii="Times New Roman" w:hAnsi="Times New Roman"/>
          <w:sz w:val="24"/>
          <w:szCs w:val="24"/>
          <w:lang w:eastAsia="en-GB"/>
        </w:rPr>
        <w:t xml:space="preserve"> </w:t>
      </w:r>
      <w:r w:rsidR="004E7329" w:rsidRPr="0053226E">
        <w:rPr>
          <w:rFonts w:ascii="Times New Roman" w:hAnsi="Times New Roman"/>
          <w:sz w:val="24"/>
          <w:szCs w:val="24"/>
          <w:lang w:eastAsia="en-GB"/>
        </w:rPr>
        <w:t xml:space="preserve">ir pakartotinai pritvirtino prekių ženklą be savininko leidimo, turi būti </w:t>
      </w:r>
      <w:r w:rsidRPr="0053226E">
        <w:rPr>
          <w:rFonts w:ascii="Times New Roman" w:hAnsi="Times New Roman"/>
          <w:sz w:val="24"/>
          <w:szCs w:val="24"/>
          <w:lang w:eastAsia="en-GB"/>
        </w:rPr>
        <w:t xml:space="preserve">sprendžiama </w:t>
      </w:r>
      <w:r w:rsidR="004E7329" w:rsidRPr="0053226E">
        <w:rPr>
          <w:rFonts w:ascii="Times New Roman" w:hAnsi="Times New Roman"/>
          <w:sz w:val="24"/>
          <w:szCs w:val="24"/>
          <w:lang w:eastAsia="en-GB"/>
        </w:rPr>
        <w:t>rem</w:t>
      </w:r>
      <w:r w:rsidRPr="0053226E">
        <w:rPr>
          <w:rFonts w:ascii="Times New Roman" w:hAnsi="Times New Roman"/>
          <w:sz w:val="24"/>
          <w:szCs w:val="24"/>
          <w:lang w:eastAsia="en-GB"/>
        </w:rPr>
        <w:t xml:space="preserve">iantis </w:t>
      </w:r>
      <w:r w:rsidR="004E7329" w:rsidRPr="0053226E">
        <w:rPr>
          <w:rFonts w:ascii="Times New Roman" w:hAnsi="Times New Roman"/>
          <w:sz w:val="24"/>
          <w:szCs w:val="24"/>
          <w:lang w:eastAsia="en-GB"/>
        </w:rPr>
        <w:t>nacionalinio prekių ženklų įstatymo nuostat</w:t>
      </w:r>
      <w:r w:rsidRPr="0053226E">
        <w:rPr>
          <w:rFonts w:ascii="Times New Roman" w:hAnsi="Times New Roman"/>
          <w:sz w:val="24"/>
          <w:szCs w:val="24"/>
          <w:lang w:eastAsia="en-GB"/>
        </w:rPr>
        <w:t xml:space="preserve">omis jas aiškinant Direktyvos </w:t>
      </w:r>
      <w:r w:rsidR="00D661BF" w:rsidRPr="0053226E">
        <w:rPr>
          <w:rFonts w:ascii="Times New Roman" w:hAnsi="Times New Roman"/>
          <w:sz w:val="24"/>
          <w:szCs w:val="24"/>
          <w:lang w:eastAsia="en-GB"/>
        </w:rPr>
        <w:t xml:space="preserve">2008/95/ </w:t>
      </w:r>
      <w:r w:rsidR="004E7329" w:rsidRPr="0053226E">
        <w:rPr>
          <w:rFonts w:ascii="Times New Roman" w:hAnsi="Times New Roman"/>
          <w:sz w:val="24"/>
          <w:szCs w:val="24"/>
          <w:lang w:eastAsia="en-GB"/>
        </w:rPr>
        <w:t>7 straipsnio</w:t>
      </w:r>
      <w:r w:rsidRPr="0053226E">
        <w:rPr>
          <w:rFonts w:ascii="Times New Roman" w:hAnsi="Times New Roman"/>
          <w:sz w:val="24"/>
          <w:szCs w:val="24"/>
          <w:lang w:eastAsia="en-GB"/>
        </w:rPr>
        <w:t xml:space="preserve"> kontekste, atsižvelgiant į SESV 36</w:t>
      </w:r>
      <w:r w:rsidR="00EE7330" w:rsidRPr="0053226E">
        <w:rPr>
          <w:rFonts w:ascii="Times New Roman" w:hAnsi="Times New Roman"/>
          <w:sz w:val="24"/>
          <w:szCs w:val="24"/>
          <w:lang w:eastAsia="en-GB"/>
        </w:rPr>
        <w:t> </w:t>
      </w:r>
      <w:r w:rsidRPr="0053226E">
        <w:rPr>
          <w:rFonts w:ascii="Times New Roman" w:hAnsi="Times New Roman"/>
          <w:sz w:val="24"/>
          <w:szCs w:val="24"/>
          <w:lang w:eastAsia="en-GB"/>
        </w:rPr>
        <w:t>straipsnį (sprendimas</w:t>
      </w:r>
      <w:r w:rsidR="00DE0437" w:rsidRPr="0053226E">
        <w:rPr>
          <w:rFonts w:ascii="Times New Roman" w:hAnsi="Times New Roman"/>
          <w:sz w:val="24"/>
          <w:szCs w:val="24"/>
          <w:lang w:eastAsia="en-GB"/>
        </w:rPr>
        <w:t xml:space="preserve"> byloje</w:t>
      </w:r>
      <w:r w:rsidRPr="0053226E">
        <w:rPr>
          <w:rFonts w:ascii="Times New Roman" w:hAnsi="Times New Roman"/>
          <w:sz w:val="24"/>
          <w:szCs w:val="24"/>
          <w:lang w:eastAsia="en-GB"/>
        </w:rPr>
        <w:t xml:space="preserve"> </w:t>
      </w:r>
      <w:proofErr w:type="spellStart"/>
      <w:r w:rsidR="00EE7330" w:rsidRPr="0053226E">
        <w:rPr>
          <w:rFonts w:ascii="Times New Roman" w:hAnsi="Times New Roman"/>
          <w:i/>
          <w:iCs/>
          <w:sz w:val="24"/>
          <w:szCs w:val="24"/>
          <w:lang w:eastAsia="en-GB"/>
        </w:rPr>
        <w:t>Bristol-Myers</w:t>
      </w:r>
      <w:proofErr w:type="spellEnd"/>
      <w:r w:rsidR="00EE7330" w:rsidRPr="0053226E">
        <w:rPr>
          <w:rFonts w:ascii="Times New Roman" w:hAnsi="Times New Roman"/>
          <w:i/>
          <w:iCs/>
          <w:sz w:val="24"/>
          <w:szCs w:val="24"/>
          <w:lang w:eastAsia="en-GB"/>
        </w:rPr>
        <w:t xml:space="preserve"> </w:t>
      </w:r>
      <w:proofErr w:type="spellStart"/>
      <w:r w:rsidR="00EE7330"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r w:rsidRPr="0053226E">
        <w:rPr>
          <w:rFonts w:ascii="Times New Roman" w:hAnsi="Times New Roman"/>
          <w:sz w:val="24"/>
          <w:szCs w:val="24"/>
          <w:lang w:eastAsia="en-GB"/>
        </w:rPr>
        <w:t>, 2</w:t>
      </w:r>
      <w:r w:rsidR="004E7329" w:rsidRPr="0053226E">
        <w:rPr>
          <w:rFonts w:ascii="Times New Roman" w:hAnsi="Times New Roman"/>
          <w:sz w:val="24"/>
          <w:szCs w:val="24"/>
          <w:lang w:eastAsia="en-GB"/>
        </w:rPr>
        <w:t>8 p</w:t>
      </w:r>
      <w:r w:rsidRPr="0053226E">
        <w:rPr>
          <w:rFonts w:ascii="Times New Roman" w:hAnsi="Times New Roman"/>
          <w:sz w:val="24"/>
          <w:szCs w:val="24"/>
          <w:lang w:eastAsia="en-GB"/>
        </w:rPr>
        <w:t>unktas).</w:t>
      </w:r>
    </w:p>
    <w:p w14:paraId="2B402BF5" w14:textId="1176BEFF" w:rsidR="004F2F3A" w:rsidRPr="0053226E" w:rsidRDefault="007F77E3"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Prekių ženklų įstatymo 19 straipsnio 2 dal</w:t>
      </w:r>
      <w:r w:rsidR="00DE0437" w:rsidRPr="0053226E">
        <w:rPr>
          <w:rFonts w:ascii="Times New Roman" w:hAnsi="Times New Roman"/>
          <w:sz w:val="24"/>
          <w:szCs w:val="24"/>
          <w:lang w:eastAsia="en-GB"/>
        </w:rPr>
        <w:t>ies</w:t>
      </w:r>
      <w:r w:rsidRPr="0053226E">
        <w:rPr>
          <w:rFonts w:ascii="Times New Roman" w:hAnsi="Times New Roman"/>
          <w:sz w:val="24"/>
          <w:szCs w:val="24"/>
          <w:lang w:eastAsia="en-GB"/>
        </w:rPr>
        <w:t xml:space="preserve"> nuostata</w:t>
      </w:r>
      <w:r w:rsidR="00C532FB" w:rsidRPr="0053226E">
        <w:rPr>
          <w:rFonts w:ascii="Times New Roman" w:hAnsi="Times New Roman"/>
          <w:sz w:val="24"/>
          <w:szCs w:val="24"/>
          <w:lang w:eastAsia="en-GB"/>
        </w:rPr>
        <w:t xml:space="preserve">, </w:t>
      </w:r>
      <w:r w:rsidR="00DE0437" w:rsidRPr="0053226E">
        <w:rPr>
          <w:rFonts w:ascii="Times New Roman" w:hAnsi="Times New Roman"/>
          <w:sz w:val="24"/>
          <w:szCs w:val="24"/>
          <w:lang w:eastAsia="en-GB"/>
        </w:rPr>
        <w:t>įtvirtin</w:t>
      </w:r>
      <w:r w:rsidR="004F2F3A" w:rsidRPr="0053226E">
        <w:rPr>
          <w:rFonts w:ascii="Times New Roman" w:hAnsi="Times New Roman"/>
          <w:sz w:val="24"/>
          <w:szCs w:val="24"/>
          <w:lang w:eastAsia="en-GB"/>
        </w:rPr>
        <w:t>anti</w:t>
      </w:r>
      <w:r w:rsidR="00C532FB" w:rsidRPr="0053226E">
        <w:rPr>
          <w:rFonts w:ascii="Times New Roman" w:hAnsi="Times New Roman"/>
          <w:sz w:val="24"/>
          <w:szCs w:val="24"/>
          <w:lang w:eastAsia="en-GB"/>
        </w:rPr>
        <w:t xml:space="preserve"> prekių ženklo savinink</w:t>
      </w:r>
      <w:r w:rsidR="004F2F3A" w:rsidRPr="0053226E">
        <w:rPr>
          <w:rFonts w:ascii="Times New Roman" w:hAnsi="Times New Roman"/>
          <w:sz w:val="24"/>
          <w:szCs w:val="24"/>
          <w:lang w:eastAsia="en-GB"/>
        </w:rPr>
        <w:t>o</w:t>
      </w:r>
      <w:r w:rsidR="00C532FB" w:rsidRPr="0053226E">
        <w:rPr>
          <w:rFonts w:ascii="Times New Roman" w:hAnsi="Times New Roman"/>
          <w:sz w:val="24"/>
          <w:szCs w:val="24"/>
          <w:lang w:eastAsia="en-GB"/>
        </w:rPr>
        <w:t xml:space="preserve"> teis</w:t>
      </w:r>
      <w:r w:rsidR="00DE0437" w:rsidRPr="0053226E">
        <w:rPr>
          <w:rFonts w:ascii="Times New Roman" w:hAnsi="Times New Roman"/>
          <w:sz w:val="24"/>
          <w:szCs w:val="24"/>
          <w:lang w:eastAsia="en-GB"/>
        </w:rPr>
        <w:t>ę</w:t>
      </w:r>
      <w:r w:rsidR="00C532FB" w:rsidRPr="0053226E">
        <w:rPr>
          <w:rFonts w:ascii="Times New Roman" w:hAnsi="Times New Roman"/>
          <w:sz w:val="24"/>
          <w:szCs w:val="24"/>
          <w:lang w:eastAsia="en-GB"/>
        </w:rPr>
        <w:t xml:space="preserve"> uždrausti ženklu žymėti prek</w:t>
      </w:r>
      <w:r w:rsidR="00DE0437" w:rsidRPr="0053226E">
        <w:rPr>
          <w:rFonts w:ascii="Times New Roman" w:hAnsi="Times New Roman"/>
          <w:sz w:val="24"/>
          <w:szCs w:val="24"/>
          <w:lang w:eastAsia="en-GB"/>
        </w:rPr>
        <w:t>es</w:t>
      </w:r>
      <w:r w:rsidR="00C532FB" w:rsidRPr="0053226E">
        <w:rPr>
          <w:rFonts w:ascii="Times New Roman" w:hAnsi="Times New Roman"/>
          <w:sz w:val="24"/>
          <w:szCs w:val="24"/>
          <w:lang w:eastAsia="en-GB"/>
        </w:rPr>
        <w:t>, kurios paties ženklo savininko arba jo sutikimu buvo su tuo ženklu išleistos į Europos Sąjungos rinką,</w:t>
      </w:r>
      <w:r w:rsidRPr="0053226E">
        <w:rPr>
          <w:rFonts w:ascii="Times New Roman" w:hAnsi="Times New Roman"/>
          <w:sz w:val="24"/>
          <w:szCs w:val="24"/>
          <w:lang w:eastAsia="en-GB"/>
        </w:rPr>
        <w:t xml:space="preserve"> </w:t>
      </w:r>
      <w:r w:rsidR="00C532FB" w:rsidRPr="0053226E">
        <w:rPr>
          <w:rFonts w:ascii="Times New Roman" w:hAnsi="Times New Roman"/>
          <w:sz w:val="24"/>
          <w:szCs w:val="24"/>
          <w:lang w:eastAsia="en-GB"/>
        </w:rPr>
        <w:t xml:space="preserve">jeigu ženklo savininkas turi pagrįstų priežasčių prieštarauti, kad prekės toliau būtų </w:t>
      </w:r>
      <w:proofErr w:type="spellStart"/>
      <w:r w:rsidR="00C532FB" w:rsidRPr="0053226E">
        <w:rPr>
          <w:rFonts w:ascii="Times New Roman" w:hAnsi="Times New Roman"/>
          <w:sz w:val="24"/>
          <w:szCs w:val="24"/>
          <w:lang w:eastAsia="en-GB"/>
        </w:rPr>
        <w:t>komercializuojamos</w:t>
      </w:r>
      <w:proofErr w:type="spellEnd"/>
      <w:r w:rsidR="00C532FB" w:rsidRPr="0053226E">
        <w:rPr>
          <w:rFonts w:ascii="Times New Roman" w:hAnsi="Times New Roman"/>
          <w:sz w:val="24"/>
          <w:szCs w:val="24"/>
          <w:lang w:eastAsia="en-GB"/>
        </w:rPr>
        <w:t xml:space="preserve"> (naudojamos siekiant gauti pelną), ypač jeigu po jų išleidimo į rinką pasikeitė ar pablogėjo prekių būklė, </w:t>
      </w:r>
      <w:r w:rsidRPr="0053226E">
        <w:rPr>
          <w:rFonts w:ascii="Times New Roman" w:hAnsi="Times New Roman"/>
          <w:sz w:val="24"/>
          <w:szCs w:val="24"/>
          <w:lang w:eastAsia="en-GB"/>
        </w:rPr>
        <w:t xml:space="preserve">yra </w:t>
      </w:r>
      <w:r w:rsidR="004F2F3A" w:rsidRPr="0053226E">
        <w:rPr>
          <w:rFonts w:ascii="Times New Roman" w:hAnsi="Times New Roman"/>
          <w:sz w:val="24"/>
          <w:szCs w:val="24"/>
          <w:lang w:eastAsia="en-GB"/>
        </w:rPr>
        <w:t xml:space="preserve">traktuojama kaip nustatanti </w:t>
      </w:r>
      <w:r w:rsidRPr="0053226E">
        <w:rPr>
          <w:rFonts w:ascii="Times New Roman" w:hAnsi="Times New Roman"/>
          <w:sz w:val="24"/>
          <w:szCs w:val="24"/>
          <w:lang w:eastAsia="en-GB"/>
        </w:rPr>
        <w:t>išimt</w:t>
      </w:r>
      <w:r w:rsidR="004F2F3A" w:rsidRPr="0053226E">
        <w:rPr>
          <w:rFonts w:ascii="Times New Roman" w:hAnsi="Times New Roman"/>
          <w:sz w:val="24"/>
          <w:szCs w:val="24"/>
          <w:lang w:eastAsia="en-GB"/>
        </w:rPr>
        <w:t>į</w:t>
      </w:r>
      <w:r w:rsidRPr="0053226E">
        <w:rPr>
          <w:rFonts w:ascii="Times New Roman" w:hAnsi="Times New Roman"/>
          <w:sz w:val="24"/>
          <w:szCs w:val="24"/>
          <w:lang w:eastAsia="en-GB"/>
        </w:rPr>
        <w:t xml:space="preserve"> iš prekių ženklo savininko teisių pasibaigimo</w:t>
      </w:r>
      <w:r w:rsidR="004F2F3A" w:rsidRPr="0053226E">
        <w:rPr>
          <w:rFonts w:ascii="Times New Roman" w:hAnsi="Times New Roman"/>
          <w:sz w:val="24"/>
          <w:szCs w:val="24"/>
          <w:lang w:eastAsia="en-GB"/>
        </w:rPr>
        <w:t xml:space="preserve"> („išsėmimo“)</w:t>
      </w:r>
      <w:r w:rsidRPr="0053226E">
        <w:rPr>
          <w:rFonts w:ascii="Times New Roman" w:hAnsi="Times New Roman"/>
          <w:sz w:val="24"/>
          <w:szCs w:val="24"/>
          <w:lang w:eastAsia="en-GB"/>
        </w:rPr>
        <w:t>, taigi ir laisvo prekių judėjimo Europos Sąjungoje, principo (žr., pvz., Lietuvos Aukščiausiojo Teismo 2015 m. kovo 20</w:t>
      </w:r>
      <w:r w:rsidR="00EE7330" w:rsidRPr="0053226E">
        <w:rPr>
          <w:rFonts w:ascii="Times New Roman" w:hAnsi="Times New Roman"/>
          <w:sz w:val="24"/>
          <w:szCs w:val="24"/>
          <w:lang w:eastAsia="en-GB"/>
        </w:rPr>
        <w:t> </w:t>
      </w:r>
      <w:r w:rsidRPr="0053226E">
        <w:rPr>
          <w:rFonts w:ascii="Times New Roman" w:hAnsi="Times New Roman"/>
          <w:sz w:val="24"/>
          <w:szCs w:val="24"/>
          <w:lang w:eastAsia="en-GB"/>
        </w:rPr>
        <w:t>d. nutartį civilinėje byloje Nr. 3K-3-140-611/2015).</w:t>
      </w:r>
    </w:p>
    <w:p w14:paraId="60ED4F0F" w14:textId="17585A63" w:rsidR="008614E6" w:rsidRPr="0053226E" w:rsidRDefault="00D86EC7"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Taigi, </w:t>
      </w:r>
      <w:r w:rsidR="004F2F3A" w:rsidRPr="0053226E">
        <w:rPr>
          <w:rFonts w:ascii="Times New Roman" w:hAnsi="Times New Roman"/>
          <w:sz w:val="24"/>
          <w:szCs w:val="24"/>
          <w:lang w:eastAsia="en-GB"/>
        </w:rPr>
        <w:t xml:space="preserve">prekių ženklo savininkas gali </w:t>
      </w:r>
      <w:r w:rsidRPr="0053226E">
        <w:rPr>
          <w:rFonts w:ascii="Times New Roman" w:hAnsi="Times New Roman"/>
          <w:sz w:val="24"/>
          <w:szCs w:val="24"/>
          <w:lang w:eastAsia="en-GB"/>
        </w:rPr>
        <w:t>teisėtai</w:t>
      </w:r>
      <w:r w:rsidR="00567DF4" w:rsidRPr="0053226E">
        <w:rPr>
          <w:rFonts w:ascii="Times New Roman" w:hAnsi="Times New Roman"/>
          <w:sz w:val="24"/>
          <w:szCs w:val="24"/>
          <w:lang w:eastAsia="en-GB"/>
        </w:rPr>
        <w:t xml:space="preserve"> </w:t>
      </w:r>
      <w:r w:rsidR="004F2F3A" w:rsidRPr="0053226E">
        <w:rPr>
          <w:rFonts w:ascii="Times New Roman" w:hAnsi="Times New Roman"/>
          <w:sz w:val="24"/>
          <w:szCs w:val="24"/>
          <w:lang w:eastAsia="en-GB"/>
        </w:rPr>
        <w:t>uždrausti lygiagrečiam importuotojui prekiauti perpakuotomis farmacijos prekėmis</w:t>
      </w:r>
      <w:r w:rsidR="009474E8" w:rsidRPr="0053226E">
        <w:rPr>
          <w:rFonts w:ascii="Times New Roman" w:hAnsi="Times New Roman"/>
          <w:sz w:val="24"/>
          <w:szCs w:val="24"/>
          <w:lang w:eastAsia="en-GB"/>
        </w:rPr>
        <w:t>, jei tai suderinama su vadinamosiomis BMS sąlygomis, suformuluotomis ESTT jurisprudencijoje</w:t>
      </w:r>
      <w:r w:rsidR="004F2F3A" w:rsidRPr="0053226E">
        <w:rPr>
          <w:rFonts w:ascii="Times New Roman" w:hAnsi="Times New Roman"/>
          <w:sz w:val="24"/>
          <w:szCs w:val="24"/>
          <w:lang w:eastAsia="en-GB"/>
        </w:rPr>
        <w:t>.</w:t>
      </w:r>
    </w:p>
    <w:p w14:paraId="58379929" w14:textId="487F0AE0" w:rsidR="007F77E3" w:rsidRPr="0053226E" w:rsidRDefault="00C24EC0"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bookmarkStart w:id="7" w:name="_Hlk201048108"/>
      <w:r w:rsidRPr="0053226E">
        <w:rPr>
          <w:rFonts w:ascii="Times New Roman" w:hAnsi="Times New Roman"/>
          <w:sz w:val="24"/>
          <w:szCs w:val="24"/>
          <w:lang w:eastAsia="en-GB"/>
        </w:rPr>
        <w:t xml:space="preserve">ESTT </w:t>
      </w:r>
      <w:r w:rsidR="00B71472" w:rsidRPr="0053226E">
        <w:rPr>
          <w:rFonts w:ascii="Times New Roman" w:hAnsi="Times New Roman"/>
          <w:sz w:val="24"/>
          <w:szCs w:val="24"/>
          <w:lang w:eastAsia="en-GB"/>
        </w:rPr>
        <w:t>anksčiau minėtame</w:t>
      </w:r>
      <w:r w:rsidR="007F77E3" w:rsidRPr="0053226E">
        <w:rPr>
          <w:rFonts w:ascii="Times New Roman" w:hAnsi="Times New Roman"/>
          <w:sz w:val="24"/>
          <w:szCs w:val="24"/>
          <w:lang w:eastAsia="en-GB"/>
        </w:rPr>
        <w:t xml:space="preserve"> sprendim</w:t>
      </w:r>
      <w:r w:rsidR="007030BC" w:rsidRPr="0053226E">
        <w:rPr>
          <w:rFonts w:ascii="Times New Roman" w:hAnsi="Times New Roman"/>
          <w:sz w:val="24"/>
          <w:szCs w:val="24"/>
          <w:lang w:eastAsia="en-GB"/>
        </w:rPr>
        <w:t>e</w:t>
      </w:r>
      <w:r w:rsidR="00DE0437" w:rsidRPr="0053226E">
        <w:rPr>
          <w:rFonts w:ascii="Times New Roman" w:hAnsi="Times New Roman"/>
          <w:sz w:val="24"/>
          <w:szCs w:val="24"/>
          <w:lang w:eastAsia="en-GB"/>
        </w:rPr>
        <w:t xml:space="preserve"> byloje</w:t>
      </w:r>
      <w:r w:rsidR="007F77E3" w:rsidRPr="0053226E">
        <w:rPr>
          <w:rFonts w:ascii="Times New Roman" w:hAnsi="Times New Roman"/>
          <w:sz w:val="24"/>
          <w:szCs w:val="24"/>
          <w:lang w:eastAsia="en-GB"/>
        </w:rPr>
        <w:t xml:space="preserve"> </w:t>
      </w:r>
      <w:bookmarkStart w:id="8" w:name="_Hlk200976269"/>
      <w:proofErr w:type="spellStart"/>
      <w:r w:rsidR="00D35BE0" w:rsidRPr="0053226E">
        <w:rPr>
          <w:rFonts w:ascii="Times New Roman" w:hAnsi="Times New Roman"/>
          <w:i/>
          <w:iCs/>
          <w:sz w:val="24"/>
          <w:szCs w:val="24"/>
          <w:lang w:eastAsia="en-GB"/>
        </w:rPr>
        <w:t>Bristol-Myers</w:t>
      </w:r>
      <w:proofErr w:type="spellEnd"/>
      <w:r w:rsidR="00D35BE0" w:rsidRPr="0053226E">
        <w:rPr>
          <w:rFonts w:ascii="Times New Roman" w:hAnsi="Times New Roman"/>
          <w:i/>
          <w:iCs/>
          <w:sz w:val="24"/>
          <w:szCs w:val="24"/>
          <w:lang w:eastAsia="en-GB"/>
        </w:rPr>
        <w:t xml:space="preserve"> </w:t>
      </w:r>
      <w:proofErr w:type="spellStart"/>
      <w:r w:rsidR="00D35BE0"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bookmarkEnd w:id="7"/>
      <w:bookmarkEnd w:id="8"/>
      <w:r w:rsidR="004C5ED7" w:rsidRPr="0053226E">
        <w:rPr>
          <w:rFonts w:ascii="Times New Roman" w:hAnsi="Times New Roman"/>
          <w:sz w:val="24"/>
          <w:szCs w:val="24"/>
          <w:lang w:eastAsia="en-GB"/>
        </w:rPr>
        <w:t xml:space="preserve">, plėtodamas ankstesnę savo </w:t>
      </w:r>
      <w:r w:rsidRPr="0053226E">
        <w:rPr>
          <w:rFonts w:ascii="Times New Roman" w:hAnsi="Times New Roman"/>
          <w:sz w:val="24"/>
          <w:szCs w:val="24"/>
          <w:lang w:eastAsia="en-GB"/>
        </w:rPr>
        <w:t>praktiką</w:t>
      </w:r>
      <w:r w:rsidR="004C5ED7" w:rsidRPr="0053226E">
        <w:rPr>
          <w:rFonts w:ascii="Times New Roman" w:hAnsi="Times New Roman"/>
          <w:sz w:val="24"/>
          <w:szCs w:val="24"/>
          <w:lang w:eastAsia="en-GB"/>
        </w:rPr>
        <w:t>, išaiškino, kad</w:t>
      </w:r>
      <w:r w:rsidR="00DE0437" w:rsidRPr="0053226E">
        <w:rPr>
          <w:rFonts w:ascii="Times New Roman" w:hAnsi="Times New Roman"/>
          <w:sz w:val="24"/>
          <w:szCs w:val="24"/>
          <w:lang w:eastAsia="en-GB"/>
        </w:rPr>
        <w:t>,</w:t>
      </w:r>
      <w:r w:rsidR="004C5ED7" w:rsidRPr="0053226E">
        <w:rPr>
          <w:rFonts w:ascii="Times New Roman" w:hAnsi="Times New Roman"/>
          <w:sz w:val="24"/>
          <w:szCs w:val="24"/>
          <w:lang w:eastAsia="en-GB"/>
        </w:rPr>
        <w:t xml:space="preserve"> pagal ES teisę</w:t>
      </w:r>
      <w:r w:rsidR="00DE0437" w:rsidRPr="0053226E">
        <w:rPr>
          <w:rFonts w:ascii="Times New Roman" w:hAnsi="Times New Roman"/>
          <w:sz w:val="24"/>
          <w:szCs w:val="24"/>
          <w:lang w:eastAsia="en-GB"/>
        </w:rPr>
        <w:t>,</w:t>
      </w:r>
      <w:r w:rsidR="004C5ED7" w:rsidRPr="0053226E">
        <w:rPr>
          <w:rFonts w:ascii="Times New Roman" w:hAnsi="Times New Roman"/>
          <w:sz w:val="24"/>
          <w:szCs w:val="24"/>
          <w:lang w:eastAsia="en-GB"/>
        </w:rPr>
        <w:t xml:space="preserve"> p</w:t>
      </w:r>
      <w:r w:rsidR="007F77E3" w:rsidRPr="0053226E">
        <w:rPr>
          <w:rFonts w:ascii="Times New Roman" w:hAnsi="Times New Roman"/>
          <w:sz w:val="24"/>
          <w:szCs w:val="24"/>
          <w:lang w:eastAsia="en-GB"/>
        </w:rPr>
        <w:t>rekių ženklo savininkas gali teisėtai užprotestuoti tolesn</w:t>
      </w:r>
      <w:r w:rsidR="004C5ED7" w:rsidRPr="0053226E">
        <w:rPr>
          <w:rFonts w:ascii="Times New Roman" w:hAnsi="Times New Roman"/>
          <w:sz w:val="24"/>
          <w:szCs w:val="24"/>
          <w:lang w:eastAsia="en-GB"/>
        </w:rPr>
        <w:t>ę</w:t>
      </w:r>
      <w:r w:rsidR="007F77E3" w:rsidRPr="0053226E">
        <w:rPr>
          <w:rFonts w:ascii="Times New Roman" w:hAnsi="Times New Roman"/>
          <w:sz w:val="24"/>
          <w:szCs w:val="24"/>
          <w:lang w:eastAsia="en-GB"/>
        </w:rPr>
        <w:t xml:space="preserve"> prekyb</w:t>
      </w:r>
      <w:r w:rsidR="004C5ED7" w:rsidRPr="0053226E">
        <w:rPr>
          <w:rFonts w:ascii="Times New Roman" w:hAnsi="Times New Roman"/>
          <w:sz w:val="24"/>
          <w:szCs w:val="24"/>
          <w:lang w:eastAsia="en-GB"/>
        </w:rPr>
        <w:t>ą</w:t>
      </w:r>
      <w:r w:rsidR="007F77E3" w:rsidRPr="0053226E">
        <w:rPr>
          <w:rFonts w:ascii="Times New Roman" w:hAnsi="Times New Roman"/>
          <w:sz w:val="24"/>
          <w:szCs w:val="24"/>
          <w:lang w:eastAsia="en-GB"/>
        </w:rPr>
        <w:t xml:space="preserve"> perpakuotomis farmacijos prekėmis, </w:t>
      </w:r>
      <w:r w:rsidR="004C5ED7" w:rsidRPr="0053226E">
        <w:rPr>
          <w:rFonts w:ascii="Times New Roman" w:hAnsi="Times New Roman"/>
          <w:sz w:val="24"/>
          <w:szCs w:val="24"/>
          <w:lang w:eastAsia="en-GB"/>
        </w:rPr>
        <w:t>nebent nustatomos šios</w:t>
      </w:r>
      <w:r w:rsidR="008614E6" w:rsidRPr="0053226E">
        <w:rPr>
          <w:rFonts w:ascii="Times New Roman" w:hAnsi="Times New Roman"/>
          <w:sz w:val="24"/>
          <w:szCs w:val="24"/>
          <w:lang w:eastAsia="en-GB"/>
        </w:rPr>
        <w:t xml:space="preserve"> sąlyg</w:t>
      </w:r>
      <w:r w:rsidR="004C5ED7" w:rsidRPr="0053226E">
        <w:rPr>
          <w:rFonts w:ascii="Times New Roman" w:hAnsi="Times New Roman"/>
          <w:sz w:val="24"/>
          <w:szCs w:val="24"/>
          <w:lang w:eastAsia="en-GB"/>
        </w:rPr>
        <w:t>os</w:t>
      </w:r>
      <w:r w:rsidR="007F77E3" w:rsidRPr="0053226E">
        <w:rPr>
          <w:rFonts w:ascii="Times New Roman" w:hAnsi="Times New Roman"/>
          <w:sz w:val="24"/>
          <w:szCs w:val="24"/>
          <w:lang w:eastAsia="en-GB"/>
        </w:rPr>
        <w:t>:</w:t>
      </w:r>
      <w:r w:rsidR="00D4610E" w:rsidRPr="0053226E">
        <w:rPr>
          <w:rFonts w:ascii="Times New Roman" w:hAnsi="Times New Roman"/>
          <w:sz w:val="24"/>
          <w:szCs w:val="24"/>
          <w:lang w:eastAsia="en-GB"/>
        </w:rPr>
        <w:t xml:space="preserve"> 1)</w:t>
      </w:r>
      <w:r w:rsidR="008614E6" w:rsidRPr="0053226E">
        <w:rPr>
          <w:rFonts w:ascii="Times New Roman" w:hAnsi="Times New Roman"/>
          <w:sz w:val="24"/>
          <w:szCs w:val="24"/>
          <w:lang w:eastAsia="en-GB"/>
        </w:rPr>
        <w:t xml:space="preserve"> jeigu draudimas perpakuoti </w:t>
      </w:r>
      <w:r w:rsidR="007F77E3" w:rsidRPr="0053226E">
        <w:rPr>
          <w:rFonts w:ascii="Times New Roman" w:hAnsi="Times New Roman"/>
          <w:sz w:val="24"/>
          <w:szCs w:val="24"/>
          <w:lang w:eastAsia="en-GB"/>
        </w:rPr>
        <w:t>prisideda prie dirbtinio valstybių narių rinkų atskyrimo; taip yra būtent tuo atveju, kai savininkas identišką farmacijos prekę skirtingų formų pakuotėmis pateikė į kelių valstybių rinkas, o perpakuoti yra būtina norint prekiauti preke importo valstybėje narėje;</w:t>
      </w:r>
      <w:r w:rsidR="008614E6" w:rsidRPr="0053226E">
        <w:rPr>
          <w:rFonts w:ascii="Times New Roman" w:hAnsi="Times New Roman"/>
          <w:sz w:val="24"/>
          <w:szCs w:val="24"/>
          <w:lang w:eastAsia="en-GB"/>
        </w:rPr>
        <w:t xml:space="preserve"> 2) </w:t>
      </w:r>
      <w:r w:rsidR="007F77E3" w:rsidRPr="0053226E">
        <w:rPr>
          <w:rFonts w:ascii="Times New Roman" w:hAnsi="Times New Roman"/>
          <w:sz w:val="24"/>
          <w:szCs w:val="24"/>
          <w:lang w:eastAsia="en-GB"/>
        </w:rPr>
        <w:t>perpakavimas negali paveikti originalios pakuotėje esančios prekės būklės;</w:t>
      </w:r>
      <w:r w:rsidR="008614E6" w:rsidRPr="0053226E">
        <w:rPr>
          <w:rFonts w:ascii="Times New Roman" w:hAnsi="Times New Roman"/>
          <w:sz w:val="24"/>
          <w:szCs w:val="24"/>
          <w:lang w:eastAsia="en-GB"/>
        </w:rPr>
        <w:t xml:space="preserve"> 3) </w:t>
      </w:r>
      <w:r w:rsidR="007F77E3" w:rsidRPr="0053226E">
        <w:rPr>
          <w:rFonts w:ascii="Times New Roman" w:hAnsi="Times New Roman"/>
          <w:sz w:val="24"/>
          <w:szCs w:val="24"/>
          <w:lang w:eastAsia="en-GB"/>
        </w:rPr>
        <w:t>ant naujos pakuotės aiškiai nurodoma, kas prekę perpakavo ir jos gamintojas;</w:t>
      </w:r>
      <w:r w:rsidR="008614E6" w:rsidRPr="0053226E">
        <w:rPr>
          <w:rFonts w:ascii="Times New Roman" w:hAnsi="Times New Roman"/>
          <w:sz w:val="24"/>
          <w:szCs w:val="24"/>
          <w:lang w:eastAsia="en-GB"/>
        </w:rPr>
        <w:t xml:space="preserve"> 4) </w:t>
      </w:r>
      <w:r w:rsidR="007F77E3" w:rsidRPr="0053226E">
        <w:rPr>
          <w:rFonts w:ascii="Times New Roman" w:hAnsi="Times New Roman"/>
          <w:sz w:val="24"/>
          <w:szCs w:val="24"/>
          <w:lang w:eastAsia="en-GB"/>
        </w:rPr>
        <w:t>perpakuotos prekės pateikimas negali pakenkti geram prekių ženklo ir jo savininko vardui; taigi pakuotė turi būti be trūkumų, nebūti prastos kokybės arba netvarkinga;</w:t>
      </w:r>
      <w:r w:rsidR="008614E6" w:rsidRPr="0053226E">
        <w:rPr>
          <w:rFonts w:ascii="Times New Roman" w:hAnsi="Times New Roman"/>
          <w:sz w:val="24"/>
          <w:szCs w:val="24"/>
          <w:lang w:eastAsia="en-GB"/>
        </w:rPr>
        <w:t xml:space="preserve"> 5) </w:t>
      </w:r>
      <w:r w:rsidR="007F77E3" w:rsidRPr="0053226E">
        <w:rPr>
          <w:rFonts w:ascii="Times New Roman" w:hAnsi="Times New Roman"/>
          <w:sz w:val="24"/>
          <w:szCs w:val="24"/>
          <w:lang w:eastAsia="en-GB"/>
        </w:rPr>
        <w:t>prieš perpakuotos prekės patekimą parduoti importuotojas įspėja prekių ženklo savininką ir jo prašymu jam pateikia perpakuotos prekės pavyzdį.</w:t>
      </w:r>
    </w:p>
    <w:p w14:paraId="5CA457C2" w14:textId="3638978C" w:rsidR="008614E6" w:rsidRPr="0053226E" w:rsidRDefault="008614E6"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Nagrinėjamoje byloje ginčijamas tik pirmo</w:t>
      </w:r>
      <w:r w:rsidR="0090217B" w:rsidRPr="0053226E">
        <w:rPr>
          <w:rFonts w:ascii="Times New Roman" w:hAnsi="Times New Roman"/>
          <w:sz w:val="24"/>
          <w:szCs w:val="24"/>
          <w:lang w:eastAsia="en-GB"/>
        </w:rPr>
        <w:t>sios</w:t>
      </w:r>
      <w:r w:rsidRPr="0053226E">
        <w:rPr>
          <w:rFonts w:ascii="Times New Roman" w:hAnsi="Times New Roman"/>
          <w:sz w:val="24"/>
          <w:szCs w:val="24"/>
          <w:lang w:eastAsia="en-GB"/>
        </w:rPr>
        <w:t xml:space="preserve"> </w:t>
      </w:r>
      <w:r w:rsidR="0090217B" w:rsidRPr="0053226E">
        <w:rPr>
          <w:rFonts w:ascii="Times New Roman" w:hAnsi="Times New Roman"/>
          <w:sz w:val="24"/>
          <w:szCs w:val="24"/>
          <w:lang w:eastAsia="en-GB"/>
        </w:rPr>
        <w:t>sąlygos</w:t>
      </w:r>
      <w:r w:rsidRPr="0053226E">
        <w:rPr>
          <w:rFonts w:ascii="Times New Roman" w:hAnsi="Times New Roman"/>
          <w:sz w:val="24"/>
          <w:szCs w:val="24"/>
          <w:lang w:eastAsia="en-GB"/>
        </w:rPr>
        <w:t xml:space="preserve"> buvimas, todėl toliau analizuojama tik </w:t>
      </w:r>
      <w:r w:rsidR="00C402FE" w:rsidRPr="0053226E">
        <w:rPr>
          <w:rFonts w:ascii="Times New Roman" w:hAnsi="Times New Roman"/>
          <w:sz w:val="24"/>
          <w:szCs w:val="24"/>
          <w:lang w:eastAsia="en-GB"/>
        </w:rPr>
        <w:t xml:space="preserve">šios sąlygos nustatymui aktuali </w:t>
      </w:r>
      <w:r w:rsidR="00D35BE0" w:rsidRPr="0053226E">
        <w:rPr>
          <w:rFonts w:ascii="Times New Roman" w:hAnsi="Times New Roman"/>
          <w:sz w:val="24"/>
          <w:szCs w:val="24"/>
          <w:lang w:eastAsia="en-GB"/>
        </w:rPr>
        <w:t>ESTT</w:t>
      </w:r>
      <w:r w:rsidR="002252BD" w:rsidRPr="0053226E">
        <w:rPr>
          <w:rFonts w:ascii="Times New Roman" w:hAnsi="Times New Roman"/>
          <w:sz w:val="24"/>
          <w:szCs w:val="24"/>
          <w:lang w:eastAsia="en-GB"/>
        </w:rPr>
        <w:t xml:space="preserve"> praktika</w:t>
      </w:r>
      <w:r w:rsidR="00C402FE" w:rsidRPr="0053226E">
        <w:rPr>
          <w:rFonts w:ascii="Times New Roman" w:hAnsi="Times New Roman"/>
          <w:sz w:val="24"/>
          <w:szCs w:val="24"/>
          <w:lang w:eastAsia="en-GB"/>
        </w:rPr>
        <w:t>.</w:t>
      </w:r>
    </w:p>
    <w:p w14:paraId="5C1747A4" w14:textId="10D4054D" w:rsidR="0090217B" w:rsidRPr="0053226E" w:rsidRDefault="0090217B"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lastRenderedPageBreak/>
        <w:t>Nagrinėjamo ginčo kontekste pažymėtina, kad</w:t>
      </w:r>
      <w:r w:rsidR="00DE0437" w:rsidRPr="0053226E">
        <w:rPr>
          <w:rFonts w:ascii="Times New Roman" w:hAnsi="Times New Roman"/>
          <w:sz w:val="24"/>
          <w:szCs w:val="24"/>
          <w:lang w:eastAsia="en-GB"/>
        </w:rPr>
        <w:t>,</w:t>
      </w:r>
      <w:r w:rsidRPr="0053226E">
        <w:rPr>
          <w:rFonts w:ascii="Times New Roman" w:hAnsi="Times New Roman"/>
          <w:sz w:val="24"/>
          <w:szCs w:val="24"/>
          <w:lang w:eastAsia="en-GB"/>
        </w:rPr>
        <w:t xml:space="preserve"> pagal ESTT </w:t>
      </w:r>
      <w:r w:rsidR="002252BD" w:rsidRPr="0053226E">
        <w:rPr>
          <w:rFonts w:ascii="Times New Roman" w:hAnsi="Times New Roman"/>
          <w:sz w:val="24"/>
          <w:szCs w:val="24"/>
          <w:lang w:eastAsia="en-GB"/>
        </w:rPr>
        <w:t>praktiką</w:t>
      </w:r>
      <w:r w:rsidR="00DE0437" w:rsidRPr="0053226E">
        <w:rPr>
          <w:rFonts w:ascii="Times New Roman" w:hAnsi="Times New Roman"/>
          <w:sz w:val="24"/>
          <w:szCs w:val="24"/>
          <w:lang w:eastAsia="en-GB"/>
        </w:rPr>
        <w:t>,</w:t>
      </w:r>
      <w:r w:rsidRPr="0053226E">
        <w:rPr>
          <w:rFonts w:ascii="Times New Roman" w:hAnsi="Times New Roman"/>
          <w:sz w:val="24"/>
          <w:szCs w:val="24"/>
          <w:lang w:eastAsia="en-GB"/>
        </w:rPr>
        <w:t xml:space="preserve"> </w:t>
      </w:r>
      <w:r w:rsidR="00C161FE" w:rsidRPr="0053226E">
        <w:rPr>
          <w:rFonts w:ascii="Times New Roman" w:hAnsi="Times New Roman"/>
          <w:sz w:val="24"/>
          <w:szCs w:val="24"/>
          <w:lang w:eastAsia="en-GB"/>
        </w:rPr>
        <w:t xml:space="preserve">pirmoji </w:t>
      </w:r>
      <w:r w:rsidR="00C24EC0" w:rsidRPr="0053226E">
        <w:rPr>
          <w:rFonts w:ascii="Times New Roman" w:hAnsi="Times New Roman"/>
          <w:sz w:val="24"/>
          <w:szCs w:val="24"/>
          <w:lang w:eastAsia="en-GB"/>
        </w:rPr>
        <w:t xml:space="preserve">farmacijos prekės </w:t>
      </w:r>
      <w:r w:rsidR="00AF35C6" w:rsidRPr="0053226E">
        <w:rPr>
          <w:rFonts w:ascii="Times New Roman" w:hAnsi="Times New Roman"/>
          <w:sz w:val="24"/>
          <w:szCs w:val="24"/>
          <w:lang w:eastAsia="en-GB"/>
        </w:rPr>
        <w:t xml:space="preserve">perpakavimo būtinumo </w:t>
      </w:r>
      <w:r w:rsidR="00C161FE" w:rsidRPr="0053226E">
        <w:rPr>
          <w:rFonts w:ascii="Times New Roman" w:hAnsi="Times New Roman"/>
          <w:sz w:val="24"/>
          <w:szCs w:val="24"/>
          <w:lang w:eastAsia="en-GB"/>
        </w:rPr>
        <w:t xml:space="preserve">sąlyga – jeigu draudimas prisideda prie dirbtinio valstybių narių rinkų atskyrimo – </w:t>
      </w:r>
      <w:r w:rsidRPr="0053226E">
        <w:rPr>
          <w:rFonts w:ascii="Times New Roman" w:hAnsi="Times New Roman"/>
          <w:sz w:val="24"/>
          <w:szCs w:val="24"/>
          <w:lang w:eastAsia="en-GB"/>
        </w:rPr>
        <w:t>nereiškia, kad turi būti nustatyta, jog</w:t>
      </w:r>
      <w:r w:rsidR="00C161FE" w:rsidRPr="0053226E">
        <w:rPr>
          <w:rFonts w:ascii="Times New Roman" w:hAnsi="Times New Roman"/>
          <w:sz w:val="24"/>
          <w:szCs w:val="24"/>
          <w:lang w:eastAsia="en-GB"/>
        </w:rPr>
        <w:t xml:space="preserve"> </w:t>
      </w:r>
      <w:r w:rsidRPr="0053226E">
        <w:rPr>
          <w:rFonts w:ascii="Times New Roman" w:hAnsi="Times New Roman"/>
          <w:sz w:val="24"/>
          <w:szCs w:val="24"/>
          <w:lang w:eastAsia="en-GB"/>
        </w:rPr>
        <w:t>prekių ženklo savininkas sąmoningai siekė padalyti rinkas tarp</w:t>
      </w:r>
      <w:r w:rsidR="00C161FE" w:rsidRPr="0053226E">
        <w:rPr>
          <w:rFonts w:ascii="Times New Roman" w:hAnsi="Times New Roman"/>
          <w:sz w:val="24"/>
          <w:szCs w:val="24"/>
          <w:lang w:eastAsia="en-GB"/>
        </w:rPr>
        <w:t xml:space="preserve"> </w:t>
      </w:r>
      <w:r w:rsidRPr="0053226E">
        <w:rPr>
          <w:rFonts w:ascii="Times New Roman" w:hAnsi="Times New Roman"/>
          <w:sz w:val="24"/>
          <w:szCs w:val="24"/>
          <w:lang w:eastAsia="en-GB"/>
        </w:rPr>
        <w:t>valstybių narių</w:t>
      </w:r>
      <w:r w:rsidR="00C161FE" w:rsidRPr="0053226E">
        <w:rPr>
          <w:rFonts w:ascii="Times New Roman" w:hAnsi="Times New Roman"/>
          <w:sz w:val="24"/>
          <w:szCs w:val="24"/>
          <w:lang w:eastAsia="en-GB"/>
        </w:rPr>
        <w:t>.</w:t>
      </w:r>
      <w:r w:rsidR="007D0151" w:rsidRPr="0053226E">
        <w:rPr>
          <w:rFonts w:ascii="Times New Roman" w:hAnsi="Times New Roman"/>
          <w:sz w:val="24"/>
          <w:szCs w:val="24"/>
          <w:lang w:eastAsia="en-GB"/>
        </w:rPr>
        <w:t xml:space="preserve"> Žodžių </w:t>
      </w:r>
      <w:r w:rsidR="004144DA" w:rsidRPr="0053226E">
        <w:rPr>
          <w:rFonts w:ascii="Times New Roman" w:hAnsi="Times New Roman"/>
          <w:sz w:val="24"/>
          <w:szCs w:val="24"/>
          <w:lang w:eastAsia="en-GB"/>
        </w:rPr>
        <w:t xml:space="preserve">junginio </w:t>
      </w:r>
      <w:r w:rsidR="00BA56A6" w:rsidRPr="0053226E">
        <w:rPr>
          <w:rFonts w:ascii="Times New Roman" w:hAnsi="Times New Roman"/>
          <w:sz w:val="24"/>
          <w:szCs w:val="24"/>
          <w:lang w:eastAsia="en-GB"/>
        </w:rPr>
        <w:t>„</w:t>
      </w:r>
      <w:r w:rsidR="007D0151" w:rsidRPr="0053226E">
        <w:rPr>
          <w:rFonts w:ascii="Times New Roman" w:hAnsi="Times New Roman"/>
          <w:sz w:val="24"/>
          <w:szCs w:val="24"/>
          <w:lang w:eastAsia="en-GB"/>
        </w:rPr>
        <w:t>dirbtinis rinkų padalijimas</w:t>
      </w:r>
      <w:r w:rsidR="00BA56A6" w:rsidRPr="0053226E">
        <w:rPr>
          <w:rFonts w:ascii="Times New Roman" w:hAnsi="Times New Roman"/>
          <w:sz w:val="24"/>
          <w:szCs w:val="24"/>
          <w:lang w:eastAsia="en-GB"/>
        </w:rPr>
        <w:t>“</w:t>
      </w:r>
      <w:r w:rsidR="007D0151" w:rsidRPr="0053226E">
        <w:rPr>
          <w:rFonts w:ascii="Times New Roman" w:hAnsi="Times New Roman"/>
          <w:sz w:val="24"/>
          <w:szCs w:val="24"/>
          <w:lang w:eastAsia="en-GB"/>
        </w:rPr>
        <w:t xml:space="preserve"> vartojimas nereiškia, kad importuotojas turi įrodyti, jog pateikdamas į rinką </w:t>
      </w:r>
      <w:r w:rsidR="00B71472" w:rsidRPr="0053226E">
        <w:rPr>
          <w:rFonts w:ascii="Times New Roman" w:hAnsi="Times New Roman"/>
          <w:sz w:val="24"/>
          <w:szCs w:val="24"/>
          <w:lang w:eastAsia="en-GB"/>
        </w:rPr>
        <w:t xml:space="preserve">identišką prekę, kuri </w:t>
      </w:r>
      <w:r w:rsidR="007D0151" w:rsidRPr="0053226E">
        <w:rPr>
          <w:rFonts w:ascii="Times New Roman" w:hAnsi="Times New Roman"/>
          <w:sz w:val="24"/>
          <w:szCs w:val="24"/>
          <w:lang w:eastAsia="en-GB"/>
        </w:rPr>
        <w:t>skirtingose valstybėse narėse skirtingai supakuota, prekių ženklo savininkas sąmoningai siekė padalyti valstybių narių rinkas. Teigdamas</w:t>
      </w:r>
      <w:r w:rsidR="00BA56A6" w:rsidRPr="0053226E">
        <w:rPr>
          <w:rFonts w:ascii="Times New Roman" w:hAnsi="Times New Roman"/>
          <w:sz w:val="24"/>
          <w:szCs w:val="24"/>
          <w:lang w:eastAsia="en-GB"/>
        </w:rPr>
        <w:t>,</w:t>
      </w:r>
      <w:r w:rsidR="007D0151" w:rsidRPr="0053226E">
        <w:rPr>
          <w:rFonts w:ascii="Times New Roman" w:hAnsi="Times New Roman"/>
          <w:sz w:val="24"/>
          <w:szCs w:val="24"/>
          <w:lang w:eastAsia="en-GB"/>
        </w:rPr>
        <w:t xml:space="preserve"> kad padalijimas turi būti dirbtinis, </w:t>
      </w:r>
      <w:r w:rsidR="004144DA" w:rsidRPr="0053226E">
        <w:rPr>
          <w:rFonts w:ascii="Times New Roman" w:hAnsi="Times New Roman"/>
          <w:sz w:val="24"/>
          <w:szCs w:val="24"/>
          <w:lang w:eastAsia="en-GB"/>
        </w:rPr>
        <w:t>ESTT</w:t>
      </w:r>
      <w:r w:rsidR="007D0151" w:rsidRPr="0053226E">
        <w:rPr>
          <w:rFonts w:ascii="Times New Roman" w:hAnsi="Times New Roman"/>
          <w:sz w:val="24"/>
          <w:szCs w:val="24"/>
          <w:lang w:eastAsia="en-GB"/>
        </w:rPr>
        <w:t xml:space="preserve"> siekė pabrėžti, kad prekių ženklo savininkas visada gali remtis savo, kaip savininko, teisėmis prieštarauti perpakuotų produktų prekybai, kai toks veiksmas yra pateisinamas poreikiu apsaugoti esminę prekių ženklo funkciją, o tokiu atveju toks padalijimas negali būti laikomas dirbtiniu</w:t>
      </w:r>
      <w:r w:rsidR="00BA56A6" w:rsidRPr="0053226E">
        <w:rPr>
          <w:rFonts w:ascii="Times New Roman" w:hAnsi="Times New Roman"/>
          <w:sz w:val="24"/>
          <w:szCs w:val="24"/>
          <w:lang w:eastAsia="en-GB"/>
        </w:rPr>
        <w:t xml:space="preserve"> </w:t>
      </w:r>
      <w:r w:rsidR="007D0151" w:rsidRPr="0053226E">
        <w:rPr>
          <w:rFonts w:ascii="Times New Roman" w:hAnsi="Times New Roman"/>
          <w:sz w:val="24"/>
          <w:szCs w:val="24"/>
          <w:lang w:eastAsia="en-GB"/>
        </w:rPr>
        <w:t>(</w:t>
      </w:r>
      <w:r w:rsidR="00BA56A6" w:rsidRPr="0053226E">
        <w:rPr>
          <w:rFonts w:ascii="Times New Roman" w:hAnsi="Times New Roman"/>
          <w:sz w:val="24"/>
          <w:szCs w:val="24"/>
          <w:lang w:eastAsia="en-GB"/>
        </w:rPr>
        <w:t>sprendim</w:t>
      </w:r>
      <w:r w:rsidR="00B71472" w:rsidRPr="0053226E">
        <w:rPr>
          <w:rFonts w:ascii="Times New Roman" w:hAnsi="Times New Roman"/>
          <w:sz w:val="24"/>
          <w:szCs w:val="24"/>
          <w:lang w:eastAsia="en-GB"/>
        </w:rPr>
        <w:t>as</w:t>
      </w:r>
      <w:r w:rsidR="00DE0437" w:rsidRPr="0053226E">
        <w:rPr>
          <w:rFonts w:ascii="Times New Roman" w:hAnsi="Times New Roman"/>
          <w:sz w:val="24"/>
          <w:szCs w:val="24"/>
          <w:lang w:eastAsia="en-GB"/>
        </w:rPr>
        <w:t xml:space="preserve"> byloje</w:t>
      </w:r>
      <w:r w:rsidR="00BA56A6" w:rsidRPr="0053226E">
        <w:rPr>
          <w:rFonts w:ascii="Times New Roman" w:hAnsi="Times New Roman"/>
          <w:sz w:val="24"/>
          <w:szCs w:val="24"/>
          <w:lang w:eastAsia="en-GB"/>
        </w:rPr>
        <w:t xml:space="preserve"> </w:t>
      </w:r>
      <w:bookmarkStart w:id="9" w:name="_Hlk201303939"/>
      <w:proofErr w:type="spellStart"/>
      <w:r w:rsidR="007D0151" w:rsidRPr="0053226E">
        <w:rPr>
          <w:rFonts w:ascii="Times New Roman" w:hAnsi="Times New Roman"/>
          <w:i/>
          <w:iCs/>
          <w:sz w:val="24"/>
          <w:szCs w:val="24"/>
          <w:lang w:eastAsia="en-GB"/>
        </w:rPr>
        <w:t>Bristol-Myers</w:t>
      </w:r>
      <w:proofErr w:type="spellEnd"/>
      <w:r w:rsidR="007D0151" w:rsidRPr="0053226E">
        <w:rPr>
          <w:rFonts w:ascii="Times New Roman" w:hAnsi="Times New Roman"/>
          <w:i/>
          <w:iCs/>
          <w:sz w:val="24"/>
          <w:szCs w:val="24"/>
          <w:lang w:eastAsia="en-GB"/>
        </w:rPr>
        <w:t xml:space="preserve"> </w:t>
      </w:r>
      <w:proofErr w:type="spellStart"/>
      <w:r w:rsidR="007D0151"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r w:rsidR="00B71472" w:rsidRPr="0053226E">
        <w:rPr>
          <w:rFonts w:ascii="Times New Roman" w:hAnsi="Times New Roman"/>
          <w:sz w:val="24"/>
          <w:szCs w:val="24"/>
          <w:lang w:eastAsia="en-GB"/>
        </w:rPr>
        <w:t xml:space="preserve">, </w:t>
      </w:r>
      <w:bookmarkEnd w:id="9"/>
      <w:r w:rsidR="007D0151" w:rsidRPr="0053226E">
        <w:rPr>
          <w:rFonts w:ascii="Times New Roman" w:hAnsi="Times New Roman"/>
          <w:sz w:val="24"/>
          <w:szCs w:val="24"/>
          <w:lang w:eastAsia="en-GB"/>
        </w:rPr>
        <w:t>57 p</w:t>
      </w:r>
      <w:r w:rsidR="00BA56A6" w:rsidRPr="0053226E">
        <w:rPr>
          <w:rFonts w:ascii="Times New Roman" w:hAnsi="Times New Roman"/>
          <w:sz w:val="24"/>
          <w:szCs w:val="24"/>
          <w:lang w:eastAsia="en-GB"/>
        </w:rPr>
        <w:t>unktas</w:t>
      </w:r>
      <w:r w:rsidR="007D0151" w:rsidRPr="0053226E">
        <w:rPr>
          <w:rFonts w:ascii="Times New Roman" w:hAnsi="Times New Roman"/>
          <w:sz w:val="24"/>
          <w:szCs w:val="24"/>
          <w:lang w:eastAsia="en-GB"/>
        </w:rPr>
        <w:t>).</w:t>
      </w:r>
    </w:p>
    <w:p w14:paraId="12A83983" w14:textId="3009235E" w:rsidR="00FA144F" w:rsidRPr="0053226E" w:rsidRDefault="0044318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P</w:t>
      </w:r>
      <w:r w:rsidR="009642FA" w:rsidRPr="0053226E">
        <w:rPr>
          <w:rFonts w:ascii="Times New Roman" w:hAnsi="Times New Roman"/>
          <w:sz w:val="24"/>
          <w:szCs w:val="24"/>
          <w:lang w:eastAsia="en-GB"/>
        </w:rPr>
        <w:t>rek</w:t>
      </w:r>
      <w:r w:rsidR="00BA56A6" w:rsidRPr="0053226E">
        <w:rPr>
          <w:rFonts w:ascii="Times New Roman" w:hAnsi="Times New Roman"/>
          <w:sz w:val="24"/>
          <w:szCs w:val="24"/>
          <w:lang w:eastAsia="en-GB"/>
        </w:rPr>
        <w:t>ių</w:t>
      </w:r>
      <w:r w:rsidR="009642FA" w:rsidRPr="0053226E">
        <w:rPr>
          <w:rFonts w:ascii="Times New Roman" w:hAnsi="Times New Roman"/>
          <w:sz w:val="24"/>
          <w:szCs w:val="24"/>
          <w:lang w:eastAsia="en-GB"/>
        </w:rPr>
        <w:t xml:space="preserve"> ženklo </w:t>
      </w:r>
      <w:r w:rsidR="004D6CB5" w:rsidRPr="0053226E">
        <w:rPr>
          <w:rFonts w:ascii="Times New Roman" w:hAnsi="Times New Roman"/>
          <w:sz w:val="24"/>
          <w:szCs w:val="24"/>
          <w:lang w:eastAsia="en-GB"/>
        </w:rPr>
        <w:t>s</w:t>
      </w:r>
      <w:r w:rsidR="00AF35C6" w:rsidRPr="0053226E">
        <w:rPr>
          <w:rFonts w:ascii="Times New Roman" w:hAnsi="Times New Roman"/>
          <w:sz w:val="24"/>
          <w:szCs w:val="24"/>
          <w:lang w:eastAsia="en-GB"/>
        </w:rPr>
        <w:t xml:space="preserve">avininko prieštaravimas, kad vaistai būtų perpakuoti, prisideda prie dirbtinio valstybių narių rinkų atskyrimo, kai šis perpakavimas yra objektyviai būtinas, kad lygiagrečiai importuota preke būtų galima prekiauti importo valstybėje narėje (žr. ESTT </w:t>
      </w:r>
      <w:r w:rsidR="00B71472" w:rsidRPr="0053226E">
        <w:rPr>
          <w:rFonts w:ascii="Times New Roman" w:hAnsi="Times New Roman"/>
          <w:sz w:val="24"/>
          <w:szCs w:val="24"/>
          <w:lang w:eastAsia="en-GB"/>
        </w:rPr>
        <w:t xml:space="preserve">2007 m. balandžio 26 d. </w:t>
      </w:r>
      <w:proofErr w:type="spellStart"/>
      <w:r w:rsidR="00B71472" w:rsidRPr="0053226E">
        <w:rPr>
          <w:rFonts w:ascii="Times New Roman" w:hAnsi="Times New Roman"/>
          <w:sz w:val="24"/>
          <w:szCs w:val="24"/>
          <w:lang w:eastAsia="en-GB"/>
        </w:rPr>
        <w:t>prejudicinio</w:t>
      </w:r>
      <w:proofErr w:type="spellEnd"/>
      <w:r w:rsidR="00B71472" w:rsidRPr="0053226E">
        <w:rPr>
          <w:rFonts w:ascii="Times New Roman" w:hAnsi="Times New Roman"/>
          <w:sz w:val="24"/>
          <w:szCs w:val="24"/>
          <w:lang w:eastAsia="en-GB"/>
        </w:rPr>
        <w:t xml:space="preserve"> sprendimo byloje </w:t>
      </w:r>
      <w:proofErr w:type="spellStart"/>
      <w:r w:rsidR="00B71472" w:rsidRPr="0053226E">
        <w:rPr>
          <w:rFonts w:ascii="Times New Roman" w:hAnsi="Times New Roman"/>
          <w:i/>
          <w:iCs/>
          <w:sz w:val="24"/>
          <w:szCs w:val="24"/>
          <w:lang w:eastAsia="en-GB"/>
        </w:rPr>
        <w:t>Boehringer</w:t>
      </w:r>
      <w:proofErr w:type="spellEnd"/>
      <w:r w:rsidR="00B71472" w:rsidRPr="0053226E">
        <w:rPr>
          <w:rFonts w:ascii="Times New Roman" w:hAnsi="Times New Roman"/>
          <w:i/>
          <w:iCs/>
          <w:sz w:val="24"/>
          <w:szCs w:val="24"/>
          <w:lang w:eastAsia="en-GB"/>
        </w:rPr>
        <w:t xml:space="preserve"> </w:t>
      </w:r>
      <w:proofErr w:type="spellStart"/>
      <w:r w:rsidR="00B71472" w:rsidRPr="0053226E">
        <w:rPr>
          <w:rFonts w:ascii="Times New Roman" w:hAnsi="Times New Roman"/>
          <w:i/>
          <w:iCs/>
          <w:sz w:val="24"/>
          <w:szCs w:val="24"/>
          <w:lang w:eastAsia="en-GB"/>
        </w:rPr>
        <w:t>Ingelheim</w:t>
      </w:r>
      <w:proofErr w:type="spellEnd"/>
      <w:r w:rsidR="00B71472" w:rsidRPr="0053226E">
        <w:rPr>
          <w:rFonts w:ascii="Times New Roman" w:hAnsi="Times New Roman"/>
          <w:i/>
          <w:iCs/>
          <w:sz w:val="24"/>
          <w:szCs w:val="24"/>
          <w:lang w:eastAsia="en-GB"/>
        </w:rPr>
        <w:t xml:space="preserve"> KG ir k</w:t>
      </w:r>
      <w:r w:rsidR="006165A0" w:rsidRPr="0053226E">
        <w:rPr>
          <w:rFonts w:ascii="Times New Roman" w:hAnsi="Times New Roman"/>
          <w:i/>
          <w:iCs/>
          <w:sz w:val="24"/>
          <w:szCs w:val="24"/>
          <w:lang w:eastAsia="en-GB"/>
        </w:rPr>
        <w:t>t.</w:t>
      </w:r>
      <w:r w:rsidR="00B71472" w:rsidRPr="0053226E">
        <w:rPr>
          <w:rFonts w:ascii="Times New Roman" w:hAnsi="Times New Roman"/>
          <w:i/>
          <w:iCs/>
          <w:sz w:val="24"/>
          <w:szCs w:val="24"/>
          <w:lang w:eastAsia="en-GB"/>
        </w:rPr>
        <w:t xml:space="preserve"> prieš </w:t>
      </w:r>
      <w:proofErr w:type="spellStart"/>
      <w:r w:rsidR="00B71472" w:rsidRPr="0053226E">
        <w:rPr>
          <w:rFonts w:ascii="Times New Roman" w:hAnsi="Times New Roman"/>
          <w:i/>
          <w:iCs/>
          <w:sz w:val="24"/>
          <w:szCs w:val="24"/>
          <w:lang w:eastAsia="en-GB"/>
        </w:rPr>
        <w:t>Swingward</w:t>
      </w:r>
      <w:proofErr w:type="spellEnd"/>
      <w:r w:rsidR="00B71472" w:rsidRPr="0053226E">
        <w:rPr>
          <w:rFonts w:ascii="Times New Roman" w:hAnsi="Times New Roman"/>
          <w:i/>
          <w:iCs/>
          <w:sz w:val="24"/>
          <w:szCs w:val="24"/>
          <w:lang w:eastAsia="en-GB"/>
        </w:rPr>
        <w:t xml:space="preserve"> </w:t>
      </w:r>
      <w:proofErr w:type="spellStart"/>
      <w:r w:rsidR="00B71472" w:rsidRPr="0053226E">
        <w:rPr>
          <w:rFonts w:ascii="Times New Roman" w:hAnsi="Times New Roman"/>
          <w:i/>
          <w:iCs/>
          <w:sz w:val="24"/>
          <w:szCs w:val="24"/>
          <w:lang w:eastAsia="en-GB"/>
        </w:rPr>
        <w:t>Ltd</w:t>
      </w:r>
      <w:proofErr w:type="spellEnd"/>
      <w:r w:rsidR="00B71472" w:rsidRPr="0053226E">
        <w:rPr>
          <w:rFonts w:ascii="Times New Roman" w:hAnsi="Times New Roman"/>
          <w:i/>
          <w:iCs/>
          <w:sz w:val="24"/>
          <w:szCs w:val="24"/>
          <w:lang w:eastAsia="en-GB"/>
        </w:rPr>
        <w:t xml:space="preserve"> ir k</w:t>
      </w:r>
      <w:r w:rsidR="006165A0" w:rsidRPr="0053226E">
        <w:rPr>
          <w:rFonts w:ascii="Times New Roman" w:hAnsi="Times New Roman"/>
          <w:i/>
          <w:iCs/>
          <w:sz w:val="24"/>
          <w:szCs w:val="24"/>
          <w:lang w:eastAsia="en-GB"/>
        </w:rPr>
        <w:t>t.</w:t>
      </w:r>
      <w:r w:rsidR="00B71472" w:rsidRPr="0053226E">
        <w:rPr>
          <w:rFonts w:ascii="Times New Roman" w:hAnsi="Times New Roman"/>
          <w:sz w:val="24"/>
          <w:szCs w:val="24"/>
          <w:lang w:eastAsia="en-GB"/>
        </w:rPr>
        <w:t xml:space="preserve">, C-348/04, 18 punktą; </w:t>
      </w:r>
      <w:r w:rsidR="00AF35C6" w:rsidRPr="0053226E">
        <w:rPr>
          <w:rFonts w:ascii="Times New Roman" w:hAnsi="Times New Roman"/>
          <w:sz w:val="24"/>
          <w:szCs w:val="24"/>
          <w:lang w:eastAsia="en-GB"/>
        </w:rPr>
        <w:t>2022</w:t>
      </w:r>
      <w:r w:rsidR="00BA56A6" w:rsidRPr="0053226E">
        <w:rPr>
          <w:rFonts w:ascii="Times New Roman" w:hAnsi="Times New Roman"/>
          <w:sz w:val="24"/>
          <w:szCs w:val="24"/>
          <w:lang w:eastAsia="en-GB"/>
        </w:rPr>
        <w:t> </w:t>
      </w:r>
      <w:r w:rsidR="00AF35C6" w:rsidRPr="0053226E">
        <w:rPr>
          <w:rFonts w:ascii="Times New Roman" w:hAnsi="Times New Roman"/>
          <w:sz w:val="24"/>
          <w:szCs w:val="24"/>
          <w:lang w:eastAsia="en-GB"/>
        </w:rPr>
        <w:t>m. lapkričio 17</w:t>
      </w:r>
      <w:r w:rsidR="00BA56A6" w:rsidRPr="0053226E">
        <w:rPr>
          <w:rFonts w:ascii="Times New Roman" w:hAnsi="Times New Roman"/>
          <w:sz w:val="24"/>
          <w:szCs w:val="24"/>
          <w:lang w:eastAsia="en-GB"/>
        </w:rPr>
        <w:t> </w:t>
      </w:r>
      <w:r w:rsidR="00AF35C6" w:rsidRPr="0053226E">
        <w:rPr>
          <w:rFonts w:ascii="Times New Roman" w:hAnsi="Times New Roman"/>
          <w:sz w:val="24"/>
          <w:szCs w:val="24"/>
          <w:lang w:eastAsia="en-GB"/>
        </w:rPr>
        <w:t xml:space="preserve">d. </w:t>
      </w:r>
      <w:proofErr w:type="spellStart"/>
      <w:r w:rsidR="00AF35C6" w:rsidRPr="0053226E">
        <w:rPr>
          <w:rFonts w:ascii="Times New Roman" w:hAnsi="Times New Roman"/>
          <w:sz w:val="24"/>
          <w:szCs w:val="24"/>
          <w:lang w:eastAsia="en-GB"/>
        </w:rPr>
        <w:t>prejudicinio</w:t>
      </w:r>
      <w:proofErr w:type="spellEnd"/>
      <w:r w:rsidR="00AF35C6" w:rsidRPr="0053226E">
        <w:rPr>
          <w:rFonts w:ascii="Times New Roman" w:hAnsi="Times New Roman"/>
          <w:sz w:val="24"/>
          <w:szCs w:val="24"/>
          <w:lang w:eastAsia="en-GB"/>
        </w:rPr>
        <w:t xml:space="preserve"> sprendimo</w:t>
      </w:r>
      <w:r w:rsidR="00B71472" w:rsidRPr="0053226E">
        <w:rPr>
          <w:rFonts w:ascii="Times New Roman" w:hAnsi="Times New Roman"/>
          <w:sz w:val="24"/>
          <w:szCs w:val="24"/>
          <w:lang w:eastAsia="en-GB"/>
        </w:rPr>
        <w:t xml:space="preserve"> byloje</w:t>
      </w:r>
      <w:r w:rsidR="00AF35C6" w:rsidRPr="0053226E">
        <w:rPr>
          <w:rFonts w:ascii="Times New Roman" w:hAnsi="Times New Roman"/>
          <w:sz w:val="24"/>
          <w:szCs w:val="24"/>
          <w:lang w:eastAsia="en-GB"/>
        </w:rPr>
        <w:t xml:space="preserve"> </w:t>
      </w:r>
      <w:proofErr w:type="spellStart"/>
      <w:r w:rsidR="00BA56A6" w:rsidRPr="0053226E">
        <w:rPr>
          <w:rFonts w:ascii="Times New Roman" w:hAnsi="Times New Roman"/>
          <w:i/>
          <w:iCs/>
          <w:sz w:val="24"/>
          <w:szCs w:val="24"/>
          <w:lang w:eastAsia="en-GB"/>
        </w:rPr>
        <w:t>Impexeco</w:t>
      </w:r>
      <w:proofErr w:type="spellEnd"/>
      <w:r w:rsidR="00BA56A6" w:rsidRPr="0053226E">
        <w:rPr>
          <w:rFonts w:ascii="Times New Roman" w:hAnsi="Times New Roman"/>
          <w:i/>
          <w:iCs/>
          <w:sz w:val="24"/>
          <w:szCs w:val="24"/>
          <w:lang w:eastAsia="en-GB"/>
        </w:rPr>
        <w:t xml:space="preserve"> NV </w:t>
      </w:r>
      <w:r w:rsidR="00B71472" w:rsidRPr="0053226E">
        <w:rPr>
          <w:rFonts w:ascii="Times New Roman" w:hAnsi="Times New Roman"/>
          <w:i/>
          <w:iCs/>
          <w:sz w:val="24"/>
          <w:szCs w:val="24"/>
          <w:lang w:eastAsia="en-GB"/>
        </w:rPr>
        <w:t>prieš</w:t>
      </w:r>
      <w:r w:rsidR="00BA56A6" w:rsidRPr="0053226E">
        <w:rPr>
          <w:rFonts w:ascii="Times New Roman" w:hAnsi="Times New Roman"/>
          <w:i/>
          <w:iCs/>
          <w:sz w:val="24"/>
          <w:szCs w:val="24"/>
          <w:lang w:eastAsia="en-GB"/>
        </w:rPr>
        <w:t xml:space="preserve"> </w:t>
      </w:r>
      <w:proofErr w:type="spellStart"/>
      <w:r w:rsidR="00BA56A6" w:rsidRPr="0053226E">
        <w:rPr>
          <w:rFonts w:ascii="Times New Roman" w:hAnsi="Times New Roman"/>
          <w:i/>
          <w:iCs/>
          <w:sz w:val="24"/>
          <w:szCs w:val="24"/>
          <w:lang w:eastAsia="en-GB"/>
        </w:rPr>
        <w:t>Novartis</w:t>
      </w:r>
      <w:proofErr w:type="spellEnd"/>
      <w:r w:rsidR="00BA56A6" w:rsidRPr="0053226E">
        <w:rPr>
          <w:rFonts w:ascii="Times New Roman" w:hAnsi="Times New Roman"/>
          <w:i/>
          <w:iCs/>
          <w:sz w:val="24"/>
          <w:szCs w:val="24"/>
          <w:lang w:eastAsia="en-GB"/>
        </w:rPr>
        <w:t xml:space="preserve"> AG ir k</w:t>
      </w:r>
      <w:r w:rsidR="006165A0" w:rsidRPr="0053226E">
        <w:rPr>
          <w:rFonts w:ascii="Times New Roman" w:hAnsi="Times New Roman"/>
          <w:i/>
          <w:iCs/>
          <w:sz w:val="24"/>
          <w:szCs w:val="24"/>
          <w:lang w:eastAsia="en-GB"/>
        </w:rPr>
        <w:t>t.</w:t>
      </w:r>
      <w:r w:rsidR="00B71472" w:rsidRPr="0053226E">
        <w:rPr>
          <w:rFonts w:ascii="Times New Roman" w:hAnsi="Times New Roman"/>
          <w:sz w:val="24"/>
          <w:szCs w:val="24"/>
          <w:lang w:eastAsia="en-GB"/>
        </w:rPr>
        <w:t xml:space="preserve">, </w:t>
      </w:r>
      <w:r w:rsidR="00AF35C6" w:rsidRPr="0053226E">
        <w:rPr>
          <w:rFonts w:ascii="Times New Roman" w:hAnsi="Times New Roman"/>
          <w:sz w:val="24"/>
          <w:szCs w:val="24"/>
          <w:lang w:eastAsia="en-GB"/>
        </w:rPr>
        <w:t>sujungt</w:t>
      </w:r>
      <w:r w:rsidR="00B71472" w:rsidRPr="0053226E">
        <w:rPr>
          <w:rFonts w:ascii="Times New Roman" w:hAnsi="Times New Roman"/>
          <w:sz w:val="24"/>
          <w:szCs w:val="24"/>
          <w:lang w:eastAsia="en-GB"/>
        </w:rPr>
        <w:t>ų</w:t>
      </w:r>
      <w:r w:rsidR="00AF35C6" w:rsidRPr="0053226E">
        <w:rPr>
          <w:rFonts w:ascii="Times New Roman" w:hAnsi="Times New Roman"/>
          <w:sz w:val="24"/>
          <w:szCs w:val="24"/>
          <w:lang w:eastAsia="en-GB"/>
        </w:rPr>
        <w:t xml:space="preserve"> byl</w:t>
      </w:r>
      <w:r w:rsidR="00B71472" w:rsidRPr="0053226E">
        <w:rPr>
          <w:rFonts w:ascii="Times New Roman" w:hAnsi="Times New Roman"/>
          <w:sz w:val="24"/>
          <w:szCs w:val="24"/>
          <w:lang w:eastAsia="en-GB"/>
        </w:rPr>
        <w:t>ų Nr.</w:t>
      </w:r>
      <w:r w:rsidR="00AF35C6" w:rsidRPr="0053226E">
        <w:rPr>
          <w:rFonts w:ascii="Times New Roman" w:hAnsi="Times New Roman"/>
          <w:sz w:val="24"/>
          <w:szCs w:val="24"/>
          <w:lang w:eastAsia="en-GB"/>
        </w:rPr>
        <w:t xml:space="preserve"> C-253/20 ir C-254/20</w:t>
      </w:r>
      <w:r w:rsidR="00B71472" w:rsidRPr="0053226E">
        <w:rPr>
          <w:rFonts w:ascii="Times New Roman" w:hAnsi="Times New Roman"/>
          <w:sz w:val="24"/>
          <w:szCs w:val="24"/>
          <w:lang w:eastAsia="en-GB"/>
        </w:rPr>
        <w:t>,</w:t>
      </w:r>
      <w:r w:rsidR="00AF35C6" w:rsidRPr="0053226E">
        <w:rPr>
          <w:rFonts w:ascii="Times New Roman" w:hAnsi="Times New Roman"/>
          <w:sz w:val="24"/>
          <w:szCs w:val="24"/>
          <w:lang w:eastAsia="en-GB"/>
        </w:rPr>
        <w:t xml:space="preserve"> 54 punktą</w:t>
      </w:r>
      <w:r w:rsidR="00AC7D3C" w:rsidRPr="0053226E">
        <w:rPr>
          <w:rFonts w:ascii="Times New Roman" w:hAnsi="Times New Roman"/>
          <w:sz w:val="24"/>
          <w:szCs w:val="24"/>
          <w:lang w:eastAsia="en-GB"/>
        </w:rPr>
        <w:t>, kt.</w:t>
      </w:r>
      <w:r w:rsidR="00AF35C6" w:rsidRPr="0053226E">
        <w:rPr>
          <w:rFonts w:ascii="Times New Roman" w:hAnsi="Times New Roman"/>
          <w:sz w:val="24"/>
          <w:szCs w:val="24"/>
          <w:lang w:eastAsia="en-GB"/>
        </w:rPr>
        <w:t xml:space="preserve">). </w:t>
      </w:r>
      <w:r w:rsidR="00AC7D3C" w:rsidRPr="0053226E">
        <w:rPr>
          <w:rFonts w:ascii="Times New Roman" w:hAnsi="Times New Roman"/>
          <w:sz w:val="24"/>
          <w:szCs w:val="24"/>
          <w:lang w:eastAsia="en-GB"/>
        </w:rPr>
        <w:t xml:space="preserve">Pirmąją </w:t>
      </w:r>
      <w:r w:rsidR="00F31B77" w:rsidRPr="0053226E">
        <w:rPr>
          <w:rFonts w:ascii="Times New Roman" w:hAnsi="Times New Roman"/>
          <w:sz w:val="24"/>
          <w:szCs w:val="24"/>
          <w:lang w:eastAsia="en-GB"/>
        </w:rPr>
        <w:t xml:space="preserve">perpakavimo būtinumo sąlygą reikia nagrinėti atsižvelgiant į prekybos importo valstybėje metu buvusias aplinkybes, objektyviai nulėmusias perpakavimo būtinumą, kad </w:t>
      </w:r>
      <w:r w:rsidR="00421A5C" w:rsidRPr="0053226E">
        <w:rPr>
          <w:rFonts w:ascii="Times New Roman" w:hAnsi="Times New Roman"/>
          <w:sz w:val="24"/>
          <w:szCs w:val="24"/>
          <w:lang w:eastAsia="en-GB"/>
        </w:rPr>
        <w:t>lygiagretus</w:t>
      </w:r>
      <w:r w:rsidR="00F31B77" w:rsidRPr="0053226E">
        <w:rPr>
          <w:rFonts w:ascii="Times New Roman" w:hAnsi="Times New Roman"/>
          <w:sz w:val="24"/>
          <w:szCs w:val="24"/>
          <w:lang w:eastAsia="en-GB"/>
        </w:rPr>
        <w:t xml:space="preserve"> importuotojas galėtų prekiauti šiuo vaistu šioje valstybėje. Prekių ženklo savininko protestas dėl perpakavimo nėra pagrįstas, jei juo importuotai prekei kliudoma faktiškai patekti į importo rinką (žr. ESTT 2016</w:t>
      </w:r>
      <w:r w:rsidR="00421A5C" w:rsidRPr="0053226E">
        <w:rPr>
          <w:rFonts w:ascii="Times New Roman" w:hAnsi="Times New Roman"/>
          <w:sz w:val="24"/>
          <w:szCs w:val="24"/>
          <w:lang w:eastAsia="en-GB"/>
        </w:rPr>
        <w:t> </w:t>
      </w:r>
      <w:r w:rsidR="00F31B77" w:rsidRPr="0053226E">
        <w:rPr>
          <w:rFonts w:ascii="Times New Roman" w:hAnsi="Times New Roman"/>
          <w:sz w:val="24"/>
          <w:szCs w:val="24"/>
          <w:lang w:eastAsia="en-GB"/>
        </w:rPr>
        <w:t>m. lapkričio 10</w:t>
      </w:r>
      <w:r w:rsidR="00421A5C" w:rsidRPr="0053226E">
        <w:rPr>
          <w:rFonts w:ascii="Times New Roman" w:hAnsi="Times New Roman"/>
          <w:sz w:val="24"/>
          <w:szCs w:val="24"/>
          <w:lang w:eastAsia="en-GB"/>
        </w:rPr>
        <w:t> </w:t>
      </w:r>
      <w:r w:rsidR="00F31B77" w:rsidRPr="0053226E">
        <w:rPr>
          <w:rFonts w:ascii="Times New Roman" w:hAnsi="Times New Roman"/>
          <w:sz w:val="24"/>
          <w:szCs w:val="24"/>
          <w:lang w:eastAsia="en-GB"/>
        </w:rPr>
        <w:t xml:space="preserve">d. </w:t>
      </w:r>
      <w:proofErr w:type="spellStart"/>
      <w:r w:rsidR="00F31B77" w:rsidRPr="0053226E">
        <w:rPr>
          <w:rFonts w:ascii="Times New Roman" w:hAnsi="Times New Roman"/>
          <w:sz w:val="24"/>
          <w:szCs w:val="24"/>
          <w:lang w:eastAsia="en-GB"/>
        </w:rPr>
        <w:t>prejudicinio</w:t>
      </w:r>
      <w:proofErr w:type="spellEnd"/>
      <w:r w:rsidR="00F31B77" w:rsidRPr="0053226E">
        <w:rPr>
          <w:rFonts w:ascii="Times New Roman" w:hAnsi="Times New Roman"/>
          <w:sz w:val="24"/>
          <w:szCs w:val="24"/>
          <w:lang w:eastAsia="en-GB"/>
        </w:rPr>
        <w:t xml:space="preserve"> sprendimo</w:t>
      </w:r>
      <w:r w:rsidR="00B71472" w:rsidRPr="0053226E">
        <w:rPr>
          <w:rFonts w:ascii="Times New Roman" w:hAnsi="Times New Roman"/>
          <w:sz w:val="24"/>
          <w:szCs w:val="24"/>
          <w:lang w:eastAsia="en-GB"/>
        </w:rPr>
        <w:t xml:space="preserve"> byloje</w:t>
      </w:r>
      <w:r w:rsidR="00F31B77" w:rsidRPr="0053226E">
        <w:rPr>
          <w:rFonts w:ascii="Times New Roman" w:hAnsi="Times New Roman"/>
          <w:sz w:val="24"/>
          <w:szCs w:val="24"/>
          <w:lang w:eastAsia="en-GB"/>
        </w:rPr>
        <w:t xml:space="preserve"> </w:t>
      </w:r>
      <w:proofErr w:type="spellStart"/>
      <w:r w:rsidR="00421A5C" w:rsidRPr="0053226E">
        <w:rPr>
          <w:rFonts w:ascii="Times New Roman" w:hAnsi="Times New Roman"/>
          <w:i/>
          <w:iCs/>
          <w:sz w:val="24"/>
          <w:szCs w:val="24"/>
          <w:lang w:eastAsia="en-GB"/>
        </w:rPr>
        <w:t>Ferring</w:t>
      </w:r>
      <w:proofErr w:type="spellEnd"/>
      <w:r w:rsidR="00421A5C" w:rsidRPr="0053226E">
        <w:rPr>
          <w:rFonts w:ascii="Times New Roman" w:hAnsi="Times New Roman"/>
          <w:i/>
          <w:iCs/>
          <w:sz w:val="24"/>
          <w:szCs w:val="24"/>
          <w:lang w:eastAsia="en-GB"/>
        </w:rPr>
        <w:t xml:space="preserve"> </w:t>
      </w:r>
      <w:proofErr w:type="spellStart"/>
      <w:r w:rsidR="00421A5C" w:rsidRPr="0053226E">
        <w:rPr>
          <w:rFonts w:ascii="Times New Roman" w:hAnsi="Times New Roman"/>
          <w:i/>
          <w:iCs/>
          <w:sz w:val="24"/>
          <w:szCs w:val="24"/>
          <w:lang w:eastAsia="en-GB"/>
        </w:rPr>
        <w:t>Laegemidler</w:t>
      </w:r>
      <w:proofErr w:type="spellEnd"/>
      <w:r w:rsidR="00421A5C" w:rsidRPr="0053226E">
        <w:rPr>
          <w:rFonts w:ascii="Times New Roman" w:hAnsi="Times New Roman"/>
          <w:i/>
          <w:iCs/>
          <w:sz w:val="24"/>
          <w:szCs w:val="24"/>
          <w:lang w:eastAsia="en-GB"/>
        </w:rPr>
        <w:t xml:space="preserve"> A/S </w:t>
      </w:r>
      <w:r w:rsidR="00B71472" w:rsidRPr="0053226E">
        <w:rPr>
          <w:rFonts w:ascii="Times New Roman" w:hAnsi="Times New Roman"/>
          <w:i/>
          <w:iCs/>
          <w:sz w:val="24"/>
          <w:szCs w:val="24"/>
          <w:lang w:eastAsia="en-GB"/>
        </w:rPr>
        <w:t>prieš</w:t>
      </w:r>
      <w:r w:rsidR="00421A5C" w:rsidRPr="0053226E">
        <w:rPr>
          <w:rFonts w:ascii="Times New Roman" w:hAnsi="Times New Roman"/>
          <w:i/>
          <w:iCs/>
          <w:sz w:val="24"/>
          <w:szCs w:val="24"/>
          <w:lang w:eastAsia="en-GB"/>
        </w:rPr>
        <w:t xml:space="preserve"> </w:t>
      </w:r>
      <w:proofErr w:type="spellStart"/>
      <w:r w:rsidR="00421A5C" w:rsidRPr="0053226E">
        <w:rPr>
          <w:rFonts w:ascii="Times New Roman" w:hAnsi="Times New Roman"/>
          <w:i/>
          <w:iCs/>
          <w:sz w:val="24"/>
          <w:szCs w:val="24"/>
          <w:lang w:eastAsia="en-GB"/>
        </w:rPr>
        <w:t>Orifarm</w:t>
      </w:r>
      <w:proofErr w:type="spellEnd"/>
      <w:r w:rsidR="00B71472" w:rsidRPr="0053226E">
        <w:rPr>
          <w:rFonts w:ascii="Times New Roman" w:hAnsi="Times New Roman"/>
          <w:sz w:val="24"/>
          <w:szCs w:val="24"/>
          <w:lang w:eastAsia="en-GB"/>
        </w:rPr>
        <w:t xml:space="preserve">, </w:t>
      </w:r>
      <w:r w:rsidR="00F31B77" w:rsidRPr="0053226E">
        <w:rPr>
          <w:rFonts w:ascii="Times New Roman" w:hAnsi="Times New Roman"/>
          <w:sz w:val="24"/>
          <w:szCs w:val="24"/>
          <w:lang w:eastAsia="en-GB"/>
        </w:rPr>
        <w:t>C-297/15</w:t>
      </w:r>
      <w:r w:rsidR="00B71472" w:rsidRPr="0053226E">
        <w:rPr>
          <w:rFonts w:ascii="Times New Roman" w:hAnsi="Times New Roman"/>
          <w:sz w:val="24"/>
          <w:szCs w:val="24"/>
          <w:lang w:eastAsia="en-GB"/>
        </w:rPr>
        <w:t>,</w:t>
      </w:r>
      <w:r w:rsidR="00F31B77" w:rsidRPr="0053226E">
        <w:rPr>
          <w:rFonts w:ascii="Times New Roman" w:hAnsi="Times New Roman"/>
          <w:sz w:val="24"/>
          <w:szCs w:val="24"/>
          <w:lang w:eastAsia="en-GB"/>
        </w:rPr>
        <w:t xml:space="preserve"> 20 punktą ir jame nurodytą </w:t>
      </w:r>
      <w:r w:rsidR="004144DA" w:rsidRPr="0053226E">
        <w:rPr>
          <w:rFonts w:ascii="Times New Roman" w:hAnsi="Times New Roman"/>
          <w:sz w:val="24"/>
          <w:szCs w:val="24"/>
          <w:lang w:eastAsia="en-GB"/>
        </w:rPr>
        <w:t xml:space="preserve">šio teismo </w:t>
      </w:r>
      <w:r w:rsidR="00F31B77" w:rsidRPr="0053226E">
        <w:rPr>
          <w:rFonts w:ascii="Times New Roman" w:hAnsi="Times New Roman"/>
          <w:sz w:val="24"/>
          <w:szCs w:val="24"/>
          <w:lang w:eastAsia="en-GB"/>
        </w:rPr>
        <w:t>praktiką).</w:t>
      </w:r>
    </w:p>
    <w:p w14:paraId="0AB30F71" w14:textId="564E0F72" w:rsidR="00FE3BDE" w:rsidRPr="0053226E" w:rsidRDefault="00AC7D3C"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Priešingai, p</w:t>
      </w:r>
      <w:r w:rsidR="00CB5F35" w:rsidRPr="0053226E">
        <w:rPr>
          <w:rFonts w:ascii="Times New Roman" w:hAnsi="Times New Roman"/>
          <w:sz w:val="24"/>
          <w:szCs w:val="24"/>
          <w:lang w:eastAsia="en-GB"/>
        </w:rPr>
        <w:t xml:space="preserve">rekių ženklo savininkas gali prieštarauti tam, kad </w:t>
      </w:r>
      <w:r w:rsidR="00421A5C" w:rsidRPr="0053226E">
        <w:rPr>
          <w:rFonts w:ascii="Times New Roman" w:hAnsi="Times New Roman"/>
          <w:sz w:val="24"/>
          <w:szCs w:val="24"/>
          <w:lang w:eastAsia="en-GB"/>
        </w:rPr>
        <w:t>lygiagretus</w:t>
      </w:r>
      <w:r w:rsidR="00CB5F35" w:rsidRPr="0053226E">
        <w:rPr>
          <w:rFonts w:ascii="Times New Roman" w:hAnsi="Times New Roman"/>
          <w:sz w:val="24"/>
          <w:szCs w:val="24"/>
          <w:lang w:eastAsia="en-GB"/>
        </w:rPr>
        <w:t xml:space="preserve"> importuotojas toliau prekiautų vaistu, to importuotojo perpakuotu į naują pakuotę ir pakartotinai pažymėtu prekių ženklu, jeigu, pirma, importo valstybėje 1992</w:t>
      </w:r>
      <w:r w:rsidR="00421A5C" w:rsidRPr="0053226E">
        <w:rPr>
          <w:rFonts w:ascii="Times New Roman" w:hAnsi="Times New Roman"/>
          <w:sz w:val="24"/>
          <w:szCs w:val="24"/>
          <w:lang w:eastAsia="en-GB"/>
        </w:rPr>
        <w:t> </w:t>
      </w:r>
      <w:r w:rsidR="00CB5F35" w:rsidRPr="0053226E">
        <w:rPr>
          <w:rFonts w:ascii="Times New Roman" w:hAnsi="Times New Roman"/>
          <w:sz w:val="24"/>
          <w:szCs w:val="24"/>
          <w:lang w:eastAsia="en-GB"/>
        </w:rPr>
        <w:t>m. gegužės 2</w:t>
      </w:r>
      <w:r w:rsidR="00421A5C" w:rsidRPr="0053226E">
        <w:rPr>
          <w:rFonts w:ascii="Times New Roman" w:hAnsi="Times New Roman"/>
          <w:sz w:val="24"/>
          <w:szCs w:val="24"/>
          <w:lang w:eastAsia="en-GB"/>
        </w:rPr>
        <w:t> </w:t>
      </w:r>
      <w:r w:rsidR="00CB5F35" w:rsidRPr="0053226E">
        <w:rPr>
          <w:rFonts w:ascii="Times New Roman" w:hAnsi="Times New Roman"/>
          <w:sz w:val="24"/>
          <w:szCs w:val="24"/>
          <w:lang w:eastAsia="en-GB"/>
        </w:rPr>
        <w:t>d. Europos ekonominės erdvės susitarimo šalyje šiuo vaistu galima prekiauti supakuotu į tokią pačią pakuotę, kuria juo prekiaujama eksporto valstybėje Europos ekonominės erdvės susitarimo šalyje, ir, antra, importuotojas neįrodė, kad importuota preke galima prekiauti tik ribotoje importo valstybės rinkos dalyje (ESTT 2016 m. lapkričio 10 d. sprendim</w:t>
      </w:r>
      <w:r w:rsidR="004144DA" w:rsidRPr="0053226E">
        <w:rPr>
          <w:rFonts w:ascii="Times New Roman" w:hAnsi="Times New Roman"/>
          <w:sz w:val="24"/>
          <w:szCs w:val="24"/>
          <w:lang w:eastAsia="en-GB"/>
        </w:rPr>
        <w:t>as byloje</w:t>
      </w:r>
      <w:r w:rsidR="00CB5F35" w:rsidRPr="0053226E">
        <w:rPr>
          <w:rFonts w:ascii="Times New Roman" w:hAnsi="Times New Roman"/>
          <w:sz w:val="24"/>
          <w:szCs w:val="24"/>
          <w:lang w:eastAsia="en-GB"/>
        </w:rPr>
        <w:t xml:space="preserve"> </w:t>
      </w:r>
      <w:proofErr w:type="spellStart"/>
      <w:r w:rsidR="00421A5C" w:rsidRPr="0053226E">
        <w:rPr>
          <w:rFonts w:ascii="Times New Roman" w:hAnsi="Times New Roman"/>
          <w:i/>
          <w:iCs/>
          <w:sz w:val="24"/>
          <w:szCs w:val="24"/>
          <w:lang w:eastAsia="en-GB"/>
        </w:rPr>
        <w:t>Ferring</w:t>
      </w:r>
      <w:proofErr w:type="spellEnd"/>
      <w:r w:rsidR="00421A5C" w:rsidRPr="0053226E">
        <w:rPr>
          <w:rFonts w:ascii="Times New Roman" w:hAnsi="Times New Roman"/>
          <w:i/>
          <w:iCs/>
          <w:sz w:val="24"/>
          <w:szCs w:val="24"/>
          <w:lang w:eastAsia="en-GB"/>
        </w:rPr>
        <w:t xml:space="preserve"> </w:t>
      </w:r>
      <w:proofErr w:type="spellStart"/>
      <w:r w:rsidR="00421A5C" w:rsidRPr="0053226E">
        <w:rPr>
          <w:rFonts w:ascii="Times New Roman" w:hAnsi="Times New Roman"/>
          <w:i/>
          <w:iCs/>
          <w:sz w:val="24"/>
          <w:szCs w:val="24"/>
          <w:lang w:eastAsia="en-GB"/>
        </w:rPr>
        <w:t>Laegemidler</w:t>
      </w:r>
      <w:proofErr w:type="spellEnd"/>
      <w:r w:rsidR="00421A5C" w:rsidRPr="0053226E">
        <w:rPr>
          <w:rFonts w:ascii="Times New Roman" w:hAnsi="Times New Roman"/>
          <w:i/>
          <w:iCs/>
          <w:sz w:val="24"/>
          <w:szCs w:val="24"/>
          <w:lang w:eastAsia="en-GB"/>
        </w:rPr>
        <w:t xml:space="preserve"> A/S </w:t>
      </w:r>
      <w:r w:rsidR="00B71472" w:rsidRPr="0053226E">
        <w:rPr>
          <w:rFonts w:ascii="Times New Roman" w:hAnsi="Times New Roman"/>
          <w:i/>
          <w:iCs/>
          <w:sz w:val="24"/>
          <w:szCs w:val="24"/>
          <w:lang w:eastAsia="en-GB"/>
        </w:rPr>
        <w:t>prieš</w:t>
      </w:r>
      <w:r w:rsidR="00421A5C" w:rsidRPr="0053226E">
        <w:rPr>
          <w:rFonts w:ascii="Times New Roman" w:hAnsi="Times New Roman"/>
          <w:i/>
          <w:iCs/>
          <w:sz w:val="24"/>
          <w:szCs w:val="24"/>
          <w:lang w:eastAsia="en-GB"/>
        </w:rPr>
        <w:t xml:space="preserve"> </w:t>
      </w:r>
      <w:proofErr w:type="spellStart"/>
      <w:r w:rsidR="00421A5C" w:rsidRPr="0053226E">
        <w:rPr>
          <w:rFonts w:ascii="Times New Roman" w:hAnsi="Times New Roman"/>
          <w:i/>
          <w:iCs/>
          <w:sz w:val="24"/>
          <w:szCs w:val="24"/>
          <w:lang w:eastAsia="en-GB"/>
        </w:rPr>
        <w:t>Orifarm</w:t>
      </w:r>
      <w:proofErr w:type="spellEnd"/>
      <w:r w:rsidR="00421A5C" w:rsidRPr="0053226E">
        <w:rPr>
          <w:rFonts w:ascii="Times New Roman" w:hAnsi="Times New Roman"/>
          <w:i/>
          <w:iCs/>
          <w:sz w:val="24"/>
          <w:szCs w:val="24"/>
          <w:lang w:eastAsia="en-GB"/>
        </w:rPr>
        <w:t xml:space="preserve"> A/S</w:t>
      </w:r>
      <w:r w:rsidR="004144DA" w:rsidRPr="0053226E">
        <w:rPr>
          <w:rFonts w:ascii="Times New Roman" w:hAnsi="Times New Roman"/>
          <w:sz w:val="24"/>
          <w:szCs w:val="24"/>
          <w:lang w:eastAsia="en-GB"/>
        </w:rPr>
        <w:t xml:space="preserve">, </w:t>
      </w:r>
      <w:r w:rsidR="00CB5F35" w:rsidRPr="0053226E">
        <w:rPr>
          <w:rFonts w:ascii="Times New Roman" w:hAnsi="Times New Roman"/>
          <w:sz w:val="24"/>
          <w:szCs w:val="24"/>
          <w:lang w:eastAsia="en-GB"/>
        </w:rPr>
        <w:t xml:space="preserve">C-297/15, </w:t>
      </w:r>
      <w:r w:rsidR="00421A5C" w:rsidRPr="0053226E">
        <w:rPr>
          <w:rFonts w:ascii="Times New Roman" w:hAnsi="Times New Roman"/>
          <w:sz w:val="24"/>
          <w:szCs w:val="24"/>
          <w:lang w:eastAsia="en-GB"/>
        </w:rPr>
        <w:t>22 </w:t>
      </w:r>
      <w:r w:rsidR="00CB5F35" w:rsidRPr="0053226E">
        <w:rPr>
          <w:rFonts w:ascii="Times New Roman" w:hAnsi="Times New Roman"/>
          <w:sz w:val="24"/>
          <w:szCs w:val="24"/>
          <w:lang w:eastAsia="en-GB"/>
        </w:rPr>
        <w:t xml:space="preserve">punktas). </w:t>
      </w:r>
      <w:r w:rsidR="00FE3BDE" w:rsidRPr="0053226E">
        <w:rPr>
          <w:rFonts w:ascii="Times New Roman" w:hAnsi="Times New Roman"/>
          <w:sz w:val="24"/>
          <w:szCs w:val="24"/>
          <w:lang w:eastAsia="en-GB"/>
        </w:rPr>
        <w:t xml:space="preserve">Kai pagal </w:t>
      </w:r>
      <w:r w:rsidR="00A16520" w:rsidRPr="0053226E">
        <w:rPr>
          <w:rFonts w:ascii="Times New Roman" w:hAnsi="Times New Roman"/>
          <w:sz w:val="24"/>
          <w:szCs w:val="24"/>
          <w:lang w:eastAsia="en-GB"/>
        </w:rPr>
        <w:t xml:space="preserve">importo </w:t>
      </w:r>
      <w:r w:rsidR="00FE3BDE" w:rsidRPr="0053226E">
        <w:rPr>
          <w:rFonts w:ascii="Times New Roman" w:hAnsi="Times New Roman"/>
          <w:sz w:val="24"/>
          <w:szCs w:val="24"/>
          <w:lang w:eastAsia="en-GB"/>
        </w:rPr>
        <w:t>valstybėje narėje galiojančias taisykles ir praktiką</w:t>
      </w:r>
      <w:r w:rsidR="00FA144F" w:rsidRPr="0053226E">
        <w:rPr>
          <w:rFonts w:ascii="Times New Roman" w:hAnsi="Times New Roman"/>
          <w:sz w:val="24"/>
          <w:szCs w:val="24"/>
          <w:lang w:eastAsia="en-GB"/>
        </w:rPr>
        <w:t xml:space="preserve"> </w:t>
      </w:r>
      <w:r w:rsidR="00FE3BDE" w:rsidRPr="0053226E">
        <w:rPr>
          <w:rFonts w:ascii="Times New Roman" w:hAnsi="Times New Roman"/>
          <w:sz w:val="24"/>
          <w:szCs w:val="24"/>
          <w:lang w:eastAsia="en-GB"/>
        </w:rPr>
        <w:t>prekių ženklo savininkas toje valstybėje narėje naudoja daug skirtingų dydžių pakuočių</w:t>
      </w:r>
      <w:r w:rsidR="00FA144F" w:rsidRPr="0053226E">
        <w:rPr>
          <w:rFonts w:ascii="Times New Roman" w:hAnsi="Times New Roman"/>
          <w:sz w:val="24"/>
          <w:szCs w:val="24"/>
          <w:lang w:eastAsia="en-GB"/>
        </w:rPr>
        <w:t xml:space="preserve">, </w:t>
      </w:r>
      <w:r w:rsidR="00A16520" w:rsidRPr="0053226E">
        <w:rPr>
          <w:rFonts w:ascii="Times New Roman" w:hAnsi="Times New Roman"/>
          <w:sz w:val="24"/>
          <w:szCs w:val="24"/>
          <w:lang w:eastAsia="en-GB"/>
        </w:rPr>
        <w:t>vien to, kad vienas iš šių dydžių yra parduodamas ir eksporto valstybėje narėje, nepakanka išvadai, kad perpakavimas nebūtinas, pagrįsti.</w:t>
      </w:r>
      <w:r w:rsidR="00FA144F" w:rsidRPr="0053226E">
        <w:rPr>
          <w:rFonts w:ascii="Times New Roman" w:hAnsi="Times New Roman"/>
          <w:sz w:val="24"/>
          <w:szCs w:val="24"/>
          <w:lang w:eastAsia="en-GB"/>
        </w:rPr>
        <w:t xml:space="preserve"> </w:t>
      </w:r>
      <w:r w:rsidR="00FE3BDE" w:rsidRPr="0053226E">
        <w:rPr>
          <w:rFonts w:ascii="Times New Roman" w:hAnsi="Times New Roman"/>
          <w:sz w:val="24"/>
          <w:szCs w:val="24"/>
          <w:lang w:eastAsia="en-GB"/>
        </w:rPr>
        <w:t>Rinkų padalijimas egzistuotų, jei importuotojas galėtų parduoti produktą tik dalyje savo rinkos</w:t>
      </w:r>
      <w:r w:rsidR="00FA144F" w:rsidRPr="0053226E">
        <w:rPr>
          <w:rFonts w:ascii="Times New Roman" w:hAnsi="Times New Roman"/>
          <w:sz w:val="24"/>
          <w:szCs w:val="24"/>
          <w:lang w:eastAsia="en-GB"/>
        </w:rPr>
        <w:t xml:space="preserve"> </w:t>
      </w:r>
      <w:r w:rsidR="007D29B7" w:rsidRPr="0053226E">
        <w:rPr>
          <w:rFonts w:ascii="Times New Roman" w:hAnsi="Times New Roman"/>
          <w:sz w:val="24"/>
          <w:szCs w:val="24"/>
          <w:lang w:eastAsia="en-GB"/>
        </w:rPr>
        <w:t>(</w:t>
      </w:r>
      <w:r w:rsidR="004144DA" w:rsidRPr="0053226E">
        <w:rPr>
          <w:rFonts w:ascii="Times New Roman" w:hAnsi="Times New Roman"/>
          <w:sz w:val="24"/>
          <w:szCs w:val="24"/>
          <w:lang w:eastAsia="en-GB"/>
        </w:rPr>
        <w:t xml:space="preserve">sprendimas byloje </w:t>
      </w:r>
      <w:proofErr w:type="spellStart"/>
      <w:r w:rsidR="007D29B7" w:rsidRPr="0053226E">
        <w:rPr>
          <w:rFonts w:ascii="Times New Roman" w:hAnsi="Times New Roman"/>
          <w:i/>
          <w:iCs/>
          <w:sz w:val="24"/>
          <w:szCs w:val="24"/>
          <w:lang w:eastAsia="en-GB"/>
        </w:rPr>
        <w:t>Bristol-Myers</w:t>
      </w:r>
      <w:proofErr w:type="spellEnd"/>
      <w:r w:rsidR="007D29B7" w:rsidRPr="0053226E">
        <w:rPr>
          <w:rFonts w:ascii="Times New Roman" w:hAnsi="Times New Roman"/>
          <w:i/>
          <w:iCs/>
          <w:sz w:val="24"/>
          <w:szCs w:val="24"/>
          <w:lang w:eastAsia="en-GB"/>
        </w:rPr>
        <w:t xml:space="preserve"> </w:t>
      </w:r>
      <w:proofErr w:type="spellStart"/>
      <w:r w:rsidR="007D29B7"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r w:rsidR="007D29B7" w:rsidRPr="0053226E">
        <w:rPr>
          <w:rFonts w:ascii="Times New Roman" w:hAnsi="Times New Roman"/>
          <w:sz w:val="24"/>
          <w:szCs w:val="24"/>
          <w:lang w:eastAsia="en-GB"/>
        </w:rPr>
        <w:t xml:space="preserve">, </w:t>
      </w:r>
      <w:r w:rsidR="00FA144F" w:rsidRPr="0053226E">
        <w:rPr>
          <w:rFonts w:ascii="Times New Roman" w:hAnsi="Times New Roman"/>
          <w:sz w:val="24"/>
          <w:szCs w:val="24"/>
          <w:lang w:eastAsia="en-GB"/>
        </w:rPr>
        <w:t>54</w:t>
      </w:r>
      <w:r w:rsidR="00A16520" w:rsidRPr="0053226E">
        <w:rPr>
          <w:rFonts w:ascii="Times New Roman" w:hAnsi="Times New Roman"/>
          <w:sz w:val="24"/>
          <w:szCs w:val="24"/>
          <w:lang w:eastAsia="en-GB"/>
        </w:rPr>
        <w:t> </w:t>
      </w:r>
      <w:r w:rsidR="00FA144F" w:rsidRPr="0053226E">
        <w:rPr>
          <w:rFonts w:ascii="Times New Roman" w:hAnsi="Times New Roman"/>
          <w:sz w:val="24"/>
          <w:szCs w:val="24"/>
          <w:lang w:eastAsia="en-GB"/>
        </w:rPr>
        <w:t>punktas</w:t>
      </w:r>
      <w:r w:rsidR="007D29B7" w:rsidRPr="0053226E">
        <w:rPr>
          <w:rFonts w:ascii="Times New Roman" w:hAnsi="Times New Roman"/>
          <w:sz w:val="24"/>
          <w:szCs w:val="24"/>
          <w:lang w:eastAsia="en-GB"/>
        </w:rPr>
        <w:t>)</w:t>
      </w:r>
      <w:r w:rsidR="004A7FDF" w:rsidRPr="0053226E">
        <w:rPr>
          <w:rFonts w:ascii="Times New Roman" w:hAnsi="Times New Roman"/>
          <w:sz w:val="24"/>
          <w:szCs w:val="24"/>
          <w:lang w:eastAsia="en-GB"/>
        </w:rPr>
        <w:t>.</w:t>
      </w:r>
    </w:p>
    <w:p w14:paraId="70ADF8D5" w14:textId="41E0E9CF" w:rsidR="004A7FDF" w:rsidRPr="0053226E" w:rsidRDefault="00FE3BDE"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Kita vertus, savininkas gali prieštarauti produkto perpakavimui į naujas</w:t>
      </w:r>
      <w:r w:rsidR="007D29B7" w:rsidRPr="0053226E">
        <w:rPr>
          <w:rFonts w:ascii="Times New Roman" w:hAnsi="Times New Roman"/>
          <w:sz w:val="24"/>
          <w:szCs w:val="24"/>
          <w:lang w:eastAsia="en-GB"/>
        </w:rPr>
        <w:t xml:space="preserve"> </w:t>
      </w:r>
      <w:r w:rsidRPr="0053226E">
        <w:rPr>
          <w:rFonts w:ascii="Times New Roman" w:hAnsi="Times New Roman"/>
          <w:sz w:val="24"/>
          <w:szCs w:val="24"/>
          <w:lang w:eastAsia="en-GB"/>
        </w:rPr>
        <w:t>išorin</w:t>
      </w:r>
      <w:r w:rsidR="00443188" w:rsidRPr="0053226E">
        <w:rPr>
          <w:rFonts w:ascii="Times New Roman" w:hAnsi="Times New Roman"/>
          <w:sz w:val="24"/>
          <w:szCs w:val="24"/>
          <w:lang w:eastAsia="en-GB"/>
        </w:rPr>
        <w:t>es</w:t>
      </w:r>
      <w:r w:rsidRPr="0053226E">
        <w:rPr>
          <w:rFonts w:ascii="Times New Roman" w:hAnsi="Times New Roman"/>
          <w:sz w:val="24"/>
          <w:szCs w:val="24"/>
          <w:lang w:eastAsia="en-GB"/>
        </w:rPr>
        <w:t xml:space="preserve"> pakuot</w:t>
      </w:r>
      <w:r w:rsidR="00443188" w:rsidRPr="0053226E">
        <w:rPr>
          <w:rFonts w:ascii="Times New Roman" w:hAnsi="Times New Roman"/>
          <w:sz w:val="24"/>
          <w:szCs w:val="24"/>
          <w:lang w:eastAsia="en-GB"/>
        </w:rPr>
        <w:t>es</w:t>
      </w:r>
      <w:r w:rsidRPr="0053226E">
        <w:rPr>
          <w:rFonts w:ascii="Times New Roman" w:hAnsi="Times New Roman"/>
          <w:sz w:val="24"/>
          <w:szCs w:val="24"/>
          <w:lang w:eastAsia="en-GB"/>
        </w:rPr>
        <w:t>, jei importuotojas gali pasiekti, kad pakuotė būtų</w:t>
      </w:r>
      <w:r w:rsidR="007D29B7" w:rsidRPr="0053226E">
        <w:rPr>
          <w:rFonts w:ascii="Times New Roman" w:hAnsi="Times New Roman"/>
          <w:sz w:val="24"/>
          <w:szCs w:val="24"/>
          <w:lang w:eastAsia="en-GB"/>
        </w:rPr>
        <w:t xml:space="preserve"> </w:t>
      </w:r>
      <w:r w:rsidR="009B7340" w:rsidRPr="0053226E">
        <w:rPr>
          <w:rFonts w:ascii="Times New Roman" w:hAnsi="Times New Roman"/>
          <w:sz w:val="24"/>
          <w:szCs w:val="24"/>
          <w:lang w:eastAsia="en-GB"/>
        </w:rPr>
        <w:t xml:space="preserve">leidžiama </w:t>
      </w:r>
      <w:r w:rsidRPr="0053226E">
        <w:rPr>
          <w:rFonts w:ascii="Times New Roman" w:hAnsi="Times New Roman"/>
          <w:sz w:val="24"/>
          <w:szCs w:val="24"/>
          <w:lang w:eastAsia="en-GB"/>
        </w:rPr>
        <w:t>importuojančioje valstybėje narėje, pavyzdžiui, ant originalios išorinės ar vidinės pakuotės pritvirtindamas naujas etiketes importuojančios valstybės narės kalba</w:t>
      </w:r>
      <w:r w:rsidR="004A7FDF" w:rsidRPr="0053226E">
        <w:rPr>
          <w:rFonts w:ascii="Times New Roman" w:hAnsi="Times New Roman"/>
          <w:sz w:val="24"/>
          <w:szCs w:val="24"/>
          <w:lang w:eastAsia="en-GB"/>
        </w:rPr>
        <w:t xml:space="preserve"> </w:t>
      </w:r>
      <w:r w:rsidRPr="0053226E">
        <w:rPr>
          <w:rFonts w:ascii="Times New Roman" w:hAnsi="Times New Roman"/>
          <w:sz w:val="24"/>
          <w:szCs w:val="24"/>
          <w:lang w:eastAsia="en-GB"/>
        </w:rPr>
        <w:t>arba pridėdamas naujas naudotojo instrukcijas ar informaciją importuojančios valstybės narės kalba</w:t>
      </w:r>
      <w:r w:rsidR="004A7FDF" w:rsidRPr="0053226E">
        <w:rPr>
          <w:rFonts w:ascii="Times New Roman" w:hAnsi="Times New Roman"/>
          <w:sz w:val="24"/>
          <w:szCs w:val="24"/>
          <w:lang w:eastAsia="en-GB"/>
        </w:rPr>
        <w:t xml:space="preserve"> (</w:t>
      </w:r>
      <w:r w:rsidR="004144DA" w:rsidRPr="0053226E">
        <w:rPr>
          <w:rFonts w:ascii="Times New Roman" w:hAnsi="Times New Roman"/>
          <w:sz w:val="24"/>
          <w:szCs w:val="24"/>
          <w:lang w:eastAsia="en-GB"/>
        </w:rPr>
        <w:t xml:space="preserve">sprendimas byloje </w:t>
      </w:r>
      <w:proofErr w:type="spellStart"/>
      <w:r w:rsidR="004A7FDF" w:rsidRPr="0053226E">
        <w:rPr>
          <w:rFonts w:ascii="Times New Roman" w:hAnsi="Times New Roman"/>
          <w:i/>
          <w:iCs/>
          <w:sz w:val="24"/>
          <w:szCs w:val="24"/>
          <w:lang w:eastAsia="en-GB"/>
        </w:rPr>
        <w:t>Bristol-Myers</w:t>
      </w:r>
      <w:proofErr w:type="spellEnd"/>
      <w:r w:rsidR="004A7FDF" w:rsidRPr="0053226E">
        <w:rPr>
          <w:rFonts w:ascii="Times New Roman" w:hAnsi="Times New Roman"/>
          <w:i/>
          <w:iCs/>
          <w:sz w:val="24"/>
          <w:szCs w:val="24"/>
          <w:lang w:eastAsia="en-GB"/>
        </w:rPr>
        <w:t xml:space="preserve"> </w:t>
      </w:r>
      <w:proofErr w:type="spellStart"/>
      <w:r w:rsidR="004A7FDF"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r w:rsidR="004A7FDF" w:rsidRPr="0053226E">
        <w:rPr>
          <w:rFonts w:ascii="Times New Roman" w:hAnsi="Times New Roman"/>
          <w:sz w:val="24"/>
          <w:szCs w:val="24"/>
          <w:lang w:eastAsia="en-GB"/>
        </w:rPr>
        <w:t>, 55</w:t>
      </w:r>
      <w:r w:rsidR="00A16520" w:rsidRPr="0053226E">
        <w:rPr>
          <w:rFonts w:ascii="Times New Roman" w:hAnsi="Times New Roman"/>
          <w:sz w:val="24"/>
          <w:szCs w:val="24"/>
          <w:lang w:eastAsia="en-GB"/>
        </w:rPr>
        <w:t> </w:t>
      </w:r>
      <w:r w:rsidR="004A7FDF" w:rsidRPr="0053226E">
        <w:rPr>
          <w:rFonts w:ascii="Times New Roman" w:hAnsi="Times New Roman"/>
          <w:sz w:val="24"/>
          <w:szCs w:val="24"/>
          <w:lang w:eastAsia="en-GB"/>
        </w:rPr>
        <w:t>punktas).</w:t>
      </w:r>
    </w:p>
    <w:p w14:paraId="7525540F" w14:textId="43FE18EF" w:rsidR="00103C9A" w:rsidRPr="0053226E" w:rsidRDefault="004B3ECC"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F</w:t>
      </w:r>
      <w:r w:rsidR="0083788A" w:rsidRPr="0053226E">
        <w:rPr>
          <w:rFonts w:ascii="Times New Roman" w:hAnsi="Times New Roman"/>
          <w:sz w:val="24"/>
          <w:szCs w:val="24"/>
          <w:lang w:eastAsia="en-GB"/>
        </w:rPr>
        <w:t xml:space="preserve">armacijos produktų pakuočių keitimas vietoj paprasčiausio </w:t>
      </w:r>
      <w:r w:rsidR="00621339" w:rsidRPr="0053226E">
        <w:rPr>
          <w:rFonts w:ascii="Times New Roman" w:hAnsi="Times New Roman"/>
          <w:sz w:val="24"/>
          <w:szCs w:val="24"/>
          <w:lang w:eastAsia="en-GB"/>
        </w:rPr>
        <w:t xml:space="preserve">pakuočių </w:t>
      </w:r>
      <w:r w:rsidR="0083788A" w:rsidRPr="0053226E">
        <w:rPr>
          <w:rFonts w:ascii="Times New Roman" w:hAnsi="Times New Roman"/>
          <w:sz w:val="24"/>
          <w:szCs w:val="24"/>
          <w:lang w:eastAsia="en-GB"/>
        </w:rPr>
        <w:t xml:space="preserve">paženklinimo naujomis etiketėmis yra objektyviai būtinas, jei be tokio perpakavimo efektyvus patekimas į tam tikrą rinką arba žymią jos dalį būtų laikomas trukdomu dėl priežasties, kad didelė </w:t>
      </w:r>
      <w:r w:rsidR="00E551A6" w:rsidRPr="0053226E">
        <w:rPr>
          <w:rFonts w:ascii="Times New Roman" w:hAnsi="Times New Roman"/>
          <w:sz w:val="24"/>
          <w:szCs w:val="24"/>
          <w:lang w:eastAsia="en-GB"/>
        </w:rPr>
        <w:t xml:space="preserve">dalis </w:t>
      </w:r>
      <w:r w:rsidR="0083788A" w:rsidRPr="0053226E">
        <w:rPr>
          <w:rFonts w:ascii="Times New Roman" w:hAnsi="Times New Roman"/>
          <w:sz w:val="24"/>
          <w:szCs w:val="24"/>
          <w:lang w:eastAsia="en-GB"/>
        </w:rPr>
        <w:t>vartotojų priešinasi naujomis etiketėmis paženklintiems produktams</w:t>
      </w:r>
      <w:r w:rsidRPr="0053226E">
        <w:rPr>
          <w:rFonts w:ascii="Times New Roman" w:hAnsi="Times New Roman"/>
          <w:sz w:val="24"/>
          <w:szCs w:val="24"/>
          <w:lang w:eastAsia="en-GB"/>
        </w:rPr>
        <w:t xml:space="preserve"> (žr. ESTT 2002</w:t>
      </w:r>
      <w:r w:rsidR="00A16520" w:rsidRPr="0053226E">
        <w:rPr>
          <w:rFonts w:ascii="Times New Roman" w:hAnsi="Times New Roman"/>
          <w:sz w:val="24"/>
          <w:szCs w:val="24"/>
          <w:lang w:eastAsia="en-GB"/>
        </w:rPr>
        <w:t> </w:t>
      </w:r>
      <w:r w:rsidRPr="0053226E">
        <w:rPr>
          <w:rFonts w:ascii="Times New Roman" w:hAnsi="Times New Roman"/>
          <w:sz w:val="24"/>
          <w:szCs w:val="24"/>
          <w:lang w:eastAsia="en-GB"/>
        </w:rPr>
        <w:t>m. balandžio 23</w:t>
      </w:r>
      <w:r w:rsidR="00A16520" w:rsidRPr="0053226E">
        <w:rPr>
          <w:rFonts w:ascii="Times New Roman" w:hAnsi="Times New Roman"/>
          <w:sz w:val="24"/>
          <w:szCs w:val="24"/>
          <w:lang w:eastAsia="en-GB"/>
        </w:rPr>
        <w:t> </w:t>
      </w:r>
      <w:r w:rsidRPr="0053226E">
        <w:rPr>
          <w:rFonts w:ascii="Times New Roman" w:hAnsi="Times New Roman"/>
          <w:sz w:val="24"/>
          <w:szCs w:val="24"/>
          <w:lang w:eastAsia="en-GB"/>
        </w:rPr>
        <w:t xml:space="preserve">d. </w:t>
      </w:r>
      <w:proofErr w:type="spellStart"/>
      <w:r w:rsidRPr="0053226E">
        <w:rPr>
          <w:rFonts w:ascii="Times New Roman" w:hAnsi="Times New Roman"/>
          <w:sz w:val="24"/>
          <w:szCs w:val="24"/>
          <w:lang w:eastAsia="en-GB"/>
        </w:rPr>
        <w:t>prejudicin</w:t>
      </w:r>
      <w:r w:rsidR="00A16520" w:rsidRPr="0053226E">
        <w:rPr>
          <w:rFonts w:ascii="Times New Roman" w:hAnsi="Times New Roman"/>
          <w:sz w:val="24"/>
          <w:szCs w:val="24"/>
          <w:lang w:eastAsia="en-GB"/>
        </w:rPr>
        <w:t>io</w:t>
      </w:r>
      <w:proofErr w:type="spellEnd"/>
      <w:r w:rsidRPr="0053226E">
        <w:rPr>
          <w:rFonts w:ascii="Times New Roman" w:hAnsi="Times New Roman"/>
          <w:sz w:val="24"/>
          <w:szCs w:val="24"/>
          <w:lang w:eastAsia="en-GB"/>
        </w:rPr>
        <w:t xml:space="preserve"> sprendim</w:t>
      </w:r>
      <w:r w:rsidR="00A16520" w:rsidRPr="0053226E">
        <w:rPr>
          <w:rFonts w:ascii="Times New Roman" w:hAnsi="Times New Roman"/>
          <w:sz w:val="24"/>
          <w:szCs w:val="24"/>
          <w:lang w:eastAsia="en-GB"/>
        </w:rPr>
        <w:t>o</w:t>
      </w:r>
      <w:r w:rsidR="00621339" w:rsidRPr="0053226E">
        <w:rPr>
          <w:rFonts w:ascii="Times New Roman" w:hAnsi="Times New Roman"/>
          <w:sz w:val="24"/>
          <w:szCs w:val="24"/>
          <w:lang w:eastAsia="en-GB"/>
        </w:rPr>
        <w:t xml:space="preserve"> byloje</w:t>
      </w:r>
      <w:r w:rsidRPr="0053226E">
        <w:rPr>
          <w:rFonts w:ascii="Times New Roman" w:hAnsi="Times New Roman"/>
          <w:sz w:val="24"/>
          <w:szCs w:val="24"/>
          <w:lang w:eastAsia="en-GB"/>
        </w:rPr>
        <w:t xml:space="preserve"> </w:t>
      </w:r>
      <w:proofErr w:type="spellStart"/>
      <w:r w:rsidR="00A16520" w:rsidRPr="0053226E">
        <w:rPr>
          <w:rFonts w:ascii="Times New Roman" w:hAnsi="Times New Roman"/>
          <w:i/>
          <w:iCs/>
          <w:sz w:val="24"/>
          <w:szCs w:val="24"/>
          <w:lang w:eastAsia="en-GB"/>
        </w:rPr>
        <w:t>Merc</w:t>
      </w:r>
      <w:proofErr w:type="spellEnd"/>
      <w:r w:rsidR="00A16520" w:rsidRPr="0053226E">
        <w:rPr>
          <w:rFonts w:ascii="Times New Roman" w:hAnsi="Times New Roman"/>
          <w:i/>
          <w:iCs/>
          <w:sz w:val="24"/>
          <w:szCs w:val="24"/>
          <w:lang w:eastAsia="en-GB"/>
        </w:rPr>
        <w:t xml:space="preserve">, Sharp </w:t>
      </w:r>
      <w:proofErr w:type="spellStart"/>
      <w:r w:rsidR="00A16520" w:rsidRPr="0053226E">
        <w:rPr>
          <w:rFonts w:ascii="Times New Roman" w:hAnsi="Times New Roman"/>
          <w:i/>
          <w:iCs/>
          <w:sz w:val="24"/>
          <w:szCs w:val="24"/>
          <w:lang w:eastAsia="en-GB"/>
        </w:rPr>
        <w:t>and</w:t>
      </w:r>
      <w:proofErr w:type="spellEnd"/>
      <w:r w:rsidR="00A16520" w:rsidRPr="0053226E">
        <w:rPr>
          <w:rFonts w:ascii="Times New Roman" w:hAnsi="Times New Roman"/>
          <w:i/>
          <w:iCs/>
          <w:sz w:val="24"/>
          <w:szCs w:val="24"/>
          <w:lang w:eastAsia="en-GB"/>
        </w:rPr>
        <w:t xml:space="preserve"> </w:t>
      </w:r>
      <w:proofErr w:type="spellStart"/>
      <w:r w:rsidR="00A16520" w:rsidRPr="0053226E">
        <w:rPr>
          <w:rFonts w:ascii="Times New Roman" w:hAnsi="Times New Roman"/>
          <w:i/>
          <w:iCs/>
          <w:sz w:val="24"/>
          <w:szCs w:val="24"/>
          <w:lang w:eastAsia="en-GB"/>
        </w:rPr>
        <w:t>Dohme</w:t>
      </w:r>
      <w:proofErr w:type="spellEnd"/>
      <w:r w:rsidR="00A16520" w:rsidRPr="0053226E">
        <w:rPr>
          <w:rFonts w:ascii="Times New Roman" w:hAnsi="Times New Roman"/>
          <w:i/>
          <w:iCs/>
          <w:sz w:val="24"/>
          <w:szCs w:val="24"/>
          <w:lang w:eastAsia="en-GB"/>
        </w:rPr>
        <w:t xml:space="preserve"> </w:t>
      </w:r>
      <w:proofErr w:type="spellStart"/>
      <w:r w:rsidR="00A16520" w:rsidRPr="0053226E">
        <w:rPr>
          <w:rFonts w:ascii="Times New Roman" w:hAnsi="Times New Roman"/>
          <w:i/>
          <w:iCs/>
          <w:sz w:val="24"/>
          <w:szCs w:val="24"/>
          <w:lang w:eastAsia="en-GB"/>
        </w:rPr>
        <w:t>GmbH</w:t>
      </w:r>
      <w:proofErr w:type="spellEnd"/>
      <w:r w:rsidR="00621339" w:rsidRPr="0053226E">
        <w:rPr>
          <w:rFonts w:ascii="Times New Roman" w:hAnsi="Times New Roman"/>
          <w:i/>
          <w:iCs/>
          <w:sz w:val="24"/>
          <w:szCs w:val="24"/>
          <w:lang w:eastAsia="en-GB"/>
        </w:rPr>
        <w:t xml:space="preserve"> prieš</w:t>
      </w:r>
      <w:r w:rsidR="00A16520" w:rsidRPr="0053226E">
        <w:rPr>
          <w:rFonts w:ascii="Times New Roman" w:hAnsi="Times New Roman"/>
          <w:i/>
          <w:iCs/>
          <w:sz w:val="24"/>
          <w:szCs w:val="24"/>
          <w:lang w:eastAsia="en-GB"/>
        </w:rPr>
        <w:t xml:space="preserve"> </w:t>
      </w:r>
      <w:proofErr w:type="spellStart"/>
      <w:r w:rsidR="00A16520" w:rsidRPr="0053226E">
        <w:rPr>
          <w:rFonts w:ascii="Times New Roman" w:hAnsi="Times New Roman"/>
          <w:i/>
          <w:iCs/>
          <w:sz w:val="24"/>
          <w:szCs w:val="24"/>
          <w:lang w:eastAsia="en-GB"/>
        </w:rPr>
        <w:t>Paranova</w:t>
      </w:r>
      <w:proofErr w:type="spellEnd"/>
      <w:r w:rsidR="00A16520" w:rsidRPr="0053226E">
        <w:rPr>
          <w:rFonts w:ascii="Times New Roman" w:hAnsi="Times New Roman"/>
          <w:i/>
          <w:iCs/>
          <w:sz w:val="24"/>
          <w:szCs w:val="24"/>
          <w:lang w:eastAsia="en-GB"/>
        </w:rPr>
        <w:t xml:space="preserve"> </w:t>
      </w:r>
      <w:proofErr w:type="spellStart"/>
      <w:r w:rsidR="00A16520" w:rsidRPr="0053226E">
        <w:rPr>
          <w:rFonts w:ascii="Times New Roman" w:hAnsi="Times New Roman"/>
          <w:i/>
          <w:iCs/>
          <w:sz w:val="24"/>
          <w:szCs w:val="24"/>
          <w:lang w:eastAsia="en-GB"/>
        </w:rPr>
        <w:t>Pharmazeutika</w:t>
      </w:r>
      <w:proofErr w:type="spellEnd"/>
      <w:r w:rsidR="00A16520" w:rsidRPr="0053226E">
        <w:rPr>
          <w:rFonts w:ascii="Times New Roman" w:hAnsi="Times New Roman"/>
          <w:i/>
          <w:iCs/>
          <w:sz w:val="24"/>
          <w:szCs w:val="24"/>
          <w:lang w:eastAsia="en-GB"/>
        </w:rPr>
        <w:t xml:space="preserve"> </w:t>
      </w:r>
      <w:proofErr w:type="spellStart"/>
      <w:r w:rsidR="00A16520" w:rsidRPr="0053226E">
        <w:rPr>
          <w:rFonts w:ascii="Times New Roman" w:hAnsi="Times New Roman"/>
          <w:i/>
          <w:iCs/>
          <w:sz w:val="24"/>
          <w:szCs w:val="24"/>
          <w:lang w:eastAsia="en-GB"/>
        </w:rPr>
        <w:t>Handels</w:t>
      </w:r>
      <w:proofErr w:type="spellEnd"/>
      <w:r w:rsidR="00A16520" w:rsidRPr="0053226E">
        <w:rPr>
          <w:rFonts w:ascii="Times New Roman" w:hAnsi="Times New Roman"/>
          <w:i/>
          <w:iCs/>
          <w:sz w:val="24"/>
          <w:szCs w:val="24"/>
          <w:lang w:eastAsia="en-GB"/>
        </w:rPr>
        <w:t xml:space="preserve"> </w:t>
      </w:r>
      <w:proofErr w:type="spellStart"/>
      <w:r w:rsidR="00A16520" w:rsidRPr="0053226E">
        <w:rPr>
          <w:rFonts w:ascii="Times New Roman" w:hAnsi="Times New Roman"/>
          <w:i/>
          <w:iCs/>
          <w:sz w:val="24"/>
          <w:szCs w:val="24"/>
          <w:lang w:eastAsia="en-GB"/>
        </w:rPr>
        <w:t>GmbH</w:t>
      </w:r>
      <w:proofErr w:type="spellEnd"/>
      <w:r w:rsidR="00621339" w:rsidRPr="0053226E">
        <w:rPr>
          <w:rFonts w:ascii="Times New Roman" w:hAnsi="Times New Roman"/>
          <w:sz w:val="24"/>
          <w:szCs w:val="24"/>
          <w:lang w:eastAsia="en-GB"/>
        </w:rPr>
        <w:t xml:space="preserve">, </w:t>
      </w:r>
      <w:r w:rsidRPr="0053226E">
        <w:rPr>
          <w:rFonts w:ascii="Times New Roman" w:hAnsi="Times New Roman"/>
          <w:sz w:val="24"/>
          <w:szCs w:val="24"/>
          <w:lang w:eastAsia="en-GB"/>
        </w:rPr>
        <w:t>C-443/99</w:t>
      </w:r>
      <w:r w:rsidR="00621339" w:rsidRPr="0053226E">
        <w:rPr>
          <w:rFonts w:ascii="Times New Roman" w:hAnsi="Times New Roman"/>
          <w:sz w:val="24"/>
          <w:szCs w:val="24"/>
          <w:lang w:eastAsia="en-GB"/>
        </w:rPr>
        <w:t>,</w:t>
      </w:r>
      <w:r w:rsidR="00A16520" w:rsidRPr="0053226E">
        <w:rPr>
          <w:rFonts w:ascii="Times New Roman" w:hAnsi="Times New Roman"/>
          <w:sz w:val="24"/>
          <w:szCs w:val="24"/>
          <w:lang w:eastAsia="en-GB"/>
        </w:rPr>
        <w:t xml:space="preserve"> 31 </w:t>
      </w:r>
      <w:r w:rsidRPr="0053226E">
        <w:rPr>
          <w:rFonts w:ascii="Times New Roman" w:hAnsi="Times New Roman"/>
          <w:sz w:val="24"/>
          <w:szCs w:val="24"/>
          <w:lang w:eastAsia="en-GB"/>
        </w:rPr>
        <w:t>punkt</w:t>
      </w:r>
      <w:r w:rsidR="00A16520" w:rsidRPr="0053226E">
        <w:rPr>
          <w:rFonts w:ascii="Times New Roman" w:hAnsi="Times New Roman"/>
          <w:sz w:val="24"/>
          <w:szCs w:val="24"/>
          <w:lang w:eastAsia="en-GB"/>
        </w:rPr>
        <w:t>ą</w:t>
      </w:r>
      <w:r w:rsidRPr="0053226E">
        <w:rPr>
          <w:rFonts w:ascii="Times New Roman" w:hAnsi="Times New Roman"/>
          <w:sz w:val="24"/>
          <w:szCs w:val="24"/>
          <w:lang w:eastAsia="en-GB"/>
        </w:rPr>
        <w:t>)</w:t>
      </w:r>
      <w:r w:rsidR="00825AE3" w:rsidRPr="0053226E">
        <w:rPr>
          <w:rFonts w:ascii="Times New Roman" w:hAnsi="Times New Roman"/>
          <w:sz w:val="24"/>
          <w:szCs w:val="24"/>
          <w:lang w:eastAsia="en-GB"/>
        </w:rPr>
        <w:t>.</w:t>
      </w:r>
      <w:bookmarkStart w:id="10" w:name="_Hlk200978364"/>
    </w:p>
    <w:p w14:paraId="76EC5C8C" w14:textId="32C8C4F2" w:rsidR="00AE62B9" w:rsidRPr="0053226E" w:rsidRDefault="003D2E2E"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Kaip nurodyta ESTT praktikoje, vis dėlto objektyvios būtinybės sąlyga nėra įvykdyta, jeigu prekė perpakuojama tik dėl</w:t>
      </w:r>
      <w:r w:rsidR="004144DA" w:rsidRPr="0053226E">
        <w:rPr>
          <w:rFonts w:ascii="Times New Roman" w:hAnsi="Times New Roman"/>
          <w:sz w:val="24"/>
          <w:szCs w:val="24"/>
          <w:lang w:eastAsia="en-GB"/>
        </w:rPr>
        <w:t xml:space="preserve"> to</w:t>
      </w:r>
      <w:r w:rsidRPr="0053226E">
        <w:rPr>
          <w:rFonts w:ascii="Times New Roman" w:hAnsi="Times New Roman"/>
          <w:sz w:val="24"/>
          <w:szCs w:val="24"/>
          <w:lang w:eastAsia="en-GB"/>
        </w:rPr>
        <w:t xml:space="preserve">, kad lygiagretus importuotojas siekia gauti komercinės naudos (žr. </w:t>
      </w:r>
      <w:r w:rsidR="00621339" w:rsidRPr="0053226E">
        <w:rPr>
          <w:rFonts w:ascii="Times New Roman" w:hAnsi="Times New Roman"/>
          <w:sz w:val="24"/>
          <w:szCs w:val="24"/>
          <w:lang w:eastAsia="en-GB"/>
        </w:rPr>
        <w:lastRenderedPageBreak/>
        <w:t xml:space="preserve">pirmiau nurodyto </w:t>
      </w:r>
      <w:r w:rsidRPr="0053226E">
        <w:rPr>
          <w:rFonts w:ascii="Times New Roman" w:hAnsi="Times New Roman"/>
          <w:sz w:val="24"/>
          <w:szCs w:val="24"/>
          <w:lang w:eastAsia="en-GB"/>
        </w:rPr>
        <w:t>sprendimo</w:t>
      </w:r>
      <w:r w:rsidR="004144DA" w:rsidRPr="0053226E">
        <w:rPr>
          <w:rFonts w:ascii="Times New Roman" w:hAnsi="Times New Roman"/>
          <w:sz w:val="24"/>
          <w:szCs w:val="24"/>
          <w:lang w:eastAsia="en-GB"/>
        </w:rPr>
        <w:t xml:space="preserve"> byloje</w:t>
      </w:r>
      <w:r w:rsidRPr="0053226E">
        <w:rPr>
          <w:rFonts w:ascii="Times New Roman" w:hAnsi="Times New Roman"/>
          <w:sz w:val="24"/>
          <w:szCs w:val="24"/>
          <w:lang w:eastAsia="en-GB"/>
        </w:rPr>
        <w:t xml:space="preserve"> </w:t>
      </w:r>
      <w:proofErr w:type="spellStart"/>
      <w:r w:rsidRPr="0053226E">
        <w:rPr>
          <w:rFonts w:ascii="Times New Roman" w:hAnsi="Times New Roman"/>
          <w:i/>
          <w:iCs/>
          <w:sz w:val="24"/>
          <w:szCs w:val="24"/>
          <w:lang w:eastAsia="en-GB"/>
        </w:rPr>
        <w:t>Impexeco</w:t>
      </w:r>
      <w:proofErr w:type="spellEnd"/>
      <w:r w:rsidRPr="0053226E">
        <w:rPr>
          <w:rFonts w:ascii="Times New Roman" w:hAnsi="Times New Roman"/>
          <w:i/>
          <w:iCs/>
          <w:sz w:val="24"/>
          <w:szCs w:val="24"/>
          <w:lang w:eastAsia="en-GB"/>
        </w:rPr>
        <w:t xml:space="preserve"> NV </w:t>
      </w:r>
      <w:r w:rsidR="00621339" w:rsidRPr="0053226E">
        <w:rPr>
          <w:rFonts w:ascii="Times New Roman" w:hAnsi="Times New Roman"/>
          <w:i/>
          <w:iCs/>
          <w:sz w:val="24"/>
          <w:szCs w:val="24"/>
          <w:lang w:eastAsia="en-GB"/>
        </w:rPr>
        <w:t>prieš</w:t>
      </w:r>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Novartis</w:t>
      </w:r>
      <w:proofErr w:type="spellEnd"/>
      <w:r w:rsidRPr="0053226E">
        <w:rPr>
          <w:rFonts w:ascii="Times New Roman" w:hAnsi="Times New Roman"/>
          <w:i/>
          <w:iCs/>
          <w:sz w:val="24"/>
          <w:szCs w:val="24"/>
          <w:lang w:eastAsia="en-GB"/>
        </w:rPr>
        <w:t xml:space="preserve"> AG ir k</w:t>
      </w:r>
      <w:r w:rsidR="006165A0" w:rsidRPr="0053226E">
        <w:rPr>
          <w:rFonts w:ascii="Times New Roman" w:hAnsi="Times New Roman"/>
          <w:i/>
          <w:iCs/>
          <w:sz w:val="24"/>
          <w:szCs w:val="24"/>
          <w:lang w:eastAsia="en-GB"/>
        </w:rPr>
        <w:t>t.</w:t>
      </w:r>
      <w:r w:rsidRPr="0053226E">
        <w:rPr>
          <w:rFonts w:ascii="Times New Roman" w:hAnsi="Times New Roman"/>
          <w:sz w:val="24"/>
          <w:szCs w:val="24"/>
          <w:lang w:eastAsia="en-GB"/>
        </w:rPr>
        <w:t xml:space="preserve"> 56 punktą,</w:t>
      </w:r>
      <w:r w:rsidR="004144DA" w:rsidRPr="0053226E">
        <w:rPr>
          <w:rFonts w:ascii="Times New Roman" w:hAnsi="Times New Roman"/>
          <w:sz w:val="24"/>
          <w:szCs w:val="24"/>
          <w:lang w:eastAsia="en-GB"/>
        </w:rPr>
        <w:t xml:space="preserve"> </w:t>
      </w:r>
      <w:r w:rsidR="00621339" w:rsidRPr="0053226E">
        <w:rPr>
          <w:rFonts w:ascii="Times New Roman" w:hAnsi="Times New Roman"/>
          <w:sz w:val="24"/>
          <w:szCs w:val="24"/>
          <w:lang w:eastAsia="en-GB"/>
        </w:rPr>
        <w:t xml:space="preserve">taip pat </w:t>
      </w:r>
      <w:r w:rsidR="004144DA" w:rsidRPr="0053226E">
        <w:rPr>
          <w:rFonts w:ascii="Times New Roman" w:hAnsi="Times New Roman"/>
          <w:sz w:val="24"/>
          <w:szCs w:val="24"/>
          <w:lang w:eastAsia="en-GB"/>
        </w:rPr>
        <w:t xml:space="preserve">sprendimo byloje </w:t>
      </w:r>
      <w:proofErr w:type="spellStart"/>
      <w:r w:rsidRPr="0053226E">
        <w:rPr>
          <w:rFonts w:ascii="Times New Roman" w:hAnsi="Times New Roman"/>
          <w:i/>
          <w:iCs/>
          <w:sz w:val="24"/>
          <w:szCs w:val="24"/>
          <w:lang w:eastAsia="en-GB"/>
        </w:rPr>
        <w:t>Boehringer</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Ingelheim</w:t>
      </w:r>
      <w:proofErr w:type="spellEnd"/>
      <w:r w:rsidRPr="0053226E">
        <w:rPr>
          <w:rFonts w:ascii="Times New Roman" w:hAnsi="Times New Roman"/>
          <w:i/>
          <w:iCs/>
          <w:sz w:val="24"/>
          <w:szCs w:val="24"/>
          <w:lang w:eastAsia="en-GB"/>
        </w:rPr>
        <w:t xml:space="preserve"> KG ir k</w:t>
      </w:r>
      <w:r w:rsidR="006165A0" w:rsidRPr="0053226E">
        <w:rPr>
          <w:rFonts w:ascii="Times New Roman" w:hAnsi="Times New Roman"/>
          <w:i/>
          <w:iCs/>
          <w:sz w:val="24"/>
          <w:szCs w:val="24"/>
          <w:lang w:eastAsia="en-GB"/>
        </w:rPr>
        <w:t>t.</w:t>
      </w:r>
      <w:r w:rsidRPr="0053226E">
        <w:rPr>
          <w:rFonts w:ascii="Times New Roman" w:hAnsi="Times New Roman"/>
          <w:i/>
          <w:iCs/>
          <w:sz w:val="24"/>
          <w:szCs w:val="24"/>
          <w:lang w:eastAsia="en-GB"/>
        </w:rPr>
        <w:t xml:space="preserve"> </w:t>
      </w:r>
      <w:r w:rsidR="00621339" w:rsidRPr="0053226E">
        <w:rPr>
          <w:rFonts w:ascii="Times New Roman" w:hAnsi="Times New Roman"/>
          <w:i/>
          <w:iCs/>
          <w:sz w:val="24"/>
          <w:szCs w:val="24"/>
          <w:lang w:eastAsia="en-GB"/>
        </w:rPr>
        <w:t>prieš</w:t>
      </w:r>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Swingward</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Ltd</w:t>
      </w:r>
      <w:proofErr w:type="spellEnd"/>
      <w:r w:rsidRPr="0053226E">
        <w:rPr>
          <w:rFonts w:ascii="Times New Roman" w:hAnsi="Times New Roman"/>
          <w:i/>
          <w:iCs/>
          <w:sz w:val="24"/>
          <w:szCs w:val="24"/>
          <w:lang w:eastAsia="en-GB"/>
        </w:rPr>
        <w:t xml:space="preserve"> ir k</w:t>
      </w:r>
      <w:r w:rsidR="006165A0" w:rsidRPr="0053226E">
        <w:rPr>
          <w:rFonts w:ascii="Times New Roman" w:hAnsi="Times New Roman"/>
          <w:i/>
          <w:iCs/>
          <w:sz w:val="24"/>
          <w:szCs w:val="24"/>
          <w:lang w:eastAsia="en-GB"/>
        </w:rPr>
        <w:t>t.</w:t>
      </w:r>
      <w:r w:rsidRPr="0053226E">
        <w:rPr>
          <w:rFonts w:ascii="Times New Roman" w:hAnsi="Times New Roman"/>
          <w:sz w:val="24"/>
          <w:szCs w:val="24"/>
          <w:lang w:eastAsia="en-GB"/>
        </w:rPr>
        <w:t xml:space="preserve"> 37 punktą). S</w:t>
      </w:r>
      <w:r w:rsidR="00576A6A" w:rsidRPr="0053226E">
        <w:rPr>
          <w:rFonts w:ascii="Times New Roman" w:hAnsi="Times New Roman"/>
          <w:sz w:val="24"/>
          <w:szCs w:val="24"/>
          <w:lang w:eastAsia="en-GB"/>
        </w:rPr>
        <w:t>prendžiant dėl prekės ženklo savininko teisės uždrausti prekybą perpakuotomis farmacijos prek</w:t>
      </w:r>
      <w:r w:rsidR="00D256EE" w:rsidRPr="0053226E">
        <w:rPr>
          <w:rFonts w:ascii="Times New Roman" w:hAnsi="Times New Roman"/>
          <w:sz w:val="24"/>
          <w:szCs w:val="24"/>
          <w:lang w:eastAsia="en-GB"/>
        </w:rPr>
        <w:t>ė</w:t>
      </w:r>
      <w:r w:rsidR="00576A6A" w:rsidRPr="0053226E">
        <w:rPr>
          <w:rFonts w:ascii="Times New Roman" w:hAnsi="Times New Roman"/>
          <w:sz w:val="24"/>
          <w:szCs w:val="24"/>
          <w:lang w:eastAsia="en-GB"/>
        </w:rPr>
        <w:t xml:space="preserve">mis, </w:t>
      </w:r>
      <w:r w:rsidR="00FA7989" w:rsidRPr="0053226E">
        <w:rPr>
          <w:rFonts w:ascii="Times New Roman" w:hAnsi="Times New Roman"/>
          <w:sz w:val="24"/>
          <w:szCs w:val="24"/>
          <w:lang w:eastAsia="en-GB"/>
        </w:rPr>
        <w:t>s</w:t>
      </w:r>
      <w:r w:rsidR="00AE62B9" w:rsidRPr="0053226E">
        <w:rPr>
          <w:rFonts w:ascii="Times New Roman" w:hAnsi="Times New Roman"/>
          <w:sz w:val="24"/>
          <w:szCs w:val="24"/>
          <w:lang w:eastAsia="en-GB"/>
        </w:rPr>
        <w:t xml:space="preserve">varbu atsakyti į klausimą, ar byloje susiklosčiusios aplinkybės vertintinos kaip objektyvi būtinybė perpakuoti vaistinį preparatą (ar tai tik subjektyvus atsakovės interesas), o ne tik siekis pasinaudoti kito ieškovės vaistinio preparato žinomumu ir reputacija (žr., pvz., </w:t>
      </w:r>
      <w:proofErr w:type="spellStart"/>
      <w:r w:rsidR="00AE62B9" w:rsidRPr="0053226E">
        <w:rPr>
          <w:rFonts w:ascii="Times New Roman" w:hAnsi="Times New Roman"/>
          <w:i/>
          <w:iCs/>
          <w:sz w:val="24"/>
          <w:szCs w:val="24"/>
          <w:lang w:eastAsia="en-GB"/>
        </w:rPr>
        <w:t>mutatis</w:t>
      </w:r>
      <w:proofErr w:type="spellEnd"/>
      <w:r w:rsidR="00AE62B9" w:rsidRPr="0053226E">
        <w:rPr>
          <w:rFonts w:ascii="Times New Roman" w:hAnsi="Times New Roman"/>
          <w:i/>
          <w:iCs/>
          <w:sz w:val="24"/>
          <w:szCs w:val="24"/>
          <w:lang w:eastAsia="en-GB"/>
        </w:rPr>
        <w:t xml:space="preserve"> </w:t>
      </w:r>
      <w:proofErr w:type="spellStart"/>
      <w:r w:rsidR="00AE62B9" w:rsidRPr="0053226E">
        <w:rPr>
          <w:rFonts w:ascii="Times New Roman" w:hAnsi="Times New Roman"/>
          <w:i/>
          <w:iCs/>
          <w:sz w:val="24"/>
          <w:szCs w:val="24"/>
          <w:lang w:eastAsia="en-GB"/>
        </w:rPr>
        <w:t>mutandis</w:t>
      </w:r>
      <w:proofErr w:type="spellEnd"/>
      <w:r w:rsidR="00AE62B9" w:rsidRPr="0053226E">
        <w:rPr>
          <w:rFonts w:ascii="Times New Roman" w:hAnsi="Times New Roman"/>
          <w:sz w:val="24"/>
          <w:szCs w:val="24"/>
          <w:lang w:eastAsia="en-GB"/>
        </w:rPr>
        <w:t xml:space="preserve"> </w:t>
      </w:r>
      <w:r w:rsidR="004144DA" w:rsidRPr="0053226E">
        <w:rPr>
          <w:rFonts w:ascii="Times New Roman" w:hAnsi="Times New Roman"/>
          <w:sz w:val="24"/>
          <w:szCs w:val="24"/>
          <w:lang w:eastAsia="en-GB"/>
        </w:rPr>
        <w:t xml:space="preserve">(su būtinais pakeitimais) </w:t>
      </w:r>
      <w:r w:rsidR="00AE62B9" w:rsidRPr="0053226E">
        <w:rPr>
          <w:rFonts w:ascii="Times New Roman" w:hAnsi="Times New Roman"/>
          <w:sz w:val="24"/>
          <w:szCs w:val="24"/>
          <w:lang w:eastAsia="en-GB"/>
        </w:rPr>
        <w:t>sprendimo</w:t>
      </w:r>
      <w:r w:rsidR="004144DA" w:rsidRPr="0053226E">
        <w:rPr>
          <w:rFonts w:ascii="Times New Roman" w:hAnsi="Times New Roman"/>
          <w:sz w:val="24"/>
          <w:szCs w:val="24"/>
          <w:lang w:eastAsia="en-GB"/>
        </w:rPr>
        <w:t xml:space="preserve"> byloje</w:t>
      </w:r>
      <w:r w:rsidR="00AE62B9" w:rsidRPr="0053226E">
        <w:rPr>
          <w:rFonts w:ascii="Times New Roman" w:hAnsi="Times New Roman"/>
          <w:sz w:val="24"/>
          <w:szCs w:val="24"/>
          <w:lang w:eastAsia="en-GB"/>
        </w:rPr>
        <w:t xml:space="preserve"> </w:t>
      </w:r>
      <w:proofErr w:type="spellStart"/>
      <w:r w:rsidRPr="0053226E">
        <w:rPr>
          <w:rFonts w:ascii="Times New Roman" w:hAnsi="Times New Roman"/>
          <w:i/>
          <w:iCs/>
          <w:sz w:val="24"/>
          <w:szCs w:val="24"/>
          <w:lang w:eastAsia="en-GB"/>
        </w:rPr>
        <w:t>Impexeco</w:t>
      </w:r>
      <w:proofErr w:type="spellEnd"/>
      <w:r w:rsidRPr="0053226E">
        <w:rPr>
          <w:rFonts w:ascii="Times New Roman" w:hAnsi="Times New Roman"/>
          <w:i/>
          <w:iCs/>
          <w:sz w:val="24"/>
          <w:szCs w:val="24"/>
          <w:lang w:eastAsia="en-GB"/>
        </w:rPr>
        <w:t xml:space="preserve"> NV </w:t>
      </w:r>
      <w:r w:rsidR="00621339" w:rsidRPr="0053226E">
        <w:rPr>
          <w:rFonts w:ascii="Times New Roman" w:hAnsi="Times New Roman"/>
          <w:i/>
          <w:iCs/>
          <w:sz w:val="24"/>
          <w:szCs w:val="24"/>
          <w:lang w:eastAsia="en-GB"/>
        </w:rPr>
        <w:t>prieš</w:t>
      </w:r>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Novartis</w:t>
      </w:r>
      <w:proofErr w:type="spellEnd"/>
      <w:r w:rsidRPr="0053226E">
        <w:rPr>
          <w:rFonts w:ascii="Times New Roman" w:hAnsi="Times New Roman"/>
          <w:i/>
          <w:iCs/>
          <w:sz w:val="24"/>
          <w:szCs w:val="24"/>
          <w:lang w:eastAsia="en-GB"/>
        </w:rPr>
        <w:t xml:space="preserve"> AG ir k</w:t>
      </w:r>
      <w:r w:rsidR="006165A0" w:rsidRPr="0053226E">
        <w:rPr>
          <w:rFonts w:ascii="Times New Roman" w:hAnsi="Times New Roman"/>
          <w:i/>
          <w:iCs/>
          <w:sz w:val="24"/>
          <w:szCs w:val="24"/>
          <w:lang w:eastAsia="en-GB"/>
        </w:rPr>
        <w:t>t.</w:t>
      </w:r>
      <w:r w:rsidRPr="0053226E">
        <w:rPr>
          <w:rFonts w:ascii="Times New Roman" w:hAnsi="Times New Roman"/>
          <w:i/>
          <w:iCs/>
          <w:sz w:val="24"/>
          <w:szCs w:val="24"/>
          <w:lang w:eastAsia="en-GB"/>
        </w:rPr>
        <w:t xml:space="preserve"> </w:t>
      </w:r>
      <w:r w:rsidR="00AE62B9" w:rsidRPr="0053226E">
        <w:rPr>
          <w:rFonts w:ascii="Times New Roman" w:hAnsi="Times New Roman"/>
          <w:sz w:val="24"/>
          <w:szCs w:val="24"/>
          <w:lang w:eastAsia="en-GB"/>
        </w:rPr>
        <w:t>73</w:t>
      </w:r>
      <w:r w:rsidRPr="0053226E">
        <w:rPr>
          <w:rFonts w:ascii="Times New Roman" w:hAnsi="Times New Roman"/>
          <w:sz w:val="24"/>
          <w:szCs w:val="24"/>
          <w:lang w:eastAsia="en-GB"/>
        </w:rPr>
        <w:t> </w:t>
      </w:r>
      <w:r w:rsidR="00AE62B9" w:rsidRPr="0053226E">
        <w:rPr>
          <w:rFonts w:ascii="Times New Roman" w:hAnsi="Times New Roman"/>
          <w:sz w:val="24"/>
          <w:szCs w:val="24"/>
          <w:lang w:eastAsia="en-GB"/>
        </w:rPr>
        <w:t xml:space="preserve">punktą). </w:t>
      </w:r>
    </w:p>
    <w:bookmarkEnd w:id="10"/>
    <w:p w14:paraId="24166255" w14:textId="15689DCB" w:rsidR="0060629C" w:rsidRPr="0053226E" w:rsidRDefault="00A619C3"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Taigi, pagal ESTT jurisprudenciją</w:t>
      </w:r>
      <w:r w:rsidR="00141763" w:rsidRPr="0053226E">
        <w:rPr>
          <w:rFonts w:ascii="Times New Roman" w:hAnsi="Times New Roman"/>
          <w:sz w:val="24"/>
          <w:szCs w:val="24"/>
          <w:lang w:eastAsia="en-GB"/>
        </w:rPr>
        <w:t xml:space="preserve">, dėl prekės ženklo savininko teisės uždrausti prekiauti perpakuotomis farmacijos prekėmis turi būti sprendžiama </w:t>
      </w:r>
      <w:r w:rsidR="00E12477" w:rsidRPr="0053226E">
        <w:rPr>
          <w:rFonts w:ascii="Times New Roman" w:hAnsi="Times New Roman"/>
          <w:sz w:val="24"/>
          <w:szCs w:val="24"/>
          <w:lang w:eastAsia="en-GB"/>
        </w:rPr>
        <w:t>pagal</w:t>
      </w:r>
      <w:r w:rsidR="00141763" w:rsidRPr="0053226E">
        <w:rPr>
          <w:rFonts w:ascii="Times New Roman" w:hAnsi="Times New Roman"/>
          <w:sz w:val="24"/>
          <w:szCs w:val="24"/>
          <w:lang w:eastAsia="en-GB"/>
        </w:rPr>
        <w:t xml:space="preserve"> SESV 36 straipsnio nuostatas</w:t>
      </w:r>
      <w:r w:rsidR="00E12477" w:rsidRPr="0053226E">
        <w:rPr>
          <w:rFonts w:ascii="Times New Roman" w:hAnsi="Times New Roman"/>
          <w:sz w:val="24"/>
          <w:szCs w:val="24"/>
          <w:lang w:eastAsia="en-GB"/>
        </w:rPr>
        <w:t>,</w:t>
      </w:r>
      <w:r w:rsidR="00141763" w:rsidRPr="0053226E">
        <w:rPr>
          <w:rFonts w:ascii="Times New Roman" w:hAnsi="Times New Roman"/>
          <w:sz w:val="24"/>
          <w:szCs w:val="24"/>
          <w:lang w:eastAsia="en-GB"/>
        </w:rPr>
        <w:t xml:space="preserve"> </w:t>
      </w:r>
      <w:r w:rsidR="00E12477" w:rsidRPr="0053226E">
        <w:rPr>
          <w:rFonts w:ascii="Times New Roman" w:hAnsi="Times New Roman"/>
          <w:sz w:val="24"/>
          <w:szCs w:val="24"/>
          <w:lang w:eastAsia="en-GB"/>
        </w:rPr>
        <w:t xml:space="preserve">kaip </w:t>
      </w:r>
      <w:r w:rsidR="003D2E2E" w:rsidRPr="0053226E">
        <w:rPr>
          <w:rFonts w:ascii="Times New Roman" w:hAnsi="Times New Roman"/>
          <w:sz w:val="24"/>
          <w:szCs w:val="24"/>
          <w:lang w:eastAsia="en-GB"/>
        </w:rPr>
        <w:t>dėl išimties</w:t>
      </w:r>
      <w:r w:rsidR="00E12477" w:rsidRPr="0053226E">
        <w:rPr>
          <w:rFonts w:ascii="Times New Roman" w:hAnsi="Times New Roman"/>
          <w:sz w:val="24"/>
          <w:szCs w:val="24"/>
          <w:lang w:eastAsia="en-GB"/>
        </w:rPr>
        <w:t xml:space="preserve"> iš laisvo prekių judėjimo principo</w:t>
      </w:r>
      <w:r w:rsidR="003D2E2E" w:rsidRPr="0053226E">
        <w:rPr>
          <w:rFonts w:ascii="Times New Roman" w:hAnsi="Times New Roman"/>
          <w:sz w:val="24"/>
          <w:szCs w:val="24"/>
          <w:lang w:eastAsia="en-GB"/>
        </w:rPr>
        <w:t>.</w:t>
      </w:r>
      <w:r w:rsidR="00114E25" w:rsidRPr="0053226E">
        <w:rPr>
          <w:rFonts w:ascii="Times New Roman" w:hAnsi="Times New Roman"/>
          <w:sz w:val="24"/>
          <w:szCs w:val="24"/>
          <w:lang w:eastAsia="en-GB"/>
        </w:rPr>
        <w:t xml:space="preserve"> </w:t>
      </w:r>
      <w:r w:rsidR="003D2E2E" w:rsidRPr="0053226E">
        <w:rPr>
          <w:rFonts w:ascii="Times New Roman" w:hAnsi="Times New Roman"/>
          <w:sz w:val="24"/>
          <w:szCs w:val="24"/>
          <w:lang w:eastAsia="en-GB"/>
        </w:rPr>
        <w:t>K</w:t>
      </w:r>
      <w:r w:rsidR="00114E25" w:rsidRPr="0053226E">
        <w:rPr>
          <w:rFonts w:ascii="Times New Roman" w:hAnsi="Times New Roman"/>
          <w:sz w:val="24"/>
          <w:szCs w:val="24"/>
          <w:lang w:eastAsia="en-GB"/>
        </w:rPr>
        <w:t>ad būtų nuspręsta</w:t>
      </w:r>
      <w:r w:rsidR="00D256EE" w:rsidRPr="0053226E">
        <w:rPr>
          <w:rFonts w:ascii="Times New Roman" w:hAnsi="Times New Roman"/>
          <w:sz w:val="24"/>
          <w:szCs w:val="24"/>
          <w:lang w:eastAsia="en-GB"/>
        </w:rPr>
        <w:t xml:space="preserve"> dėl </w:t>
      </w:r>
      <w:r w:rsidR="00114E25" w:rsidRPr="0053226E">
        <w:rPr>
          <w:rFonts w:ascii="Times New Roman" w:hAnsi="Times New Roman"/>
          <w:sz w:val="24"/>
          <w:szCs w:val="24"/>
          <w:lang w:eastAsia="en-GB"/>
        </w:rPr>
        <w:t>prekių ženklo savinink</w:t>
      </w:r>
      <w:r w:rsidR="00D256EE" w:rsidRPr="0053226E">
        <w:rPr>
          <w:rFonts w:ascii="Times New Roman" w:hAnsi="Times New Roman"/>
          <w:sz w:val="24"/>
          <w:szCs w:val="24"/>
          <w:lang w:eastAsia="en-GB"/>
        </w:rPr>
        <w:t xml:space="preserve">o teisės uždrausti </w:t>
      </w:r>
      <w:r w:rsidR="00F04EF8" w:rsidRPr="0053226E">
        <w:rPr>
          <w:rFonts w:ascii="Times New Roman" w:hAnsi="Times New Roman"/>
          <w:sz w:val="24"/>
          <w:szCs w:val="24"/>
          <w:lang w:eastAsia="en-GB"/>
        </w:rPr>
        <w:t>prekiauti perpakuot</w:t>
      </w:r>
      <w:r w:rsidR="00D256EE" w:rsidRPr="0053226E">
        <w:rPr>
          <w:rFonts w:ascii="Times New Roman" w:hAnsi="Times New Roman"/>
          <w:sz w:val="24"/>
          <w:szCs w:val="24"/>
          <w:lang w:eastAsia="en-GB"/>
        </w:rPr>
        <w:t>omis</w:t>
      </w:r>
      <w:r w:rsidR="00F04EF8" w:rsidRPr="0053226E">
        <w:rPr>
          <w:rFonts w:ascii="Times New Roman" w:hAnsi="Times New Roman"/>
          <w:sz w:val="24"/>
          <w:szCs w:val="24"/>
          <w:lang w:eastAsia="en-GB"/>
        </w:rPr>
        <w:t xml:space="preserve"> farmac</w:t>
      </w:r>
      <w:r w:rsidR="00D256EE" w:rsidRPr="0053226E">
        <w:rPr>
          <w:rFonts w:ascii="Times New Roman" w:hAnsi="Times New Roman"/>
          <w:sz w:val="24"/>
          <w:szCs w:val="24"/>
          <w:lang w:eastAsia="en-GB"/>
        </w:rPr>
        <w:t>ijos</w:t>
      </w:r>
      <w:r w:rsidR="00F04EF8" w:rsidRPr="0053226E">
        <w:rPr>
          <w:rFonts w:ascii="Times New Roman" w:hAnsi="Times New Roman"/>
          <w:sz w:val="24"/>
          <w:szCs w:val="24"/>
          <w:lang w:eastAsia="en-GB"/>
        </w:rPr>
        <w:t xml:space="preserve"> </w:t>
      </w:r>
      <w:r w:rsidR="00D256EE" w:rsidRPr="0053226E">
        <w:rPr>
          <w:rFonts w:ascii="Times New Roman" w:hAnsi="Times New Roman"/>
          <w:sz w:val="24"/>
          <w:szCs w:val="24"/>
          <w:lang w:eastAsia="en-GB"/>
        </w:rPr>
        <w:t>prekėmis,</w:t>
      </w:r>
      <w:r w:rsidR="00114E25" w:rsidRPr="0053226E">
        <w:rPr>
          <w:rFonts w:ascii="Times New Roman" w:hAnsi="Times New Roman"/>
          <w:sz w:val="24"/>
          <w:szCs w:val="24"/>
          <w:lang w:eastAsia="en-GB"/>
        </w:rPr>
        <w:t xml:space="preserve"> </w:t>
      </w:r>
      <w:r w:rsidR="00F04EF8" w:rsidRPr="0053226E">
        <w:rPr>
          <w:rFonts w:ascii="Times New Roman" w:hAnsi="Times New Roman"/>
          <w:sz w:val="24"/>
          <w:szCs w:val="24"/>
          <w:lang w:eastAsia="en-GB"/>
        </w:rPr>
        <w:t xml:space="preserve">be kita ko, </w:t>
      </w:r>
      <w:r w:rsidRPr="0053226E">
        <w:rPr>
          <w:rFonts w:ascii="Times New Roman" w:hAnsi="Times New Roman"/>
          <w:sz w:val="24"/>
          <w:szCs w:val="24"/>
          <w:lang w:eastAsia="en-GB"/>
        </w:rPr>
        <w:t xml:space="preserve">turi būti atsakyta į klausimą, ar </w:t>
      </w:r>
      <w:r w:rsidR="00DC050D" w:rsidRPr="0053226E">
        <w:rPr>
          <w:rFonts w:ascii="Times New Roman" w:hAnsi="Times New Roman"/>
          <w:sz w:val="24"/>
          <w:szCs w:val="24"/>
          <w:lang w:eastAsia="en-GB"/>
        </w:rPr>
        <w:t xml:space="preserve">perpakavimas yra objektyviai būtinas, kad </w:t>
      </w:r>
      <w:bookmarkStart w:id="11" w:name="_Hlk200635955"/>
      <w:r w:rsidR="003D2E2E" w:rsidRPr="0053226E">
        <w:rPr>
          <w:rFonts w:ascii="Times New Roman" w:hAnsi="Times New Roman"/>
          <w:sz w:val="24"/>
          <w:szCs w:val="24"/>
          <w:lang w:eastAsia="en-GB"/>
        </w:rPr>
        <w:t>lygiagretus</w:t>
      </w:r>
      <w:r w:rsidR="00DC050D" w:rsidRPr="0053226E">
        <w:rPr>
          <w:rFonts w:ascii="Times New Roman" w:hAnsi="Times New Roman"/>
          <w:sz w:val="24"/>
          <w:szCs w:val="24"/>
          <w:lang w:eastAsia="en-GB"/>
        </w:rPr>
        <w:t xml:space="preserve"> importuotojas </w:t>
      </w:r>
      <w:bookmarkEnd w:id="11"/>
      <w:r w:rsidR="00DC050D" w:rsidRPr="0053226E">
        <w:rPr>
          <w:rFonts w:ascii="Times New Roman" w:hAnsi="Times New Roman"/>
          <w:sz w:val="24"/>
          <w:szCs w:val="24"/>
          <w:lang w:eastAsia="en-GB"/>
        </w:rPr>
        <w:t>galėtų veiksmingai patekti į rinką ir joje prekiauti</w:t>
      </w:r>
      <w:r w:rsidR="003D2E2E" w:rsidRPr="0053226E">
        <w:rPr>
          <w:rFonts w:ascii="Times New Roman" w:hAnsi="Times New Roman"/>
          <w:sz w:val="24"/>
          <w:szCs w:val="24"/>
          <w:lang w:eastAsia="en-GB"/>
        </w:rPr>
        <w:t>.</w:t>
      </w:r>
      <w:r w:rsidRPr="0053226E">
        <w:rPr>
          <w:rFonts w:ascii="Times New Roman" w:hAnsi="Times New Roman"/>
          <w:sz w:val="24"/>
          <w:szCs w:val="24"/>
          <w:lang w:eastAsia="en-GB"/>
        </w:rPr>
        <w:t xml:space="preserve"> </w:t>
      </w:r>
      <w:r w:rsidR="003D2E2E" w:rsidRPr="0053226E">
        <w:rPr>
          <w:rFonts w:ascii="Times New Roman" w:hAnsi="Times New Roman"/>
          <w:sz w:val="24"/>
          <w:szCs w:val="24"/>
          <w:lang w:eastAsia="en-GB"/>
        </w:rPr>
        <w:t>Š</w:t>
      </w:r>
      <w:r w:rsidRPr="0053226E">
        <w:rPr>
          <w:rFonts w:ascii="Times New Roman" w:hAnsi="Times New Roman"/>
          <w:sz w:val="24"/>
          <w:szCs w:val="24"/>
          <w:lang w:eastAsia="en-GB"/>
        </w:rPr>
        <w:t xml:space="preserve">is vertinimas </w:t>
      </w:r>
      <w:r w:rsidR="00DC050D" w:rsidRPr="0053226E">
        <w:rPr>
          <w:rFonts w:ascii="Times New Roman" w:hAnsi="Times New Roman"/>
          <w:sz w:val="24"/>
          <w:szCs w:val="24"/>
          <w:lang w:eastAsia="en-GB"/>
        </w:rPr>
        <w:t>priklauso nuo teisinių ir faktinių aplinkybių, susiklosčiusių importo valstybės nar</w:t>
      </w:r>
      <w:r w:rsidR="00B717AF" w:rsidRPr="0053226E">
        <w:rPr>
          <w:rFonts w:ascii="Times New Roman" w:hAnsi="Times New Roman"/>
          <w:sz w:val="24"/>
          <w:szCs w:val="24"/>
          <w:lang w:eastAsia="en-GB"/>
        </w:rPr>
        <w:t>ė</w:t>
      </w:r>
      <w:r w:rsidR="00DC050D" w:rsidRPr="0053226E">
        <w:rPr>
          <w:rFonts w:ascii="Times New Roman" w:hAnsi="Times New Roman"/>
          <w:sz w:val="24"/>
          <w:szCs w:val="24"/>
          <w:lang w:eastAsia="en-GB"/>
        </w:rPr>
        <w:t>s rinkoje</w:t>
      </w:r>
      <w:r w:rsidR="004144DA" w:rsidRPr="0053226E">
        <w:rPr>
          <w:rFonts w:ascii="Times New Roman" w:hAnsi="Times New Roman"/>
          <w:sz w:val="24"/>
          <w:szCs w:val="24"/>
          <w:lang w:eastAsia="en-GB"/>
        </w:rPr>
        <w:t>,</w:t>
      </w:r>
      <w:r w:rsidR="003D2E2E" w:rsidRPr="0053226E">
        <w:rPr>
          <w:rFonts w:ascii="Times New Roman" w:hAnsi="Times New Roman"/>
          <w:sz w:val="24"/>
          <w:szCs w:val="24"/>
          <w:lang w:eastAsia="en-GB"/>
        </w:rPr>
        <w:t xml:space="preserve"> visumos.</w:t>
      </w:r>
      <w:r w:rsidRPr="0053226E">
        <w:rPr>
          <w:rFonts w:ascii="Times New Roman" w:hAnsi="Times New Roman"/>
          <w:sz w:val="24"/>
          <w:szCs w:val="24"/>
          <w:lang w:eastAsia="en-GB"/>
        </w:rPr>
        <w:t xml:space="preserve"> </w:t>
      </w:r>
      <w:r w:rsidR="003D2E2E" w:rsidRPr="0053226E">
        <w:rPr>
          <w:rFonts w:ascii="Times New Roman" w:hAnsi="Times New Roman"/>
          <w:sz w:val="24"/>
          <w:szCs w:val="24"/>
          <w:lang w:eastAsia="en-GB"/>
        </w:rPr>
        <w:t>O</w:t>
      </w:r>
      <w:r w:rsidRPr="0053226E">
        <w:rPr>
          <w:rFonts w:ascii="Times New Roman" w:hAnsi="Times New Roman"/>
          <w:sz w:val="24"/>
          <w:szCs w:val="24"/>
          <w:lang w:eastAsia="en-GB"/>
        </w:rPr>
        <w:t>bjektyvaus būtinumo aplinkybę turi įrodyti prekiauti perpakuotais produktais siekiantis paralelinis importuotojas</w:t>
      </w:r>
      <w:r w:rsidR="003D2E2E" w:rsidRPr="0053226E">
        <w:rPr>
          <w:rFonts w:ascii="Times New Roman" w:hAnsi="Times New Roman"/>
          <w:sz w:val="24"/>
          <w:szCs w:val="24"/>
          <w:lang w:eastAsia="en-GB"/>
        </w:rPr>
        <w:t>.</w:t>
      </w:r>
      <w:r w:rsidRPr="0053226E">
        <w:rPr>
          <w:rFonts w:ascii="Times New Roman" w:hAnsi="Times New Roman"/>
          <w:sz w:val="24"/>
          <w:szCs w:val="24"/>
          <w:lang w:eastAsia="en-GB"/>
        </w:rPr>
        <w:t xml:space="preserve"> </w:t>
      </w:r>
      <w:r w:rsidR="003D2E2E" w:rsidRPr="0053226E">
        <w:rPr>
          <w:rFonts w:ascii="Times New Roman" w:hAnsi="Times New Roman"/>
          <w:sz w:val="24"/>
          <w:szCs w:val="24"/>
          <w:lang w:eastAsia="en-GB"/>
        </w:rPr>
        <w:t>K</w:t>
      </w:r>
      <w:r w:rsidRPr="0053226E">
        <w:rPr>
          <w:rFonts w:ascii="Times New Roman" w:hAnsi="Times New Roman"/>
          <w:sz w:val="24"/>
          <w:szCs w:val="24"/>
          <w:lang w:eastAsia="en-GB"/>
        </w:rPr>
        <w:t>ai šis perpakavimas yra objektyviai būtinas, prek</w:t>
      </w:r>
      <w:r w:rsidR="003D2E2E" w:rsidRPr="0053226E">
        <w:rPr>
          <w:rFonts w:ascii="Times New Roman" w:hAnsi="Times New Roman"/>
          <w:sz w:val="24"/>
          <w:szCs w:val="24"/>
          <w:lang w:eastAsia="en-GB"/>
        </w:rPr>
        <w:t>ių</w:t>
      </w:r>
      <w:r w:rsidRPr="0053226E">
        <w:rPr>
          <w:rFonts w:ascii="Times New Roman" w:hAnsi="Times New Roman"/>
          <w:sz w:val="24"/>
          <w:szCs w:val="24"/>
          <w:lang w:eastAsia="en-GB"/>
        </w:rPr>
        <w:t xml:space="preserve"> ženklo savininko prieštaravimas</w:t>
      </w:r>
      <w:r w:rsidR="0010762E" w:rsidRPr="0053226E">
        <w:rPr>
          <w:rFonts w:ascii="Times New Roman" w:hAnsi="Times New Roman"/>
          <w:sz w:val="24"/>
          <w:szCs w:val="24"/>
          <w:lang w:eastAsia="en-GB"/>
        </w:rPr>
        <w:t xml:space="preserve"> vertintinas kaip</w:t>
      </w:r>
      <w:r w:rsidR="00D256EE" w:rsidRPr="0053226E">
        <w:rPr>
          <w:rFonts w:ascii="Times New Roman" w:hAnsi="Times New Roman"/>
          <w:sz w:val="24"/>
          <w:szCs w:val="24"/>
          <w:lang w:eastAsia="en-GB"/>
        </w:rPr>
        <w:t xml:space="preserve"> </w:t>
      </w:r>
      <w:r w:rsidR="00621339" w:rsidRPr="0053226E">
        <w:rPr>
          <w:rFonts w:ascii="Times New Roman" w:hAnsi="Times New Roman"/>
          <w:sz w:val="24"/>
          <w:szCs w:val="24"/>
          <w:lang w:eastAsia="en-GB"/>
        </w:rPr>
        <w:t xml:space="preserve">siekis </w:t>
      </w:r>
      <w:r w:rsidR="008E2136" w:rsidRPr="0053226E">
        <w:rPr>
          <w:rFonts w:ascii="Times New Roman" w:hAnsi="Times New Roman"/>
          <w:sz w:val="24"/>
          <w:szCs w:val="24"/>
          <w:lang w:eastAsia="en-GB"/>
        </w:rPr>
        <w:t>dirbtin</w:t>
      </w:r>
      <w:r w:rsidR="00621339" w:rsidRPr="0053226E">
        <w:rPr>
          <w:rFonts w:ascii="Times New Roman" w:hAnsi="Times New Roman"/>
          <w:sz w:val="24"/>
          <w:szCs w:val="24"/>
          <w:lang w:eastAsia="en-GB"/>
        </w:rPr>
        <w:t>ai</w:t>
      </w:r>
      <w:r w:rsidR="008E2136" w:rsidRPr="0053226E">
        <w:rPr>
          <w:rFonts w:ascii="Times New Roman" w:hAnsi="Times New Roman"/>
          <w:sz w:val="24"/>
          <w:szCs w:val="24"/>
          <w:lang w:eastAsia="en-GB"/>
        </w:rPr>
        <w:t xml:space="preserve"> </w:t>
      </w:r>
      <w:r w:rsidR="00621339" w:rsidRPr="0053226E">
        <w:rPr>
          <w:rFonts w:ascii="Times New Roman" w:hAnsi="Times New Roman"/>
          <w:sz w:val="24"/>
          <w:szCs w:val="24"/>
          <w:lang w:eastAsia="en-GB"/>
        </w:rPr>
        <w:t xml:space="preserve">atskirti </w:t>
      </w:r>
      <w:r w:rsidR="008E2136" w:rsidRPr="0053226E">
        <w:rPr>
          <w:rFonts w:ascii="Times New Roman" w:hAnsi="Times New Roman"/>
          <w:sz w:val="24"/>
          <w:szCs w:val="24"/>
          <w:lang w:eastAsia="en-GB"/>
        </w:rPr>
        <w:t>valstybių narių rink</w:t>
      </w:r>
      <w:r w:rsidR="00621339" w:rsidRPr="0053226E">
        <w:rPr>
          <w:rFonts w:ascii="Times New Roman" w:hAnsi="Times New Roman"/>
          <w:sz w:val="24"/>
          <w:szCs w:val="24"/>
          <w:lang w:eastAsia="en-GB"/>
        </w:rPr>
        <w:t>as</w:t>
      </w:r>
      <w:r w:rsidR="00D256EE" w:rsidRPr="0053226E">
        <w:rPr>
          <w:rFonts w:ascii="Times New Roman" w:hAnsi="Times New Roman"/>
          <w:sz w:val="24"/>
          <w:szCs w:val="24"/>
          <w:lang w:eastAsia="en-GB"/>
        </w:rPr>
        <w:t>.</w:t>
      </w:r>
    </w:p>
    <w:p w14:paraId="0EBFFF87" w14:textId="77777777" w:rsidR="007621AC" w:rsidRDefault="007621AC" w:rsidP="007621AC">
      <w:pPr>
        <w:tabs>
          <w:tab w:val="left" w:pos="993"/>
        </w:tabs>
        <w:snapToGrid w:val="0"/>
        <w:spacing w:after="120"/>
        <w:jc w:val="both"/>
        <w:rPr>
          <w:lang w:eastAsia="en-GB"/>
        </w:rPr>
      </w:pPr>
    </w:p>
    <w:p w14:paraId="370E986C" w14:textId="46048EBB" w:rsidR="007621AC" w:rsidRPr="0053226E" w:rsidRDefault="007621AC" w:rsidP="007621AC">
      <w:pPr>
        <w:pStyle w:val="ListParagraph"/>
        <w:spacing w:line="240" w:lineRule="auto"/>
        <w:ind w:left="0" w:firstLine="709"/>
        <w:jc w:val="both"/>
        <w:rPr>
          <w:rFonts w:ascii="Times New Roman" w:hAnsi="Times New Roman"/>
          <w:i/>
          <w:sz w:val="24"/>
          <w:szCs w:val="24"/>
        </w:rPr>
      </w:pPr>
      <w:r w:rsidRPr="0053226E">
        <w:rPr>
          <w:rFonts w:ascii="Times New Roman" w:hAnsi="Times New Roman"/>
          <w:i/>
          <w:sz w:val="24"/>
          <w:szCs w:val="24"/>
        </w:rPr>
        <w:t>Dėl SESV 102 straipsnio netaikymo vertinant</w:t>
      </w:r>
      <w:r w:rsidRPr="0053226E">
        <w:rPr>
          <w:rFonts w:ascii="Times New Roman" w:hAnsi="Times New Roman"/>
          <w:i/>
          <w:iCs/>
          <w:lang w:eastAsia="en-GB"/>
        </w:rPr>
        <w:t xml:space="preserve">, ar prekių ženklo savininko </w:t>
      </w:r>
      <w:r w:rsidRPr="0053226E">
        <w:rPr>
          <w:rFonts w:ascii="Times New Roman" w:hAnsi="Times New Roman"/>
          <w:i/>
          <w:iCs/>
        </w:rPr>
        <w:t>draudimas perpakuoti farmacijos prekę prisideda prie dirbtinio valstybių narių rinkų atskyrimo</w:t>
      </w:r>
    </w:p>
    <w:p w14:paraId="076133D8" w14:textId="77777777" w:rsidR="007621AC" w:rsidRPr="0053226E" w:rsidRDefault="007621AC" w:rsidP="007621AC">
      <w:pPr>
        <w:tabs>
          <w:tab w:val="left" w:pos="993"/>
        </w:tabs>
        <w:snapToGrid w:val="0"/>
        <w:spacing w:after="120"/>
        <w:jc w:val="both"/>
        <w:rPr>
          <w:lang w:eastAsia="en-GB"/>
        </w:rPr>
      </w:pPr>
    </w:p>
    <w:p w14:paraId="7DFDB8B8" w14:textId="646390FB" w:rsidR="009918A4" w:rsidRPr="0053226E" w:rsidRDefault="00BC7D17"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Atsižvelgdama į aptartą ESTT jurisprudenciją </w:t>
      </w:r>
      <w:r w:rsidR="00621339" w:rsidRPr="0053226E">
        <w:rPr>
          <w:rFonts w:ascii="Times New Roman" w:hAnsi="Times New Roman"/>
          <w:sz w:val="24"/>
          <w:szCs w:val="24"/>
          <w:lang w:eastAsia="en-GB"/>
        </w:rPr>
        <w:t>vertinant</w:t>
      </w:r>
      <w:r w:rsidRPr="0053226E">
        <w:rPr>
          <w:rFonts w:ascii="Times New Roman" w:hAnsi="Times New Roman"/>
          <w:sz w:val="24"/>
          <w:szCs w:val="24"/>
          <w:lang w:eastAsia="en-GB"/>
        </w:rPr>
        <w:t xml:space="preserve"> lygiagrečiai importuojamų farmacijos prekių perpakavimo būtinum</w:t>
      </w:r>
      <w:r w:rsidR="00621339" w:rsidRPr="0053226E">
        <w:rPr>
          <w:rFonts w:ascii="Times New Roman" w:hAnsi="Times New Roman"/>
          <w:sz w:val="24"/>
          <w:szCs w:val="24"/>
          <w:lang w:eastAsia="en-GB"/>
        </w:rPr>
        <w:t>ą</w:t>
      </w:r>
      <w:r w:rsidRPr="0053226E">
        <w:rPr>
          <w:rFonts w:ascii="Times New Roman" w:hAnsi="Times New Roman"/>
          <w:sz w:val="24"/>
          <w:szCs w:val="24"/>
          <w:lang w:eastAsia="en-GB"/>
        </w:rPr>
        <w:t>,</w:t>
      </w:r>
      <w:r w:rsidR="00DE54D4" w:rsidRPr="0053226E">
        <w:rPr>
          <w:rFonts w:ascii="Times New Roman" w:hAnsi="Times New Roman"/>
          <w:sz w:val="24"/>
          <w:szCs w:val="24"/>
          <w:lang w:eastAsia="en-GB"/>
        </w:rPr>
        <w:t xml:space="preserve"> teisėjų kolegija konstatuoja, kad atsakovės kasacinio skundo teiginiai dėl konkurencijos teisės piktnaudžiavimo dominuojančia padėtimi instituto (SESV</w:t>
      </w:r>
      <w:r w:rsidR="00172A43" w:rsidRPr="0053226E">
        <w:rPr>
          <w:rFonts w:ascii="Times New Roman" w:hAnsi="Times New Roman"/>
          <w:sz w:val="24"/>
          <w:szCs w:val="24"/>
          <w:lang w:eastAsia="en-GB"/>
        </w:rPr>
        <w:t xml:space="preserve"> 102</w:t>
      </w:r>
      <w:r w:rsidR="003D2E2E" w:rsidRPr="0053226E">
        <w:rPr>
          <w:rFonts w:ascii="Times New Roman" w:hAnsi="Times New Roman"/>
          <w:sz w:val="24"/>
          <w:szCs w:val="24"/>
          <w:lang w:eastAsia="en-GB"/>
        </w:rPr>
        <w:t> </w:t>
      </w:r>
      <w:r w:rsidR="00172A43" w:rsidRPr="0053226E">
        <w:rPr>
          <w:rFonts w:ascii="Times New Roman" w:hAnsi="Times New Roman"/>
          <w:sz w:val="24"/>
          <w:szCs w:val="24"/>
          <w:lang w:eastAsia="en-GB"/>
        </w:rPr>
        <w:t>straipsnio</w:t>
      </w:r>
      <w:r w:rsidR="00913047" w:rsidRPr="0053226E">
        <w:rPr>
          <w:rFonts w:ascii="Times New Roman" w:hAnsi="Times New Roman"/>
          <w:sz w:val="24"/>
          <w:szCs w:val="24"/>
          <w:lang w:eastAsia="en-GB"/>
        </w:rPr>
        <w:t>)</w:t>
      </w:r>
      <w:r w:rsidR="00172A43" w:rsidRPr="0053226E">
        <w:rPr>
          <w:rFonts w:ascii="Times New Roman" w:hAnsi="Times New Roman"/>
          <w:sz w:val="24"/>
          <w:szCs w:val="24"/>
          <w:lang w:eastAsia="en-GB"/>
        </w:rPr>
        <w:t xml:space="preserve"> </w:t>
      </w:r>
      <w:r w:rsidR="00DE54D4" w:rsidRPr="0053226E">
        <w:rPr>
          <w:rFonts w:ascii="Times New Roman" w:hAnsi="Times New Roman"/>
          <w:sz w:val="24"/>
          <w:szCs w:val="24"/>
          <w:lang w:eastAsia="en-GB"/>
        </w:rPr>
        <w:t>taikymo nagrinėjam</w:t>
      </w:r>
      <w:r w:rsidR="00913047" w:rsidRPr="0053226E">
        <w:rPr>
          <w:rFonts w:ascii="Times New Roman" w:hAnsi="Times New Roman"/>
          <w:sz w:val="24"/>
          <w:szCs w:val="24"/>
          <w:lang w:eastAsia="en-GB"/>
        </w:rPr>
        <w:t xml:space="preserve">oje byloje </w:t>
      </w:r>
      <w:r w:rsidR="00DE54D4" w:rsidRPr="0053226E">
        <w:rPr>
          <w:rFonts w:ascii="Times New Roman" w:hAnsi="Times New Roman"/>
          <w:sz w:val="24"/>
          <w:szCs w:val="24"/>
          <w:lang w:eastAsia="en-GB"/>
        </w:rPr>
        <w:t>yra nepagrįsti</w:t>
      </w:r>
      <w:r w:rsidRPr="0053226E">
        <w:rPr>
          <w:rFonts w:ascii="Times New Roman" w:hAnsi="Times New Roman"/>
          <w:sz w:val="24"/>
          <w:szCs w:val="24"/>
          <w:lang w:eastAsia="en-GB"/>
        </w:rPr>
        <w:t xml:space="preserve"> dėl toliau išdėst</w:t>
      </w:r>
      <w:r w:rsidR="00621339" w:rsidRPr="0053226E">
        <w:rPr>
          <w:rFonts w:ascii="Times New Roman" w:hAnsi="Times New Roman"/>
          <w:sz w:val="24"/>
          <w:szCs w:val="24"/>
          <w:lang w:eastAsia="en-GB"/>
        </w:rPr>
        <w:t>omų</w:t>
      </w:r>
      <w:r w:rsidRPr="0053226E">
        <w:rPr>
          <w:rFonts w:ascii="Times New Roman" w:hAnsi="Times New Roman"/>
          <w:sz w:val="24"/>
          <w:szCs w:val="24"/>
          <w:lang w:eastAsia="en-GB"/>
        </w:rPr>
        <w:t xml:space="preserve"> argumentų</w:t>
      </w:r>
      <w:r w:rsidR="00DE54D4" w:rsidRPr="0053226E">
        <w:rPr>
          <w:rFonts w:ascii="Times New Roman" w:hAnsi="Times New Roman"/>
          <w:sz w:val="24"/>
          <w:szCs w:val="24"/>
          <w:lang w:eastAsia="en-GB"/>
        </w:rPr>
        <w:t>.</w:t>
      </w:r>
    </w:p>
    <w:p w14:paraId="3017A1E0" w14:textId="12AA61F8" w:rsidR="007E4F48" w:rsidRPr="0053226E" w:rsidRDefault="00F72065"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P</w:t>
      </w:r>
      <w:r w:rsidR="00967BB6" w:rsidRPr="0053226E">
        <w:rPr>
          <w:rFonts w:ascii="Times New Roman" w:hAnsi="Times New Roman"/>
          <w:sz w:val="24"/>
          <w:szCs w:val="24"/>
          <w:lang w:eastAsia="en-GB"/>
        </w:rPr>
        <w:t>irma, t</w:t>
      </w:r>
      <w:r w:rsidR="009918A4" w:rsidRPr="0053226E">
        <w:rPr>
          <w:rFonts w:ascii="Times New Roman" w:hAnsi="Times New Roman"/>
          <w:sz w:val="24"/>
          <w:szCs w:val="24"/>
          <w:lang w:eastAsia="en-GB"/>
        </w:rPr>
        <w:t>eisėjų kolegijos vertinimu, ESTT jurisprudencija dėl prek</w:t>
      </w:r>
      <w:r w:rsidR="004144DA" w:rsidRPr="0053226E">
        <w:rPr>
          <w:rFonts w:ascii="Times New Roman" w:hAnsi="Times New Roman"/>
          <w:sz w:val="24"/>
          <w:szCs w:val="24"/>
          <w:lang w:eastAsia="en-GB"/>
        </w:rPr>
        <w:t>ių</w:t>
      </w:r>
      <w:r w:rsidR="009918A4" w:rsidRPr="0053226E">
        <w:rPr>
          <w:rFonts w:ascii="Times New Roman" w:hAnsi="Times New Roman"/>
          <w:sz w:val="24"/>
          <w:szCs w:val="24"/>
          <w:lang w:eastAsia="en-GB"/>
        </w:rPr>
        <w:t xml:space="preserve"> ženklo savininko teisės uždrausti prekiauti perpakuotomis farmacijos prekėmis yra nuosekliai išplėtota ir nesuteikia pagrindo prielaidai </w:t>
      </w:r>
      <w:r w:rsidR="00621339" w:rsidRPr="0053226E">
        <w:rPr>
          <w:rFonts w:ascii="Times New Roman" w:hAnsi="Times New Roman"/>
          <w:sz w:val="24"/>
          <w:szCs w:val="24"/>
          <w:lang w:eastAsia="en-GB"/>
        </w:rPr>
        <w:t>taikyti</w:t>
      </w:r>
      <w:r w:rsidR="009918A4" w:rsidRPr="0053226E">
        <w:rPr>
          <w:rFonts w:ascii="Times New Roman" w:hAnsi="Times New Roman"/>
          <w:sz w:val="24"/>
          <w:szCs w:val="24"/>
          <w:lang w:eastAsia="en-GB"/>
        </w:rPr>
        <w:t xml:space="preserve"> </w:t>
      </w:r>
      <w:r w:rsidR="00DD77E9" w:rsidRPr="0053226E">
        <w:rPr>
          <w:rFonts w:ascii="Times New Roman" w:hAnsi="Times New Roman"/>
          <w:sz w:val="24"/>
          <w:szCs w:val="24"/>
          <w:lang w:eastAsia="en-GB"/>
        </w:rPr>
        <w:t>p</w:t>
      </w:r>
      <w:r w:rsidR="009918A4" w:rsidRPr="0053226E">
        <w:rPr>
          <w:rFonts w:ascii="Times New Roman" w:hAnsi="Times New Roman"/>
          <w:sz w:val="24"/>
          <w:szCs w:val="24"/>
          <w:lang w:eastAsia="en-GB"/>
        </w:rPr>
        <w:t>iktnaudžiavimo dominuojančia padėtimi nuostat</w:t>
      </w:r>
      <w:r w:rsidR="00621339" w:rsidRPr="0053226E">
        <w:rPr>
          <w:rFonts w:ascii="Times New Roman" w:hAnsi="Times New Roman"/>
          <w:sz w:val="24"/>
          <w:szCs w:val="24"/>
          <w:lang w:eastAsia="en-GB"/>
        </w:rPr>
        <w:t>as,</w:t>
      </w:r>
      <w:r w:rsidR="009918A4" w:rsidRPr="0053226E">
        <w:rPr>
          <w:rFonts w:ascii="Times New Roman" w:hAnsi="Times New Roman"/>
          <w:sz w:val="24"/>
          <w:szCs w:val="24"/>
          <w:lang w:eastAsia="en-GB"/>
        </w:rPr>
        <w:t xml:space="preserve"> sprendžiant </w:t>
      </w:r>
      <w:r w:rsidR="00DD77E9" w:rsidRPr="0053226E">
        <w:rPr>
          <w:rFonts w:ascii="Times New Roman" w:hAnsi="Times New Roman"/>
          <w:sz w:val="24"/>
          <w:szCs w:val="24"/>
          <w:lang w:eastAsia="en-GB"/>
        </w:rPr>
        <w:t>prekių ženklų teisės reglamentuojamą ginčą</w:t>
      </w:r>
      <w:r w:rsidR="009918A4" w:rsidRPr="0053226E">
        <w:rPr>
          <w:rFonts w:ascii="Times New Roman" w:hAnsi="Times New Roman"/>
          <w:sz w:val="24"/>
          <w:szCs w:val="24"/>
          <w:lang w:eastAsia="en-GB"/>
        </w:rPr>
        <w:t xml:space="preserve">. </w:t>
      </w:r>
      <w:r w:rsidR="00DD77E9" w:rsidRPr="0053226E">
        <w:rPr>
          <w:rFonts w:ascii="Times New Roman" w:hAnsi="Times New Roman"/>
          <w:sz w:val="24"/>
          <w:szCs w:val="24"/>
          <w:lang w:eastAsia="en-GB"/>
        </w:rPr>
        <w:t xml:space="preserve">Kaip konstatuota ESTT, </w:t>
      </w:r>
      <w:r w:rsidR="0060629C" w:rsidRPr="0053226E">
        <w:rPr>
          <w:rFonts w:ascii="Times New Roman" w:hAnsi="Times New Roman"/>
          <w:sz w:val="24"/>
          <w:szCs w:val="24"/>
          <w:lang w:eastAsia="en-GB"/>
        </w:rPr>
        <w:t>pagrindu</w:t>
      </w:r>
      <w:r w:rsidR="00DD77E9" w:rsidRPr="0053226E">
        <w:rPr>
          <w:rFonts w:ascii="Times New Roman" w:hAnsi="Times New Roman"/>
          <w:sz w:val="24"/>
          <w:szCs w:val="24"/>
          <w:lang w:eastAsia="en-GB"/>
        </w:rPr>
        <w:t xml:space="preserve"> </w:t>
      </w:r>
      <w:r w:rsidR="0060629C" w:rsidRPr="0053226E">
        <w:rPr>
          <w:rFonts w:ascii="Times New Roman" w:hAnsi="Times New Roman"/>
          <w:sz w:val="24"/>
          <w:szCs w:val="24"/>
          <w:lang w:eastAsia="en-GB"/>
        </w:rPr>
        <w:t>nustatyti, ar prekių ženklo savininkas gali</w:t>
      </w:r>
      <w:r w:rsidR="00DD77E9" w:rsidRPr="0053226E">
        <w:rPr>
          <w:rFonts w:ascii="Times New Roman" w:hAnsi="Times New Roman"/>
          <w:sz w:val="24"/>
          <w:szCs w:val="24"/>
          <w:lang w:eastAsia="en-GB"/>
        </w:rPr>
        <w:t xml:space="preserve"> </w:t>
      </w:r>
      <w:r w:rsidR="0060629C" w:rsidRPr="0053226E">
        <w:rPr>
          <w:rFonts w:ascii="Times New Roman" w:hAnsi="Times New Roman"/>
          <w:sz w:val="24"/>
          <w:szCs w:val="24"/>
          <w:lang w:eastAsia="en-GB"/>
        </w:rPr>
        <w:t>prieštarauti prekybai perpakuotais produktais</w:t>
      </w:r>
      <w:r w:rsidR="00DD77E9" w:rsidRPr="0053226E">
        <w:rPr>
          <w:rFonts w:ascii="Times New Roman" w:hAnsi="Times New Roman"/>
          <w:sz w:val="24"/>
          <w:szCs w:val="24"/>
          <w:lang w:eastAsia="en-GB"/>
        </w:rPr>
        <w:t xml:space="preserve">, turi būti laikoma </w:t>
      </w:r>
      <w:r w:rsidR="00BC7D17" w:rsidRPr="0053226E">
        <w:rPr>
          <w:rFonts w:ascii="Times New Roman" w:hAnsi="Times New Roman"/>
          <w:sz w:val="24"/>
          <w:szCs w:val="24"/>
          <w:lang w:eastAsia="en-GB"/>
        </w:rPr>
        <w:t>ESTT</w:t>
      </w:r>
      <w:r w:rsidR="00DD77E9" w:rsidRPr="0053226E">
        <w:rPr>
          <w:rFonts w:ascii="Times New Roman" w:hAnsi="Times New Roman"/>
          <w:sz w:val="24"/>
          <w:szCs w:val="24"/>
          <w:lang w:eastAsia="en-GB"/>
        </w:rPr>
        <w:t xml:space="preserve"> praktika dėl </w:t>
      </w:r>
      <w:r w:rsidR="00BC7D17" w:rsidRPr="0053226E">
        <w:rPr>
          <w:rFonts w:ascii="Times New Roman" w:hAnsi="Times New Roman"/>
          <w:sz w:val="24"/>
          <w:szCs w:val="24"/>
          <w:lang w:eastAsia="en-GB"/>
        </w:rPr>
        <w:t>SESV</w:t>
      </w:r>
      <w:r w:rsidR="00DD77E9" w:rsidRPr="0053226E">
        <w:rPr>
          <w:rFonts w:ascii="Times New Roman" w:hAnsi="Times New Roman"/>
          <w:sz w:val="24"/>
          <w:szCs w:val="24"/>
          <w:lang w:eastAsia="en-GB"/>
        </w:rPr>
        <w:t xml:space="preserve"> 36</w:t>
      </w:r>
      <w:r w:rsidR="00BC7D17" w:rsidRPr="0053226E">
        <w:rPr>
          <w:rFonts w:ascii="Times New Roman" w:hAnsi="Times New Roman"/>
          <w:sz w:val="24"/>
          <w:szCs w:val="24"/>
          <w:lang w:eastAsia="en-GB"/>
        </w:rPr>
        <w:t> </w:t>
      </w:r>
      <w:r w:rsidR="00DD77E9" w:rsidRPr="0053226E">
        <w:rPr>
          <w:rFonts w:ascii="Times New Roman" w:hAnsi="Times New Roman"/>
          <w:sz w:val="24"/>
          <w:szCs w:val="24"/>
          <w:lang w:eastAsia="en-GB"/>
        </w:rPr>
        <w:t xml:space="preserve">straipsnio </w:t>
      </w:r>
      <w:r w:rsidR="0060629C" w:rsidRPr="0053226E">
        <w:rPr>
          <w:rFonts w:ascii="Times New Roman" w:hAnsi="Times New Roman"/>
          <w:sz w:val="24"/>
          <w:szCs w:val="24"/>
          <w:lang w:eastAsia="en-GB"/>
        </w:rPr>
        <w:t>(</w:t>
      </w:r>
      <w:r w:rsidR="004144DA" w:rsidRPr="0053226E">
        <w:rPr>
          <w:rFonts w:ascii="Times New Roman" w:hAnsi="Times New Roman"/>
          <w:sz w:val="24"/>
          <w:szCs w:val="24"/>
          <w:lang w:eastAsia="en-GB"/>
        </w:rPr>
        <w:t xml:space="preserve">sprendimas byloje </w:t>
      </w:r>
      <w:proofErr w:type="spellStart"/>
      <w:r w:rsidR="00902570" w:rsidRPr="0053226E">
        <w:rPr>
          <w:rFonts w:ascii="Times New Roman" w:hAnsi="Times New Roman"/>
          <w:i/>
          <w:iCs/>
          <w:sz w:val="24"/>
          <w:szCs w:val="24"/>
          <w:lang w:eastAsia="en-GB"/>
        </w:rPr>
        <w:t>Bristol-Myers</w:t>
      </w:r>
      <w:proofErr w:type="spellEnd"/>
      <w:r w:rsidR="00902570" w:rsidRPr="0053226E">
        <w:rPr>
          <w:rFonts w:ascii="Times New Roman" w:hAnsi="Times New Roman"/>
          <w:i/>
          <w:iCs/>
          <w:sz w:val="24"/>
          <w:szCs w:val="24"/>
          <w:lang w:eastAsia="en-GB"/>
        </w:rPr>
        <w:t xml:space="preserve"> </w:t>
      </w:r>
      <w:proofErr w:type="spellStart"/>
      <w:r w:rsidR="00902570" w:rsidRPr="0053226E">
        <w:rPr>
          <w:rFonts w:ascii="Times New Roman" w:hAnsi="Times New Roman"/>
          <w:i/>
          <w:iCs/>
          <w:sz w:val="24"/>
          <w:szCs w:val="24"/>
          <w:lang w:eastAsia="en-GB"/>
        </w:rPr>
        <w:t>Squibb</w:t>
      </w:r>
      <w:proofErr w:type="spellEnd"/>
      <w:r w:rsidR="00AA0C3B" w:rsidRPr="0053226E">
        <w:rPr>
          <w:rFonts w:ascii="Times New Roman" w:hAnsi="Times New Roman"/>
          <w:i/>
          <w:iCs/>
          <w:sz w:val="24"/>
          <w:szCs w:val="24"/>
          <w:lang w:eastAsia="en-GB"/>
        </w:rPr>
        <w:t xml:space="preserve"> ir kt.</w:t>
      </w:r>
      <w:r w:rsidR="00902570" w:rsidRPr="0053226E">
        <w:rPr>
          <w:rFonts w:ascii="Times New Roman" w:hAnsi="Times New Roman"/>
          <w:sz w:val="24"/>
          <w:szCs w:val="24"/>
          <w:lang w:eastAsia="en-GB"/>
        </w:rPr>
        <w:t>,</w:t>
      </w:r>
      <w:r w:rsidR="0060629C" w:rsidRPr="0053226E">
        <w:rPr>
          <w:rFonts w:ascii="Times New Roman" w:hAnsi="Times New Roman"/>
          <w:sz w:val="24"/>
          <w:szCs w:val="24"/>
          <w:lang w:eastAsia="en-GB"/>
        </w:rPr>
        <w:t xml:space="preserve"> 4</w:t>
      </w:r>
      <w:r w:rsidR="00BC7D17" w:rsidRPr="0053226E">
        <w:rPr>
          <w:rFonts w:ascii="Times New Roman" w:hAnsi="Times New Roman"/>
          <w:sz w:val="24"/>
          <w:szCs w:val="24"/>
          <w:lang w:eastAsia="en-GB"/>
        </w:rPr>
        <w:t>1</w:t>
      </w:r>
      <w:r w:rsidR="0060629C" w:rsidRPr="0053226E">
        <w:rPr>
          <w:rFonts w:ascii="Times New Roman" w:hAnsi="Times New Roman"/>
          <w:sz w:val="24"/>
          <w:szCs w:val="24"/>
          <w:lang w:eastAsia="en-GB"/>
        </w:rPr>
        <w:t xml:space="preserve"> p</w:t>
      </w:r>
      <w:r w:rsidR="00BC7D17" w:rsidRPr="0053226E">
        <w:rPr>
          <w:rFonts w:ascii="Times New Roman" w:hAnsi="Times New Roman"/>
          <w:sz w:val="24"/>
          <w:szCs w:val="24"/>
          <w:lang w:eastAsia="en-GB"/>
        </w:rPr>
        <w:t>unktas</w:t>
      </w:r>
      <w:r w:rsidR="0060629C" w:rsidRPr="0053226E">
        <w:rPr>
          <w:rFonts w:ascii="Times New Roman" w:hAnsi="Times New Roman"/>
          <w:sz w:val="24"/>
          <w:szCs w:val="24"/>
          <w:lang w:eastAsia="en-GB"/>
        </w:rPr>
        <w:t>).</w:t>
      </w:r>
    </w:p>
    <w:p w14:paraId="411A1BA7" w14:textId="71087506" w:rsidR="00B37D74" w:rsidRPr="0053226E" w:rsidRDefault="007377CE"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Be to, intelektinės nuosavybės</w:t>
      </w:r>
      <w:r w:rsidR="00B37D74" w:rsidRPr="0053226E">
        <w:rPr>
          <w:rFonts w:ascii="Times New Roman" w:hAnsi="Times New Roman"/>
          <w:sz w:val="24"/>
          <w:szCs w:val="24"/>
          <w:lang w:eastAsia="en-GB"/>
        </w:rPr>
        <w:t xml:space="preserve"> teisė </w:t>
      </w:r>
      <w:r w:rsidR="00E44BE5" w:rsidRPr="0053226E">
        <w:rPr>
          <w:rFonts w:ascii="Times New Roman" w:hAnsi="Times New Roman"/>
          <w:sz w:val="24"/>
          <w:szCs w:val="24"/>
          <w:lang w:eastAsia="en-GB"/>
        </w:rPr>
        <w:t>ir konkurencijos teisė nėra absoliučiai autonomiškos ES teisės sritys</w:t>
      </w:r>
      <w:r w:rsidR="00BC7D17" w:rsidRPr="0053226E">
        <w:rPr>
          <w:rFonts w:ascii="Times New Roman" w:hAnsi="Times New Roman"/>
          <w:sz w:val="24"/>
          <w:szCs w:val="24"/>
          <w:lang w:eastAsia="en-GB"/>
        </w:rPr>
        <w:t>.</w:t>
      </w:r>
      <w:r w:rsidR="00990521" w:rsidRPr="0053226E">
        <w:rPr>
          <w:rFonts w:ascii="Times New Roman" w:hAnsi="Times New Roman"/>
          <w:sz w:val="24"/>
          <w:szCs w:val="24"/>
          <w:lang w:eastAsia="en-GB"/>
        </w:rPr>
        <w:t xml:space="preserve"> </w:t>
      </w:r>
      <w:r w:rsidR="00BC7D17" w:rsidRPr="0053226E">
        <w:rPr>
          <w:rFonts w:ascii="Times New Roman" w:hAnsi="Times New Roman"/>
          <w:sz w:val="24"/>
          <w:szCs w:val="24"/>
          <w:lang w:eastAsia="en-GB"/>
        </w:rPr>
        <w:t>N</w:t>
      </w:r>
      <w:r w:rsidR="00990521" w:rsidRPr="0053226E">
        <w:rPr>
          <w:rFonts w:ascii="Times New Roman" w:hAnsi="Times New Roman"/>
          <w:sz w:val="24"/>
          <w:szCs w:val="24"/>
          <w:lang w:eastAsia="en-GB"/>
        </w:rPr>
        <w:t>agrinėjamo ginčo kontekste tai</w:t>
      </w:r>
      <w:r w:rsidR="004144DA" w:rsidRPr="0053226E">
        <w:rPr>
          <w:rFonts w:ascii="Times New Roman" w:hAnsi="Times New Roman"/>
          <w:sz w:val="24"/>
          <w:szCs w:val="24"/>
          <w:lang w:eastAsia="en-GB"/>
        </w:rPr>
        <w:t>,</w:t>
      </w:r>
      <w:r w:rsidR="00990521" w:rsidRPr="0053226E">
        <w:rPr>
          <w:rFonts w:ascii="Times New Roman" w:hAnsi="Times New Roman"/>
          <w:sz w:val="24"/>
          <w:szCs w:val="24"/>
          <w:lang w:eastAsia="en-GB"/>
        </w:rPr>
        <w:t xml:space="preserve"> be kita ko</w:t>
      </w:r>
      <w:r w:rsidR="004144DA" w:rsidRPr="0053226E">
        <w:rPr>
          <w:rFonts w:ascii="Times New Roman" w:hAnsi="Times New Roman"/>
          <w:sz w:val="24"/>
          <w:szCs w:val="24"/>
          <w:lang w:eastAsia="en-GB"/>
        </w:rPr>
        <w:t>,</w:t>
      </w:r>
      <w:r w:rsidR="00990521" w:rsidRPr="0053226E">
        <w:rPr>
          <w:rFonts w:ascii="Times New Roman" w:hAnsi="Times New Roman"/>
          <w:sz w:val="24"/>
          <w:szCs w:val="24"/>
          <w:lang w:eastAsia="en-GB"/>
        </w:rPr>
        <w:t xml:space="preserve"> reiškia, kad prekių ženklo savininko teisė uždrausti prekybą perpakuotomis farmacijos prekėmis, pripažįstama pagal prekių ženklų teisę, negali būti vertinama kaip pažeidžianti konkurencijos teisę.</w:t>
      </w:r>
      <w:r w:rsidR="00E44BE5" w:rsidRPr="0053226E">
        <w:rPr>
          <w:rFonts w:ascii="Times New Roman" w:hAnsi="Times New Roman"/>
          <w:sz w:val="24"/>
          <w:szCs w:val="24"/>
          <w:lang w:eastAsia="en-GB"/>
        </w:rPr>
        <w:t xml:space="preserve"> </w:t>
      </w:r>
      <w:r w:rsidR="00B37D74" w:rsidRPr="0053226E">
        <w:rPr>
          <w:rFonts w:ascii="Times New Roman" w:hAnsi="Times New Roman"/>
          <w:sz w:val="24"/>
          <w:szCs w:val="24"/>
          <w:lang w:eastAsia="en-GB"/>
        </w:rPr>
        <w:t xml:space="preserve">Išimtinės teisės į intelektinę nuosavybę (prekių ženklus, patentus, dizainą, kt.) savaime sukuria teisių į atitinkamą intelektinės nuosavybės objektą </w:t>
      </w:r>
      <w:r w:rsidR="00BC7D17" w:rsidRPr="0053226E">
        <w:rPr>
          <w:rFonts w:ascii="Times New Roman" w:hAnsi="Times New Roman"/>
          <w:sz w:val="24"/>
          <w:szCs w:val="24"/>
          <w:lang w:eastAsia="en-GB"/>
        </w:rPr>
        <w:t xml:space="preserve">monopolį jų </w:t>
      </w:r>
      <w:r w:rsidR="00B37D74" w:rsidRPr="0053226E">
        <w:rPr>
          <w:rFonts w:ascii="Times New Roman" w:hAnsi="Times New Roman"/>
          <w:sz w:val="24"/>
          <w:szCs w:val="24"/>
          <w:lang w:eastAsia="en-GB"/>
        </w:rPr>
        <w:t>galiojimo laikotarpiui, ir visa intelektinės nuosavybės apsauga suk</w:t>
      </w:r>
      <w:r w:rsidR="004144DA" w:rsidRPr="0053226E">
        <w:rPr>
          <w:rFonts w:ascii="Times New Roman" w:hAnsi="Times New Roman"/>
          <w:sz w:val="24"/>
          <w:szCs w:val="24"/>
          <w:lang w:eastAsia="en-GB"/>
        </w:rPr>
        <w:t>urta</w:t>
      </w:r>
      <w:r w:rsidR="00B37D74" w:rsidRPr="0053226E">
        <w:rPr>
          <w:rFonts w:ascii="Times New Roman" w:hAnsi="Times New Roman"/>
          <w:sz w:val="24"/>
          <w:szCs w:val="24"/>
          <w:lang w:eastAsia="en-GB"/>
        </w:rPr>
        <w:t xml:space="preserve"> taip, kad koreliuotų su konkurencijos teise. Pavyzdžiui, kaip nurodoma ESTT 2012</w:t>
      </w:r>
      <w:r w:rsidR="00F72065" w:rsidRPr="0053226E">
        <w:rPr>
          <w:rFonts w:ascii="Times New Roman" w:hAnsi="Times New Roman"/>
          <w:sz w:val="24"/>
          <w:szCs w:val="24"/>
          <w:lang w:eastAsia="en-GB"/>
        </w:rPr>
        <w:t> </w:t>
      </w:r>
      <w:r w:rsidR="00B37D74" w:rsidRPr="0053226E">
        <w:rPr>
          <w:rFonts w:ascii="Times New Roman" w:hAnsi="Times New Roman"/>
          <w:sz w:val="24"/>
          <w:szCs w:val="24"/>
          <w:lang w:eastAsia="en-GB"/>
        </w:rPr>
        <w:t>m. gruodžio 6 d. sprendim</w:t>
      </w:r>
      <w:r w:rsidR="00F72065" w:rsidRPr="0053226E">
        <w:rPr>
          <w:rFonts w:ascii="Times New Roman" w:hAnsi="Times New Roman"/>
          <w:sz w:val="24"/>
          <w:szCs w:val="24"/>
          <w:lang w:eastAsia="en-GB"/>
        </w:rPr>
        <w:t>o</w:t>
      </w:r>
      <w:r w:rsidR="00621339" w:rsidRPr="0053226E">
        <w:rPr>
          <w:rFonts w:ascii="Times New Roman" w:hAnsi="Times New Roman"/>
          <w:sz w:val="24"/>
          <w:szCs w:val="24"/>
          <w:lang w:eastAsia="en-GB"/>
        </w:rPr>
        <w:t xml:space="preserve"> byloje</w:t>
      </w:r>
      <w:r w:rsidR="00B37D74" w:rsidRPr="0053226E">
        <w:rPr>
          <w:rFonts w:ascii="Times New Roman" w:hAnsi="Times New Roman"/>
          <w:sz w:val="24"/>
          <w:szCs w:val="24"/>
          <w:lang w:eastAsia="en-GB"/>
        </w:rPr>
        <w:t xml:space="preserve"> </w:t>
      </w:r>
      <w:r w:rsidR="00F72065" w:rsidRPr="0053226E">
        <w:rPr>
          <w:rFonts w:ascii="Times New Roman" w:hAnsi="Times New Roman"/>
          <w:i/>
          <w:iCs/>
          <w:sz w:val="24"/>
          <w:szCs w:val="24"/>
          <w:lang w:eastAsia="en-GB"/>
        </w:rPr>
        <w:t>AstraZeneca AB ir k</w:t>
      </w:r>
      <w:r w:rsidR="006165A0" w:rsidRPr="0053226E">
        <w:rPr>
          <w:rFonts w:ascii="Times New Roman" w:hAnsi="Times New Roman"/>
          <w:i/>
          <w:iCs/>
          <w:sz w:val="24"/>
          <w:szCs w:val="24"/>
          <w:lang w:eastAsia="en-GB"/>
        </w:rPr>
        <w:t>t.</w:t>
      </w:r>
      <w:r w:rsidR="00F72065" w:rsidRPr="0053226E">
        <w:rPr>
          <w:rFonts w:ascii="Times New Roman" w:hAnsi="Times New Roman"/>
          <w:i/>
          <w:iCs/>
          <w:sz w:val="24"/>
          <w:szCs w:val="24"/>
          <w:lang w:eastAsia="en-GB"/>
        </w:rPr>
        <w:t xml:space="preserve"> </w:t>
      </w:r>
      <w:r w:rsidR="00621339" w:rsidRPr="0053226E">
        <w:rPr>
          <w:rFonts w:ascii="Times New Roman" w:hAnsi="Times New Roman"/>
          <w:i/>
          <w:iCs/>
          <w:sz w:val="24"/>
          <w:szCs w:val="24"/>
          <w:lang w:eastAsia="en-GB"/>
        </w:rPr>
        <w:t>prieš</w:t>
      </w:r>
      <w:r w:rsidR="00F72065" w:rsidRPr="0053226E">
        <w:rPr>
          <w:rFonts w:ascii="Times New Roman" w:hAnsi="Times New Roman"/>
          <w:i/>
          <w:iCs/>
          <w:sz w:val="24"/>
          <w:szCs w:val="24"/>
          <w:lang w:eastAsia="en-GB"/>
        </w:rPr>
        <w:t xml:space="preserve"> Europos Komisij</w:t>
      </w:r>
      <w:r w:rsidR="00621339" w:rsidRPr="0053226E">
        <w:rPr>
          <w:rFonts w:ascii="Times New Roman" w:hAnsi="Times New Roman"/>
          <w:i/>
          <w:iCs/>
          <w:sz w:val="24"/>
          <w:szCs w:val="24"/>
          <w:lang w:eastAsia="en-GB"/>
        </w:rPr>
        <w:t>ą</w:t>
      </w:r>
      <w:r w:rsidR="00F72065" w:rsidRPr="0053226E">
        <w:rPr>
          <w:rFonts w:ascii="Times New Roman" w:hAnsi="Times New Roman"/>
          <w:i/>
          <w:iCs/>
          <w:sz w:val="24"/>
          <w:szCs w:val="24"/>
          <w:lang w:eastAsia="en-GB"/>
        </w:rPr>
        <w:t xml:space="preserve"> ir k</w:t>
      </w:r>
      <w:r w:rsidR="006165A0" w:rsidRPr="0053226E">
        <w:rPr>
          <w:rFonts w:ascii="Times New Roman" w:hAnsi="Times New Roman"/>
          <w:i/>
          <w:iCs/>
          <w:sz w:val="24"/>
          <w:szCs w:val="24"/>
          <w:lang w:eastAsia="en-GB"/>
        </w:rPr>
        <w:t>t.</w:t>
      </w:r>
      <w:r w:rsidR="00621339" w:rsidRPr="0053226E">
        <w:rPr>
          <w:rFonts w:ascii="Times New Roman" w:hAnsi="Times New Roman"/>
          <w:sz w:val="24"/>
          <w:szCs w:val="24"/>
          <w:lang w:eastAsia="en-GB"/>
        </w:rPr>
        <w:t>,</w:t>
      </w:r>
      <w:r w:rsidR="00B37D74" w:rsidRPr="0053226E">
        <w:rPr>
          <w:rFonts w:ascii="Times New Roman" w:hAnsi="Times New Roman"/>
          <w:sz w:val="24"/>
          <w:szCs w:val="24"/>
          <w:lang w:eastAsia="en-GB"/>
        </w:rPr>
        <w:t xml:space="preserve"> C-457/10</w:t>
      </w:r>
      <w:r w:rsidR="00621339" w:rsidRPr="0053226E">
        <w:rPr>
          <w:rFonts w:ascii="Times New Roman" w:hAnsi="Times New Roman"/>
          <w:sz w:val="24"/>
          <w:szCs w:val="24"/>
          <w:lang w:eastAsia="en-GB"/>
        </w:rPr>
        <w:t> </w:t>
      </w:r>
      <w:r w:rsidR="00B37D74" w:rsidRPr="0053226E">
        <w:rPr>
          <w:rFonts w:ascii="Times New Roman" w:hAnsi="Times New Roman"/>
          <w:sz w:val="24"/>
          <w:szCs w:val="24"/>
          <w:lang w:eastAsia="en-GB"/>
        </w:rPr>
        <w:t>P</w:t>
      </w:r>
      <w:r w:rsidR="00621339" w:rsidRPr="0053226E">
        <w:rPr>
          <w:rFonts w:ascii="Times New Roman" w:hAnsi="Times New Roman"/>
          <w:sz w:val="24"/>
          <w:szCs w:val="24"/>
          <w:lang w:eastAsia="en-GB"/>
        </w:rPr>
        <w:t>,</w:t>
      </w:r>
      <w:r w:rsidR="00B37D74" w:rsidRPr="0053226E">
        <w:rPr>
          <w:rFonts w:ascii="Times New Roman" w:hAnsi="Times New Roman"/>
          <w:sz w:val="24"/>
          <w:szCs w:val="24"/>
          <w:lang w:eastAsia="en-GB"/>
        </w:rPr>
        <w:t xml:space="preserve"> 188 punkt</w:t>
      </w:r>
      <w:r w:rsidR="00F72065" w:rsidRPr="0053226E">
        <w:rPr>
          <w:rFonts w:ascii="Times New Roman" w:hAnsi="Times New Roman"/>
          <w:sz w:val="24"/>
          <w:szCs w:val="24"/>
          <w:lang w:eastAsia="en-GB"/>
        </w:rPr>
        <w:t>e</w:t>
      </w:r>
      <w:r w:rsidR="00B37D74" w:rsidRPr="0053226E">
        <w:rPr>
          <w:rFonts w:ascii="Times New Roman" w:hAnsi="Times New Roman"/>
          <w:sz w:val="24"/>
          <w:szCs w:val="24"/>
          <w:lang w:eastAsia="en-GB"/>
        </w:rPr>
        <w:t>, atsižvelgimas į intelektinės nuosavybės teises siekiant nustatyti dominuojančią padėtį visiškai nereiškia, kad dėl to naujoviškus produktus rinkai pateikiančios įmonės privalo susilaikyti nuo intelektinės nuosavybės teisių viseto įgijimo arba nuo šių teisių įgyvendinimo</w:t>
      </w:r>
      <w:r w:rsidR="00F72065" w:rsidRPr="0053226E">
        <w:rPr>
          <w:rFonts w:ascii="Times New Roman" w:hAnsi="Times New Roman"/>
          <w:sz w:val="24"/>
          <w:szCs w:val="24"/>
          <w:lang w:eastAsia="en-GB"/>
        </w:rPr>
        <w:t>;</w:t>
      </w:r>
      <w:r w:rsidR="00B37D74" w:rsidRPr="0053226E">
        <w:rPr>
          <w:rFonts w:ascii="Times New Roman" w:hAnsi="Times New Roman"/>
          <w:sz w:val="24"/>
          <w:szCs w:val="24"/>
          <w:lang w:eastAsia="en-GB"/>
        </w:rPr>
        <w:t xml:space="preserve"> draudžiama ne </w:t>
      </w:r>
      <w:r w:rsidR="007D5E15" w:rsidRPr="0053226E">
        <w:rPr>
          <w:rFonts w:ascii="Times New Roman" w:hAnsi="Times New Roman"/>
          <w:sz w:val="24"/>
          <w:szCs w:val="24"/>
          <w:lang w:eastAsia="en-GB"/>
        </w:rPr>
        <w:t>tokia</w:t>
      </w:r>
      <w:r w:rsidR="00B37D74" w:rsidRPr="0053226E">
        <w:rPr>
          <w:rFonts w:ascii="Times New Roman" w:hAnsi="Times New Roman"/>
          <w:sz w:val="24"/>
          <w:szCs w:val="24"/>
          <w:lang w:eastAsia="en-GB"/>
        </w:rPr>
        <w:t xml:space="preserve"> padėtis, o tik piktnaudžiavimas ja, ir tokios padėties konstatavimas savaime nereiškia jokio kaltinimo atitinkamai įmonei (šiuo klausimu žr. </w:t>
      </w:r>
      <w:r w:rsidR="004144DA" w:rsidRPr="0053226E">
        <w:rPr>
          <w:rFonts w:ascii="Times New Roman" w:hAnsi="Times New Roman"/>
          <w:sz w:val="24"/>
          <w:szCs w:val="24"/>
          <w:lang w:eastAsia="en-GB"/>
        </w:rPr>
        <w:t xml:space="preserve">ESTT </w:t>
      </w:r>
      <w:r w:rsidR="00B37D74" w:rsidRPr="0053226E">
        <w:rPr>
          <w:rFonts w:ascii="Times New Roman" w:hAnsi="Times New Roman"/>
          <w:sz w:val="24"/>
          <w:szCs w:val="24"/>
          <w:lang w:eastAsia="en-GB"/>
        </w:rPr>
        <w:t xml:space="preserve">2000 m. kovo 16 d. </w:t>
      </w:r>
      <w:r w:rsidR="00F72065" w:rsidRPr="0053226E">
        <w:rPr>
          <w:rFonts w:ascii="Times New Roman" w:hAnsi="Times New Roman"/>
          <w:sz w:val="24"/>
          <w:szCs w:val="24"/>
          <w:lang w:eastAsia="en-GB"/>
        </w:rPr>
        <w:t>s</w:t>
      </w:r>
      <w:r w:rsidR="00B37D74" w:rsidRPr="0053226E">
        <w:rPr>
          <w:rFonts w:ascii="Times New Roman" w:hAnsi="Times New Roman"/>
          <w:sz w:val="24"/>
          <w:szCs w:val="24"/>
          <w:lang w:eastAsia="en-GB"/>
        </w:rPr>
        <w:t xml:space="preserve">prendimo </w:t>
      </w:r>
      <w:proofErr w:type="spellStart"/>
      <w:r w:rsidR="00B37D74" w:rsidRPr="0053226E">
        <w:rPr>
          <w:rFonts w:ascii="Times New Roman" w:hAnsi="Times New Roman"/>
          <w:i/>
          <w:iCs/>
          <w:sz w:val="24"/>
          <w:szCs w:val="24"/>
          <w:lang w:eastAsia="en-GB"/>
        </w:rPr>
        <w:t>Compagnie</w:t>
      </w:r>
      <w:proofErr w:type="spellEnd"/>
      <w:r w:rsidR="00B37D74" w:rsidRPr="0053226E">
        <w:rPr>
          <w:rFonts w:ascii="Times New Roman" w:hAnsi="Times New Roman"/>
          <w:i/>
          <w:iCs/>
          <w:sz w:val="24"/>
          <w:szCs w:val="24"/>
          <w:lang w:eastAsia="en-GB"/>
        </w:rPr>
        <w:t xml:space="preserve"> </w:t>
      </w:r>
      <w:proofErr w:type="spellStart"/>
      <w:r w:rsidR="00B37D74" w:rsidRPr="0053226E">
        <w:rPr>
          <w:rFonts w:ascii="Times New Roman" w:hAnsi="Times New Roman"/>
          <w:i/>
          <w:iCs/>
          <w:sz w:val="24"/>
          <w:szCs w:val="24"/>
          <w:lang w:eastAsia="en-GB"/>
        </w:rPr>
        <w:t>maritime</w:t>
      </w:r>
      <w:proofErr w:type="spellEnd"/>
      <w:r w:rsidR="00B37D74" w:rsidRPr="0053226E">
        <w:rPr>
          <w:rFonts w:ascii="Times New Roman" w:hAnsi="Times New Roman"/>
          <w:i/>
          <w:iCs/>
          <w:sz w:val="24"/>
          <w:szCs w:val="24"/>
          <w:lang w:eastAsia="en-GB"/>
        </w:rPr>
        <w:t xml:space="preserve"> belge </w:t>
      </w:r>
      <w:proofErr w:type="spellStart"/>
      <w:r w:rsidR="00B37D74" w:rsidRPr="0053226E">
        <w:rPr>
          <w:rFonts w:ascii="Times New Roman" w:hAnsi="Times New Roman"/>
          <w:i/>
          <w:iCs/>
          <w:sz w:val="24"/>
          <w:szCs w:val="24"/>
          <w:lang w:eastAsia="en-GB"/>
        </w:rPr>
        <w:t>transports</w:t>
      </w:r>
      <w:proofErr w:type="spellEnd"/>
      <w:r w:rsidR="00B37D74" w:rsidRPr="0053226E">
        <w:rPr>
          <w:rFonts w:ascii="Times New Roman" w:hAnsi="Times New Roman"/>
          <w:i/>
          <w:iCs/>
          <w:sz w:val="24"/>
          <w:szCs w:val="24"/>
          <w:lang w:eastAsia="en-GB"/>
        </w:rPr>
        <w:t xml:space="preserve"> ir kt. </w:t>
      </w:r>
      <w:r w:rsidR="00621339" w:rsidRPr="0053226E">
        <w:rPr>
          <w:rFonts w:ascii="Times New Roman" w:hAnsi="Times New Roman"/>
          <w:i/>
          <w:iCs/>
          <w:sz w:val="24"/>
          <w:szCs w:val="24"/>
          <w:lang w:eastAsia="en-GB"/>
        </w:rPr>
        <w:t>prieš</w:t>
      </w:r>
      <w:r w:rsidR="00F72065" w:rsidRPr="0053226E">
        <w:rPr>
          <w:rFonts w:ascii="Times New Roman" w:hAnsi="Times New Roman"/>
          <w:i/>
          <w:iCs/>
          <w:sz w:val="24"/>
          <w:szCs w:val="24"/>
          <w:lang w:eastAsia="en-GB"/>
        </w:rPr>
        <w:t xml:space="preserve"> Europos</w:t>
      </w:r>
      <w:r w:rsidR="00B37D74" w:rsidRPr="0053226E">
        <w:rPr>
          <w:rFonts w:ascii="Times New Roman" w:hAnsi="Times New Roman"/>
          <w:i/>
          <w:iCs/>
          <w:sz w:val="24"/>
          <w:szCs w:val="24"/>
          <w:lang w:eastAsia="en-GB"/>
        </w:rPr>
        <w:t xml:space="preserve"> Komisij</w:t>
      </w:r>
      <w:r w:rsidR="00621339" w:rsidRPr="0053226E">
        <w:rPr>
          <w:rFonts w:ascii="Times New Roman" w:hAnsi="Times New Roman"/>
          <w:i/>
          <w:iCs/>
          <w:sz w:val="24"/>
          <w:szCs w:val="24"/>
          <w:lang w:eastAsia="en-GB"/>
        </w:rPr>
        <w:t>ą</w:t>
      </w:r>
      <w:r w:rsidR="00B37D74" w:rsidRPr="0053226E">
        <w:rPr>
          <w:rFonts w:ascii="Times New Roman" w:hAnsi="Times New Roman"/>
          <w:sz w:val="24"/>
          <w:szCs w:val="24"/>
          <w:lang w:eastAsia="en-GB"/>
        </w:rPr>
        <w:t>, C</w:t>
      </w:r>
      <w:r w:rsidR="00B37D74" w:rsidRPr="0053226E">
        <w:rPr>
          <w:rFonts w:ascii="Times New Roman" w:hAnsi="Times New Roman"/>
          <w:sz w:val="24"/>
          <w:szCs w:val="24"/>
          <w:lang w:eastAsia="en-GB"/>
        </w:rPr>
        <w:noBreakHyphen/>
        <w:t>395/96 P ir C</w:t>
      </w:r>
      <w:r w:rsidR="00B37D74" w:rsidRPr="0053226E">
        <w:rPr>
          <w:rFonts w:ascii="Times New Roman" w:hAnsi="Times New Roman"/>
          <w:sz w:val="24"/>
          <w:szCs w:val="24"/>
          <w:lang w:eastAsia="en-GB"/>
        </w:rPr>
        <w:noBreakHyphen/>
        <w:t>396/96 P</w:t>
      </w:r>
      <w:r w:rsidR="00621339" w:rsidRPr="0053226E">
        <w:rPr>
          <w:rFonts w:ascii="Times New Roman" w:hAnsi="Times New Roman"/>
          <w:sz w:val="24"/>
          <w:szCs w:val="24"/>
          <w:lang w:eastAsia="en-GB"/>
        </w:rPr>
        <w:t>,</w:t>
      </w:r>
      <w:r w:rsidR="00B37D74" w:rsidRPr="0053226E">
        <w:rPr>
          <w:rFonts w:ascii="Times New Roman" w:hAnsi="Times New Roman"/>
          <w:sz w:val="24"/>
          <w:szCs w:val="24"/>
          <w:lang w:eastAsia="en-GB"/>
        </w:rPr>
        <w:t xml:space="preserve"> 37 punktą).</w:t>
      </w:r>
    </w:p>
    <w:p w14:paraId="595D6737" w14:textId="39D66F90" w:rsidR="00BD0F0B" w:rsidRPr="0053226E" w:rsidRDefault="00F72065" w:rsidP="007621AC">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A</w:t>
      </w:r>
      <w:r w:rsidR="004355ED" w:rsidRPr="0053226E">
        <w:rPr>
          <w:rFonts w:ascii="Times New Roman" w:hAnsi="Times New Roman"/>
          <w:sz w:val="24"/>
          <w:szCs w:val="24"/>
          <w:lang w:eastAsia="en-GB"/>
        </w:rPr>
        <w:t xml:space="preserve">ntra, atsakovė savo atsikirtimų į ieškinį </w:t>
      </w:r>
      <w:r w:rsidRPr="0053226E">
        <w:rPr>
          <w:rFonts w:ascii="Times New Roman" w:hAnsi="Times New Roman"/>
          <w:sz w:val="24"/>
          <w:szCs w:val="24"/>
          <w:lang w:eastAsia="en-GB"/>
        </w:rPr>
        <w:t xml:space="preserve">negrindė </w:t>
      </w:r>
      <w:r w:rsidR="004355ED" w:rsidRPr="0053226E">
        <w:rPr>
          <w:rFonts w:ascii="Times New Roman" w:hAnsi="Times New Roman"/>
          <w:sz w:val="24"/>
          <w:szCs w:val="24"/>
          <w:lang w:eastAsia="en-GB"/>
        </w:rPr>
        <w:t xml:space="preserve">argumentais, </w:t>
      </w:r>
      <w:r w:rsidR="007377CE" w:rsidRPr="0053226E">
        <w:rPr>
          <w:rFonts w:ascii="Times New Roman" w:hAnsi="Times New Roman"/>
          <w:sz w:val="24"/>
          <w:szCs w:val="24"/>
          <w:lang w:eastAsia="en-GB"/>
        </w:rPr>
        <w:t>susij</w:t>
      </w:r>
      <w:r w:rsidR="004355ED" w:rsidRPr="0053226E">
        <w:rPr>
          <w:rFonts w:ascii="Times New Roman" w:hAnsi="Times New Roman"/>
          <w:sz w:val="24"/>
          <w:szCs w:val="24"/>
          <w:lang w:eastAsia="en-GB"/>
        </w:rPr>
        <w:t>usiais</w:t>
      </w:r>
      <w:r w:rsidR="007377CE" w:rsidRPr="0053226E">
        <w:rPr>
          <w:rFonts w:ascii="Times New Roman" w:hAnsi="Times New Roman"/>
          <w:sz w:val="24"/>
          <w:szCs w:val="24"/>
          <w:lang w:eastAsia="en-GB"/>
        </w:rPr>
        <w:t xml:space="preserve"> su SESV 102</w:t>
      </w:r>
      <w:r w:rsidRPr="0053226E">
        <w:rPr>
          <w:rFonts w:ascii="Times New Roman" w:hAnsi="Times New Roman"/>
          <w:sz w:val="24"/>
          <w:szCs w:val="24"/>
          <w:lang w:eastAsia="en-GB"/>
        </w:rPr>
        <w:t> </w:t>
      </w:r>
      <w:r w:rsidR="007377CE" w:rsidRPr="0053226E">
        <w:rPr>
          <w:rFonts w:ascii="Times New Roman" w:hAnsi="Times New Roman"/>
          <w:sz w:val="24"/>
          <w:szCs w:val="24"/>
          <w:lang w:eastAsia="en-GB"/>
        </w:rPr>
        <w:t>straipsnio taikymu</w:t>
      </w:r>
      <w:r w:rsidR="004355ED" w:rsidRPr="0053226E">
        <w:rPr>
          <w:rFonts w:ascii="Times New Roman" w:hAnsi="Times New Roman"/>
          <w:sz w:val="24"/>
          <w:szCs w:val="24"/>
          <w:lang w:eastAsia="en-GB"/>
        </w:rPr>
        <w:t>,</w:t>
      </w:r>
      <w:r w:rsidR="007377CE" w:rsidRPr="0053226E">
        <w:rPr>
          <w:rFonts w:ascii="Times New Roman" w:hAnsi="Times New Roman"/>
          <w:sz w:val="24"/>
          <w:szCs w:val="24"/>
          <w:lang w:eastAsia="en-GB"/>
        </w:rPr>
        <w:t xml:space="preserve"> nei nagrinėjant bylą pirmosios, apeliacinės instancij</w:t>
      </w:r>
      <w:r w:rsidR="004144DA" w:rsidRPr="0053226E">
        <w:rPr>
          <w:rFonts w:ascii="Times New Roman" w:hAnsi="Times New Roman"/>
          <w:sz w:val="24"/>
          <w:szCs w:val="24"/>
          <w:lang w:eastAsia="en-GB"/>
        </w:rPr>
        <w:t>os</w:t>
      </w:r>
      <w:r w:rsidR="007377CE" w:rsidRPr="0053226E">
        <w:rPr>
          <w:rFonts w:ascii="Times New Roman" w:hAnsi="Times New Roman"/>
          <w:sz w:val="24"/>
          <w:szCs w:val="24"/>
          <w:lang w:eastAsia="en-GB"/>
        </w:rPr>
        <w:t xml:space="preserve"> </w:t>
      </w:r>
      <w:r w:rsidRPr="0053226E">
        <w:rPr>
          <w:rFonts w:ascii="Times New Roman" w:hAnsi="Times New Roman"/>
          <w:sz w:val="24"/>
          <w:szCs w:val="24"/>
          <w:lang w:eastAsia="en-GB"/>
        </w:rPr>
        <w:t xml:space="preserve">bei kasaciniame </w:t>
      </w:r>
      <w:r w:rsidR="007377CE" w:rsidRPr="0053226E">
        <w:rPr>
          <w:rFonts w:ascii="Times New Roman" w:hAnsi="Times New Roman"/>
          <w:sz w:val="24"/>
          <w:szCs w:val="24"/>
          <w:lang w:eastAsia="en-GB"/>
        </w:rPr>
        <w:lastRenderedPageBreak/>
        <w:t xml:space="preserve">teismuose pirmą kartą, nei nagrinėjant bylą pirmosios instancijos teisme antrą kartą, o </w:t>
      </w:r>
      <w:r w:rsidR="004355ED" w:rsidRPr="0053226E">
        <w:rPr>
          <w:rFonts w:ascii="Times New Roman" w:hAnsi="Times New Roman"/>
          <w:sz w:val="24"/>
          <w:szCs w:val="24"/>
          <w:lang w:eastAsia="en-GB"/>
        </w:rPr>
        <w:t xml:space="preserve">pirmą kartą </w:t>
      </w:r>
      <w:r w:rsidR="00B11639" w:rsidRPr="0053226E">
        <w:rPr>
          <w:rFonts w:ascii="Times New Roman" w:hAnsi="Times New Roman"/>
          <w:sz w:val="24"/>
          <w:szCs w:val="24"/>
          <w:lang w:eastAsia="en-GB"/>
        </w:rPr>
        <w:t xml:space="preserve">šiuos argumentus </w:t>
      </w:r>
      <w:r w:rsidR="00E551A6" w:rsidRPr="0053226E">
        <w:rPr>
          <w:rFonts w:ascii="Times New Roman" w:hAnsi="Times New Roman"/>
          <w:sz w:val="24"/>
          <w:szCs w:val="24"/>
          <w:lang w:eastAsia="en-GB"/>
        </w:rPr>
        <w:t xml:space="preserve">pateikė </w:t>
      </w:r>
      <w:r w:rsidR="007377CE" w:rsidRPr="0053226E">
        <w:rPr>
          <w:rFonts w:ascii="Times New Roman" w:hAnsi="Times New Roman"/>
          <w:sz w:val="24"/>
          <w:szCs w:val="24"/>
          <w:lang w:eastAsia="en-GB"/>
        </w:rPr>
        <w:t xml:space="preserve">tik bylą nagrinėjant </w:t>
      </w:r>
      <w:r w:rsidR="007D5E15" w:rsidRPr="0053226E">
        <w:rPr>
          <w:rFonts w:ascii="Times New Roman" w:hAnsi="Times New Roman"/>
          <w:sz w:val="24"/>
          <w:szCs w:val="24"/>
          <w:lang w:eastAsia="en-GB"/>
        </w:rPr>
        <w:t xml:space="preserve">antrą kartą </w:t>
      </w:r>
      <w:r w:rsidR="007377CE" w:rsidRPr="0053226E">
        <w:rPr>
          <w:rFonts w:ascii="Times New Roman" w:hAnsi="Times New Roman"/>
          <w:sz w:val="24"/>
          <w:szCs w:val="24"/>
          <w:lang w:eastAsia="en-GB"/>
        </w:rPr>
        <w:t xml:space="preserve">apeliacinės instancijos teisme. </w:t>
      </w:r>
      <w:r w:rsidR="00C22E00" w:rsidRPr="0053226E">
        <w:rPr>
          <w:rFonts w:ascii="Times New Roman" w:hAnsi="Times New Roman"/>
          <w:sz w:val="24"/>
          <w:szCs w:val="24"/>
          <w:lang w:eastAsia="en-GB"/>
        </w:rPr>
        <w:t xml:space="preserve">Pagal civilinio proceso šalių lygiateisiškumo principą </w:t>
      </w:r>
      <w:r w:rsidR="00D200D1" w:rsidRPr="0053226E">
        <w:rPr>
          <w:rFonts w:ascii="Times New Roman" w:hAnsi="Times New Roman"/>
          <w:sz w:val="24"/>
          <w:szCs w:val="24"/>
          <w:lang w:eastAsia="en-GB"/>
        </w:rPr>
        <w:t>(CPK 17</w:t>
      </w:r>
      <w:r w:rsidR="007D5E15" w:rsidRPr="0053226E">
        <w:rPr>
          <w:rFonts w:ascii="Times New Roman" w:hAnsi="Times New Roman"/>
          <w:sz w:val="24"/>
          <w:szCs w:val="24"/>
          <w:lang w:eastAsia="en-GB"/>
        </w:rPr>
        <w:t> </w:t>
      </w:r>
      <w:r w:rsidR="00D200D1" w:rsidRPr="0053226E">
        <w:rPr>
          <w:rFonts w:ascii="Times New Roman" w:hAnsi="Times New Roman"/>
          <w:sz w:val="24"/>
          <w:szCs w:val="24"/>
          <w:lang w:eastAsia="en-GB"/>
        </w:rPr>
        <w:t>straipsnis)</w:t>
      </w:r>
      <w:r w:rsidR="004144DA" w:rsidRPr="0053226E">
        <w:rPr>
          <w:rFonts w:ascii="Times New Roman" w:hAnsi="Times New Roman"/>
          <w:sz w:val="24"/>
          <w:szCs w:val="24"/>
          <w:lang w:eastAsia="en-GB"/>
        </w:rPr>
        <w:t>,</w:t>
      </w:r>
      <w:r w:rsidR="00D200D1" w:rsidRPr="0053226E">
        <w:rPr>
          <w:rFonts w:ascii="Times New Roman" w:hAnsi="Times New Roman"/>
          <w:sz w:val="24"/>
          <w:szCs w:val="24"/>
          <w:lang w:eastAsia="en-GB"/>
        </w:rPr>
        <w:t xml:space="preserve"> atsikirtimų į ieškinį pagrindo, kaip ir ieškinio pagrindo, pakeitimas šioje proceso stadijoje</w:t>
      </w:r>
      <w:r w:rsidR="00D70406" w:rsidRPr="0053226E">
        <w:rPr>
          <w:rFonts w:ascii="Times New Roman" w:hAnsi="Times New Roman"/>
          <w:sz w:val="24"/>
          <w:szCs w:val="24"/>
          <w:lang w:eastAsia="en-GB"/>
        </w:rPr>
        <w:t xml:space="preserve"> prieštarauja CPK reglamentavimui (CPK</w:t>
      </w:r>
      <w:r w:rsidR="007D5E15" w:rsidRPr="0053226E">
        <w:rPr>
          <w:rFonts w:ascii="Times New Roman" w:hAnsi="Times New Roman"/>
          <w:sz w:val="24"/>
          <w:szCs w:val="24"/>
          <w:lang w:eastAsia="en-GB"/>
        </w:rPr>
        <w:t xml:space="preserve"> </w:t>
      </w:r>
      <w:r w:rsidR="00D70406" w:rsidRPr="0053226E">
        <w:rPr>
          <w:rFonts w:ascii="Times New Roman" w:hAnsi="Times New Roman"/>
          <w:sz w:val="24"/>
          <w:szCs w:val="24"/>
          <w:lang w:eastAsia="en-GB"/>
        </w:rPr>
        <w:t>141</w:t>
      </w:r>
      <w:r w:rsidR="007D5E15" w:rsidRPr="0053226E">
        <w:rPr>
          <w:rFonts w:ascii="Times New Roman" w:hAnsi="Times New Roman"/>
          <w:sz w:val="24"/>
          <w:szCs w:val="24"/>
          <w:lang w:eastAsia="en-GB"/>
        </w:rPr>
        <w:t> </w:t>
      </w:r>
      <w:r w:rsidR="00D70406" w:rsidRPr="0053226E">
        <w:rPr>
          <w:rFonts w:ascii="Times New Roman" w:hAnsi="Times New Roman"/>
          <w:sz w:val="24"/>
          <w:szCs w:val="24"/>
          <w:lang w:eastAsia="en-GB"/>
        </w:rPr>
        <w:t>straipsnis).</w:t>
      </w:r>
      <w:r w:rsidR="007621AC" w:rsidRPr="0053226E">
        <w:rPr>
          <w:rFonts w:ascii="Times New Roman" w:hAnsi="Times New Roman"/>
          <w:sz w:val="24"/>
          <w:szCs w:val="24"/>
          <w:lang w:eastAsia="en-GB"/>
        </w:rPr>
        <w:t xml:space="preserve"> Apeliacinis skundas negali būti grindžiamas aplinkybėmis, kurios nebuvo nurodytos pirmosios instancijos teisme (CPK 306 straipsnio 2 dalis).</w:t>
      </w:r>
    </w:p>
    <w:p w14:paraId="47434310" w14:textId="04AE2DF5" w:rsidR="001310D8" w:rsidRPr="0053226E" w:rsidRDefault="00F72065"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i/>
          <w:iCs/>
          <w:sz w:val="24"/>
          <w:szCs w:val="24"/>
        </w:rPr>
      </w:pPr>
      <w:r w:rsidRPr="0053226E">
        <w:rPr>
          <w:rFonts w:ascii="Times New Roman" w:hAnsi="Times New Roman"/>
          <w:sz w:val="24"/>
          <w:szCs w:val="24"/>
          <w:lang w:eastAsia="en-GB"/>
        </w:rPr>
        <w:t>T</w:t>
      </w:r>
      <w:r w:rsidR="00D70406" w:rsidRPr="0053226E">
        <w:rPr>
          <w:rFonts w:ascii="Times New Roman" w:hAnsi="Times New Roman"/>
          <w:sz w:val="24"/>
          <w:szCs w:val="24"/>
          <w:lang w:eastAsia="en-GB"/>
        </w:rPr>
        <w:t>rečia, kaip teisingai konstatavo apeliacinės instancijos teismas, p</w:t>
      </w:r>
      <w:r w:rsidR="001310D8" w:rsidRPr="0053226E">
        <w:rPr>
          <w:rFonts w:ascii="Times New Roman" w:hAnsi="Times New Roman"/>
          <w:sz w:val="24"/>
          <w:szCs w:val="24"/>
          <w:lang w:eastAsia="en-GB"/>
        </w:rPr>
        <w:t>ikt</w:t>
      </w:r>
      <w:r w:rsidR="00D70406" w:rsidRPr="0053226E">
        <w:rPr>
          <w:rFonts w:ascii="Times New Roman" w:hAnsi="Times New Roman"/>
          <w:sz w:val="24"/>
          <w:szCs w:val="24"/>
          <w:lang w:eastAsia="en-GB"/>
        </w:rPr>
        <w:t>n</w:t>
      </w:r>
      <w:r w:rsidR="001310D8" w:rsidRPr="0053226E">
        <w:rPr>
          <w:rFonts w:ascii="Times New Roman" w:hAnsi="Times New Roman"/>
          <w:sz w:val="24"/>
          <w:szCs w:val="24"/>
          <w:lang w:eastAsia="en-GB"/>
        </w:rPr>
        <w:t>audžiavimo dominuo</w:t>
      </w:r>
      <w:r w:rsidR="00D70406" w:rsidRPr="0053226E">
        <w:rPr>
          <w:rFonts w:ascii="Times New Roman" w:hAnsi="Times New Roman"/>
          <w:sz w:val="24"/>
          <w:szCs w:val="24"/>
          <w:lang w:eastAsia="en-GB"/>
        </w:rPr>
        <w:t>j</w:t>
      </w:r>
      <w:r w:rsidR="001310D8" w:rsidRPr="0053226E">
        <w:rPr>
          <w:rFonts w:ascii="Times New Roman" w:hAnsi="Times New Roman"/>
          <w:sz w:val="24"/>
          <w:szCs w:val="24"/>
          <w:lang w:eastAsia="en-GB"/>
        </w:rPr>
        <w:t>a</w:t>
      </w:r>
      <w:r w:rsidR="00D70406" w:rsidRPr="0053226E">
        <w:rPr>
          <w:rFonts w:ascii="Times New Roman" w:hAnsi="Times New Roman"/>
          <w:sz w:val="24"/>
          <w:szCs w:val="24"/>
          <w:lang w:eastAsia="en-GB"/>
        </w:rPr>
        <w:t>n</w:t>
      </w:r>
      <w:r w:rsidR="001310D8" w:rsidRPr="0053226E">
        <w:rPr>
          <w:rFonts w:ascii="Times New Roman" w:hAnsi="Times New Roman"/>
          <w:sz w:val="24"/>
          <w:szCs w:val="24"/>
          <w:lang w:eastAsia="en-GB"/>
        </w:rPr>
        <w:t xml:space="preserve">čia padėtimi vertinimas reglamentuotas </w:t>
      </w:r>
      <w:r w:rsidR="006B3366" w:rsidRPr="0053226E">
        <w:rPr>
          <w:rFonts w:ascii="Times New Roman" w:hAnsi="Times New Roman"/>
          <w:sz w:val="24"/>
          <w:szCs w:val="24"/>
          <w:lang w:eastAsia="en-GB"/>
        </w:rPr>
        <w:t>k</w:t>
      </w:r>
      <w:r w:rsidR="001310D8" w:rsidRPr="0053226E">
        <w:rPr>
          <w:rFonts w:ascii="Times New Roman" w:hAnsi="Times New Roman"/>
          <w:sz w:val="24"/>
          <w:szCs w:val="24"/>
          <w:lang w:eastAsia="en-GB"/>
        </w:rPr>
        <w:t>onkurencijos teisės</w:t>
      </w:r>
      <w:r w:rsidR="00C47ED5" w:rsidRPr="0053226E">
        <w:rPr>
          <w:rFonts w:ascii="Times New Roman" w:hAnsi="Times New Roman"/>
          <w:sz w:val="24"/>
          <w:szCs w:val="24"/>
          <w:lang w:eastAsia="en-GB"/>
        </w:rPr>
        <w:t xml:space="preserve"> ir turi būti atliekamas laikantis Konkurencijos įstatyme nustatytos tvarkos</w:t>
      </w:r>
      <w:r w:rsidR="000825AB" w:rsidRPr="0053226E">
        <w:rPr>
          <w:rFonts w:ascii="Times New Roman" w:hAnsi="Times New Roman"/>
          <w:sz w:val="24"/>
          <w:szCs w:val="24"/>
          <w:lang w:eastAsia="en-GB"/>
        </w:rPr>
        <w:t xml:space="preserve">, todėl </w:t>
      </w:r>
      <w:r w:rsidR="000C5462" w:rsidRPr="0053226E">
        <w:rPr>
          <w:rFonts w:ascii="Times New Roman" w:hAnsi="Times New Roman"/>
          <w:sz w:val="24"/>
          <w:szCs w:val="24"/>
          <w:lang w:eastAsia="en-GB"/>
        </w:rPr>
        <w:t xml:space="preserve">nėra ir </w:t>
      </w:r>
      <w:r w:rsidR="000825AB" w:rsidRPr="0053226E">
        <w:rPr>
          <w:rFonts w:ascii="Times New Roman" w:hAnsi="Times New Roman"/>
          <w:sz w:val="24"/>
          <w:szCs w:val="24"/>
          <w:lang w:eastAsia="en-GB"/>
        </w:rPr>
        <w:t>negali būti šios</w:t>
      </w:r>
      <w:r w:rsidR="00FE137F" w:rsidRPr="0053226E">
        <w:rPr>
          <w:rFonts w:ascii="Times New Roman" w:hAnsi="Times New Roman"/>
          <w:sz w:val="24"/>
          <w:szCs w:val="24"/>
          <w:lang w:eastAsia="en-GB"/>
        </w:rPr>
        <w:t xml:space="preserve"> </w:t>
      </w:r>
      <w:r w:rsidR="000C5462" w:rsidRPr="0053226E">
        <w:rPr>
          <w:rFonts w:ascii="Times New Roman" w:hAnsi="Times New Roman"/>
          <w:sz w:val="24"/>
          <w:szCs w:val="24"/>
          <w:lang w:eastAsia="en-GB"/>
        </w:rPr>
        <w:t xml:space="preserve">civilinės </w:t>
      </w:r>
      <w:r w:rsidR="00FE137F" w:rsidRPr="0053226E">
        <w:rPr>
          <w:rFonts w:ascii="Times New Roman" w:hAnsi="Times New Roman"/>
          <w:sz w:val="24"/>
          <w:szCs w:val="24"/>
          <w:lang w:eastAsia="en-GB"/>
        </w:rPr>
        <w:t xml:space="preserve">bylos </w:t>
      </w:r>
      <w:r w:rsidR="000825AB" w:rsidRPr="0053226E">
        <w:rPr>
          <w:rFonts w:ascii="Times New Roman" w:hAnsi="Times New Roman"/>
          <w:sz w:val="24"/>
          <w:szCs w:val="24"/>
          <w:lang w:eastAsia="en-GB"/>
        </w:rPr>
        <w:t xml:space="preserve">nagrinėjimo </w:t>
      </w:r>
      <w:r w:rsidR="00FE137F" w:rsidRPr="0053226E">
        <w:rPr>
          <w:rFonts w:ascii="Times New Roman" w:hAnsi="Times New Roman"/>
          <w:sz w:val="24"/>
          <w:szCs w:val="24"/>
          <w:lang w:eastAsia="en-GB"/>
        </w:rPr>
        <w:t>dalyku</w:t>
      </w:r>
      <w:r w:rsidR="000825AB" w:rsidRPr="0053226E">
        <w:rPr>
          <w:rFonts w:ascii="Times New Roman" w:hAnsi="Times New Roman"/>
          <w:sz w:val="24"/>
          <w:szCs w:val="24"/>
        </w:rPr>
        <w:t>.</w:t>
      </w:r>
    </w:p>
    <w:p w14:paraId="642A94D3" w14:textId="77777777" w:rsidR="0006388E" w:rsidRPr="0053226E" w:rsidRDefault="0006388E" w:rsidP="00F6065F">
      <w:pPr>
        <w:pStyle w:val="ListParagraph"/>
        <w:tabs>
          <w:tab w:val="left" w:pos="426"/>
          <w:tab w:val="left" w:pos="851"/>
        </w:tabs>
        <w:spacing w:after="120" w:line="240" w:lineRule="auto"/>
        <w:ind w:left="284"/>
        <w:contextualSpacing w:val="0"/>
        <w:jc w:val="both"/>
        <w:rPr>
          <w:rFonts w:ascii="Times New Roman" w:hAnsi="Times New Roman"/>
          <w:i/>
          <w:iCs/>
          <w:sz w:val="24"/>
          <w:szCs w:val="24"/>
        </w:rPr>
      </w:pPr>
    </w:p>
    <w:p w14:paraId="2FCBE3CC" w14:textId="5F12D946" w:rsidR="001F6381" w:rsidRPr="0053226E" w:rsidRDefault="001F6381" w:rsidP="00F6065F">
      <w:pPr>
        <w:tabs>
          <w:tab w:val="left" w:pos="426"/>
          <w:tab w:val="left" w:pos="851"/>
        </w:tabs>
        <w:spacing w:after="120"/>
        <w:ind w:firstLine="709"/>
        <w:jc w:val="both"/>
        <w:rPr>
          <w:i/>
          <w:iCs/>
        </w:rPr>
      </w:pPr>
      <w:r w:rsidRPr="0053226E">
        <w:rPr>
          <w:i/>
          <w:iCs/>
        </w:rPr>
        <w:t xml:space="preserve">Dėl aptartų </w:t>
      </w:r>
      <w:r w:rsidR="007621AC" w:rsidRPr="0053226E">
        <w:rPr>
          <w:i/>
          <w:iCs/>
        </w:rPr>
        <w:t>teisės aktų</w:t>
      </w:r>
      <w:r w:rsidRPr="0053226E">
        <w:rPr>
          <w:i/>
          <w:iCs/>
        </w:rPr>
        <w:t xml:space="preserve"> ir </w:t>
      </w:r>
      <w:r w:rsidR="007621AC" w:rsidRPr="0053226E">
        <w:rPr>
          <w:i/>
          <w:iCs/>
        </w:rPr>
        <w:t>ESTT</w:t>
      </w:r>
      <w:r w:rsidRPr="0053226E">
        <w:rPr>
          <w:i/>
          <w:iCs/>
        </w:rPr>
        <w:t xml:space="preserve"> praktikos nuostatų taikymo nagrinėjamoje byloje</w:t>
      </w:r>
    </w:p>
    <w:p w14:paraId="07E87E2B" w14:textId="77777777" w:rsidR="00F6065F" w:rsidRPr="0053226E" w:rsidRDefault="00F6065F" w:rsidP="00F6065F">
      <w:pPr>
        <w:tabs>
          <w:tab w:val="left" w:pos="426"/>
          <w:tab w:val="left" w:pos="851"/>
        </w:tabs>
        <w:spacing w:after="120"/>
        <w:ind w:firstLine="709"/>
        <w:jc w:val="both"/>
        <w:rPr>
          <w:i/>
          <w:iCs/>
        </w:rPr>
      </w:pPr>
    </w:p>
    <w:p w14:paraId="5ABFA84F" w14:textId="5EE7053B" w:rsidR="00C046C1" w:rsidRPr="0053226E" w:rsidRDefault="00DC050D"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Apeliacinės instancijos teismas nusprendė, kad pirmosios instancijos teismo išvada, jog atsakovė šioje byloje neįrodė, kad egzistuoja praktinės veiksming</w:t>
      </w:r>
      <w:r w:rsidR="004144DA" w:rsidRPr="0053226E">
        <w:rPr>
          <w:rFonts w:ascii="Times New Roman" w:hAnsi="Times New Roman"/>
          <w:sz w:val="24"/>
          <w:szCs w:val="24"/>
          <w:lang w:eastAsia="en-GB"/>
        </w:rPr>
        <w:t>o</w:t>
      </w:r>
      <w:r w:rsidRPr="0053226E">
        <w:rPr>
          <w:rFonts w:ascii="Times New Roman" w:hAnsi="Times New Roman"/>
          <w:sz w:val="24"/>
          <w:szCs w:val="24"/>
          <w:lang w:eastAsia="en-GB"/>
        </w:rPr>
        <w:t xml:space="preserve"> patekim</w:t>
      </w:r>
      <w:r w:rsidR="004144DA" w:rsidRPr="0053226E">
        <w:rPr>
          <w:rFonts w:ascii="Times New Roman" w:hAnsi="Times New Roman"/>
          <w:sz w:val="24"/>
          <w:szCs w:val="24"/>
          <w:lang w:eastAsia="en-GB"/>
        </w:rPr>
        <w:t>o</w:t>
      </w:r>
      <w:r w:rsidRPr="0053226E">
        <w:rPr>
          <w:rFonts w:ascii="Times New Roman" w:hAnsi="Times New Roman"/>
          <w:sz w:val="24"/>
          <w:szCs w:val="24"/>
          <w:lang w:eastAsia="en-GB"/>
        </w:rPr>
        <w:t xml:space="preserve"> į rinką</w:t>
      </w:r>
      <w:r w:rsidR="004144DA" w:rsidRPr="0053226E">
        <w:rPr>
          <w:rFonts w:ascii="Times New Roman" w:hAnsi="Times New Roman"/>
          <w:sz w:val="24"/>
          <w:szCs w:val="24"/>
          <w:lang w:eastAsia="en-GB"/>
        </w:rPr>
        <w:t xml:space="preserve"> kliūtys</w:t>
      </w:r>
      <w:r w:rsidRPr="0053226E">
        <w:rPr>
          <w:rFonts w:ascii="Times New Roman" w:hAnsi="Times New Roman"/>
          <w:sz w:val="24"/>
          <w:szCs w:val="24"/>
          <w:lang w:eastAsia="en-GB"/>
        </w:rPr>
        <w:t xml:space="preserve">, kurios lemtų atsakovei objektyvų būtinumą perpakuoti lygiagrečiai importuojamus vaistinius preparatus, yra pagrįsta ir padaryta tinkamai ištyrus Lietuvos Aukščiausiojo Teismo 2024 m. sausio 10 d. nutarties 64 punkte nurodytas aplinkybes. </w:t>
      </w:r>
      <w:r w:rsidR="00AF0B2F" w:rsidRPr="0053226E">
        <w:rPr>
          <w:rFonts w:ascii="Times New Roman" w:hAnsi="Times New Roman"/>
          <w:sz w:val="24"/>
          <w:szCs w:val="24"/>
          <w:lang w:eastAsia="en-GB"/>
        </w:rPr>
        <w:t xml:space="preserve">Apeliacinės instancijos teismas </w:t>
      </w:r>
      <w:r w:rsidRPr="0053226E">
        <w:rPr>
          <w:rFonts w:ascii="Times New Roman" w:hAnsi="Times New Roman"/>
          <w:sz w:val="24"/>
          <w:szCs w:val="24"/>
          <w:lang w:eastAsia="en-GB"/>
        </w:rPr>
        <w:t xml:space="preserve">nusprendė, kad atsakovė neįrodė, jog </w:t>
      </w:r>
      <w:r w:rsidR="00C046C1" w:rsidRPr="0053226E">
        <w:rPr>
          <w:rFonts w:ascii="Times New Roman" w:hAnsi="Times New Roman"/>
          <w:sz w:val="24"/>
          <w:szCs w:val="24"/>
          <w:lang w:eastAsia="en-GB"/>
        </w:rPr>
        <w:t xml:space="preserve">egzistuoja objektyvi būtinybė </w:t>
      </w:r>
      <w:r w:rsidRPr="0053226E">
        <w:rPr>
          <w:rFonts w:ascii="Times New Roman" w:hAnsi="Times New Roman"/>
          <w:sz w:val="24"/>
          <w:szCs w:val="24"/>
          <w:lang w:eastAsia="en-GB"/>
        </w:rPr>
        <w:t>perpakuoti lygiagrečiai iš Vengrijos į Lietuvą importuojamą vaistinį preparatą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xml:space="preserve">“, pažymint </w:t>
      </w:r>
      <w:r w:rsidR="004144DA" w:rsidRPr="0053226E">
        <w:rPr>
          <w:rFonts w:ascii="Times New Roman" w:hAnsi="Times New Roman"/>
          <w:sz w:val="24"/>
          <w:szCs w:val="24"/>
          <w:lang w:eastAsia="en-GB"/>
        </w:rPr>
        <w:t xml:space="preserve">jį </w:t>
      </w:r>
      <w:r w:rsidRPr="0053226E">
        <w:rPr>
          <w:rFonts w:ascii="Times New Roman" w:hAnsi="Times New Roman"/>
          <w:sz w:val="24"/>
          <w:szCs w:val="24"/>
          <w:lang w:eastAsia="en-GB"/>
        </w:rPr>
        <w:t>ieškovei priklausančiu žymeniu „</w:t>
      </w:r>
      <w:proofErr w:type="spellStart"/>
      <w:r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xml:space="preserve">“. </w:t>
      </w:r>
    </w:p>
    <w:p w14:paraId="36521140" w14:textId="02767366" w:rsidR="0058091B" w:rsidRPr="0053226E" w:rsidRDefault="002B219F" w:rsidP="00AC1940">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Teisėjų kolegijos vertinimu, </w:t>
      </w:r>
      <w:r w:rsidR="00C046C1" w:rsidRPr="0053226E">
        <w:rPr>
          <w:rFonts w:ascii="Times New Roman" w:hAnsi="Times New Roman"/>
          <w:sz w:val="24"/>
          <w:szCs w:val="24"/>
          <w:lang w:eastAsia="en-GB"/>
        </w:rPr>
        <w:t>šioje byloje teismų nustatyt</w:t>
      </w:r>
      <w:r w:rsidRPr="0053226E">
        <w:rPr>
          <w:rFonts w:ascii="Times New Roman" w:hAnsi="Times New Roman"/>
          <w:sz w:val="24"/>
          <w:szCs w:val="24"/>
          <w:lang w:eastAsia="en-GB"/>
        </w:rPr>
        <w:t>o</w:t>
      </w:r>
      <w:r w:rsidR="00C046C1" w:rsidRPr="0053226E">
        <w:rPr>
          <w:rFonts w:ascii="Times New Roman" w:hAnsi="Times New Roman"/>
          <w:sz w:val="24"/>
          <w:szCs w:val="24"/>
          <w:lang w:eastAsia="en-GB"/>
        </w:rPr>
        <w:t>s aplinkyb</w:t>
      </w:r>
      <w:r w:rsidRPr="0053226E">
        <w:rPr>
          <w:rFonts w:ascii="Times New Roman" w:hAnsi="Times New Roman"/>
          <w:sz w:val="24"/>
          <w:szCs w:val="24"/>
          <w:lang w:eastAsia="en-GB"/>
        </w:rPr>
        <w:t>ė</w:t>
      </w:r>
      <w:r w:rsidR="00C046C1" w:rsidRPr="0053226E">
        <w:rPr>
          <w:rFonts w:ascii="Times New Roman" w:hAnsi="Times New Roman"/>
          <w:sz w:val="24"/>
          <w:szCs w:val="24"/>
          <w:lang w:eastAsia="en-GB"/>
        </w:rPr>
        <w:t>s, kad atsakovė iš Vengrijos į Lietuvą importuotus vaistus perpakav</w:t>
      </w:r>
      <w:r w:rsidR="006A1BE9" w:rsidRPr="0053226E">
        <w:rPr>
          <w:rFonts w:ascii="Times New Roman" w:hAnsi="Times New Roman"/>
          <w:sz w:val="24"/>
          <w:szCs w:val="24"/>
          <w:lang w:eastAsia="en-GB"/>
        </w:rPr>
        <w:t>o</w:t>
      </w:r>
      <w:r w:rsidR="00C046C1" w:rsidRPr="0053226E">
        <w:rPr>
          <w:rFonts w:ascii="Times New Roman" w:hAnsi="Times New Roman"/>
          <w:sz w:val="24"/>
          <w:szCs w:val="24"/>
          <w:lang w:eastAsia="en-GB"/>
        </w:rPr>
        <w:t xml:space="preserve"> ir perženklin</w:t>
      </w:r>
      <w:r w:rsidR="006A1BE9" w:rsidRPr="0053226E">
        <w:rPr>
          <w:rFonts w:ascii="Times New Roman" w:hAnsi="Times New Roman"/>
          <w:sz w:val="24"/>
          <w:szCs w:val="24"/>
          <w:lang w:eastAsia="en-GB"/>
        </w:rPr>
        <w:t>o</w:t>
      </w:r>
      <w:r w:rsidR="00C046C1" w:rsidRPr="0053226E">
        <w:rPr>
          <w:rFonts w:ascii="Times New Roman" w:hAnsi="Times New Roman"/>
          <w:sz w:val="24"/>
          <w:szCs w:val="24"/>
          <w:lang w:eastAsia="en-GB"/>
        </w:rPr>
        <w:t xml:space="preserve"> vietoj Vengrijoje naudojamo „</w:t>
      </w:r>
      <w:proofErr w:type="spellStart"/>
      <w:r w:rsidR="00C046C1" w:rsidRPr="0053226E">
        <w:rPr>
          <w:rFonts w:ascii="Times New Roman" w:hAnsi="Times New Roman"/>
          <w:sz w:val="24"/>
          <w:szCs w:val="24"/>
          <w:lang w:eastAsia="en-GB"/>
        </w:rPr>
        <w:t>Letrox</w:t>
      </w:r>
      <w:proofErr w:type="spellEnd"/>
      <w:r w:rsidR="00C046C1" w:rsidRPr="0053226E">
        <w:rPr>
          <w:rFonts w:ascii="Times New Roman" w:hAnsi="Times New Roman"/>
          <w:sz w:val="24"/>
          <w:szCs w:val="24"/>
          <w:lang w:eastAsia="en-GB"/>
        </w:rPr>
        <w:t>“ žymens „L-</w:t>
      </w:r>
      <w:proofErr w:type="spellStart"/>
      <w:r w:rsidR="00C046C1" w:rsidRPr="0053226E">
        <w:rPr>
          <w:rFonts w:ascii="Times New Roman" w:hAnsi="Times New Roman"/>
          <w:sz w:val="24"/>
          <w:szCs w:val="24"/>
          <w:lang w:eastAsia="en-GB"/>
        </w:rPr>
        <w:t>Thyroxin</w:t>
      </w:r>
      <w:proofErr w:type="spellEnd"/>
      <w:r w:rsidR="00C046C1" w:rsidRPr="0053226E">
        <w:rPr>
          <w:rFonts w:ascii="Times New Roman" w:hAnsi="Times New Roman"/>
          <w:sz w:val="24"/>
          <w:szCs w:val="24"/>
          <w:lang w:eastAsia="en-GB"/>
        </w:rPr>
        <w:t xml:space="preserve"> </w:t>
      </w:r>
      <w:proofErr w:type="spellStart"/>
      <w:r w:rsidR="00C046C1" w:rsidRPr="0053226E">
        <w:rPr>
          <w:rFonts w:ascii="Times New Roman" w:hAnsi="Times New Roman"/>
          <w:sz w:val="24"/>
          <w:szCs w:val="24"/>
          <w:lang w:eastAsia="en-GB"/>
        </w:rPr>
        <w:t>Berlin-Chemie</w:t>
      </w:r>
      <w:proofErr w:type="spellEnd"/>
      <w:r w:rsidR="00C046C1" w:rsidRPr="0053226E">
        <w:rPr>
          <w:rFonts w:ascii="Times New Roman" w:hAnsi="Times New Roman"/>
          <w:sz w:val="24"/>
          <w:szCs w:val="24"/>
          <w:lang w:eastAsia="en-GB"/>
        </w:rPr>
        <w:t xml:space="preserve">“ žymeniu, kuriuo ženklintas prekes Lietuvoje ilgą laiką platino ieškovė, </w:t>
      </w:r>
      <w:r w:rsidR="00C540A0" w:rsidRPr="0053226E">
        <w:rPr>
          <w:rFonts w:ascii="Times New Roman" w:hAnsi="Times New Roman"/>
          <w:sz w:val="24"/>
          <w:szCs w:val="24"/>
          <w:lang w:eastAsia="en-GB"/>
        </w:rPr>
        <w:t>ir</w:t>
      </w:r>
      <w:r w:rsidR="00B11639" w:rsidRPr="0053226E">
        <w:rPr>
          <w:rFonts w:ascii="Times New Roman" w:hAnsi="Times New Roman"/>
          <w:sz w:val="24"/>
          <w:szCs w:val="24"/>
          <w:lang w:eastAsia="en-GB"/>
        </w:rPr>
        <w:t xml:space="preserve"> atsakovė šias prekes</w:t>
      </w:r>
      <w:r w:rsidR="006A1BE9" w:rsidRPr="0053226E">
        <w:rPr>
          <w:rFonts w:ascii="Times New Roman" w:hAnsi="Times New Roman"/>
          <w:sz w:val="24"/>
          <w:szCs w:val="24"/>
          <w:lang w:eastAsia="en-GB"/>
        </w:rPr>
        <w:t>, be kita ko,</w:t>
      </w:r>
      <w:r w:rsidR="00C046C1" w:rsidRPr="0053226E">
        <w:rPr>
          <w:rFonts w:ascii="Times New Roman" w:hAnsi="Times New Roman"/>
          <w:sz w:val="24"/>
          <w:szCs w:val="24"/>
          <w:lang w:eastAsia="en-GB"/>
        </w:rPr>
        <w:t xml:space="preserve"> </w:t>
      </w:r>
      <w:r w:rsidR="00B11639" w:rsidRPr="0053226E">
        <w:rPr>
          <w:rFonts w:ascii="Times New Roman" w:hAnsi="Times New Roman"/>
          <w:sz w:val="24"/>
          <w:szCs w:val="24"/>
          <w:lang w:eastAsia="en-GB"/>
        </w:rPr>
        <w:t xml:space="preserve">platino </w:t>
      </w:r>
      <w:r w:rsidR="00C046C1" w:rsidRPr="0053226E">
        <w:rPr>
          <w:rFonts w:ascii="Times New Roman" w:hAnsi="Times New Roman"/>
          <w:sz w:val="24"/>
          <w:szCs w:val="24"/>
          <w:lang w:eastAsia="en-GB"/>
        </w:rPr>
        <w:t xml:space="preserve">analogiška </w:t>
      </w:r>
      <w:r w:rsidR="00B11639" w:rsidRPr="0053226E">
        <w:rPr>
          <w:rFonts w:ascii="Times New Roman" w:hAnsi="Times New Roman"/>
          <w:sz w:val="24"/>
          <w:szCs w:val="24"/>
          <w:lang w:eastAsia="en-GB"/>
        </w:rPr>
        <w:t xml:space="preserve">kaina </w:t>
      </w:r>
      <w:r w:rsidR="00C046C1" w:rsidRPr="0053226E">
        <w:rPr>
          <w:rFonts w:ascii="Times New Roman" w:hAnsi="Times New Roman"/>
          <w:sz w:val="24"/>
          <w:szCs w:val="24"/>
          <w:lang w:eastAsia="en-GB"/>
        </w:rPr>
        <w:t xml:space="preserve">(ne brangiau ir ne pigiau) kaip ir ieškovė, </w:t>
      </w:r>
      <w:r w:rsidRPr="0053226E">
        <w:rPr>
          <w:rFonts w:ascii="Times New Roman" w:hAnsi="Times New Roman"/>
          <w:sz w:val="24"/>
          <w:szCs w:val="24"/>
          <w:lang w:eastAsia="en-GB"/>
        </w:rPr>
        <w:t>leidžia daryti išvadą, kad taip atsakovė siekė</w:t>
      </w:r>
      <w:r w:rsidR="00C046C1" w:rsidRPr="0053226E">
        <w:rPr>
          <w:rFonts w:ascii="Times New Roman" w:hAnsi="Times New Roman"/>
          <w:sz w:val="24"/>
          <w:szCs w:val="24"/>
          <w:lang w:eastAsia="en-GB"/>
        </w:rPr>
        <w:t xml:space="preserve"> </w:t>
      </w:r>
      <w:r w:rsidRPr="0053226E">
        <w:rPr>
          <w:rFonts w:ascii="Times New Roman" w:hAnsi="Times New Roman"/>
          <w:sz w:val="24"/>
          <w:szCs w:val="24"/>
          <w:lang w:eastAsia="en-GB"/>
        </w:rPr>
        <w:t>ne tik patekti į rinką, bet ir gauti papildomą pelną ne dėl vaisto savybių ar kokybės, o pasi</w:t>
      </w:r>
      <w:r w:rsidR="00C046C1" w:rsidRPr="0053226E">
        <w:rPr>
          <w:rFonts w:ascii="Times New Roman" w:hAnsi="Times New Roman"/>
          <w:sz w:val="24"/>
          <w:szCs w:val="24"/>
          <w:lang w:eastAsia="en-GB"/>
        </w:rPr>
        <w:t>naudo</w:t>
      </w:r>
      <w:r w:rsidR="00C540A0" w:rsidRPr="0053226E">
        <w:rPr>
          <w:rFonts w:ascii="Times New Roman" w:hAnsi="Times New Roman"/>
          <w:sz w:val="24"/>
          <w:szCs w:val="24"/>
          <w:lang w:eastAsia="en-GB"/>
        </w:rPr>
        <w:t>dama</w:t>
      </w:r>
      <w:r w:rsidR="00C046C1" w:rsidRPr="0053226E">
        <w:rPr>
          <w:rFonts w:ascii="Times New Roman" w:hAnsi="Times New Roman"/>
          <w:sz w:val="24"/>
          <w:szCs w:val="24"/>
          <w:lang w:eastAsia="en-GB"/>
        </w:rPr>
        <w:t xml:space="preserve"> žinomesnio ir rinkoje įsitvirtinusio prek</w:t>
      </w:r>
      <w:r w:rsidRPr="0053226E">
        <w:rPr>
          <w:rFonts w:ascii="Times New Roman" w:hAnsi="Times New Roman"/>
          <w:sz w:val="24"/>
          <w:szCs w:val="24"/>
          <w:lang w:eastAsia="en-GB"/>
        </w:rPr>
        <w:t>ių</w:t>
      </w:r>
      <w:r w:rsidR="00C046C1" w:rsidRPr="0053226E">
        <w:rPr>
          <w:rFonts w:ascii="Times New Roman" w:hAnsi="Times New Roman"/>
          <w:sz w:val="24"/>
          <w:szCs w:val="24"/>
          <w:lang w:eastAsia="en-GB"/>
        </w:rPr>
        <w:t xml:space="preserve"> ženklo </w:t>
      </w:r>
      <w:r w:rsidRPr="0053226E">
        <w:rPr>
          <w:rFonts w:ascii="Times New Roman" w:hAnsi="Times New Roman"/>
          <w:sz w:val="24"/>
          <w:szCs w:val="24"/>
          <w:lang w:eastAsia="en-GB"/>
        </w:rPr>
        <w:t>„</w:t>
      </w:r>
      <w:proofErr w:type="spellStart"/>
      <w:r w:rsidR="00C046C1" w:rsidRPr="0053226E">
        <w:rPr>
          <w:rFonts w:ascii="Times New Roman" w:hAnsi="Times New Roman"/>
          <w:sz w:val="24"/>
          <w:szCs w:val="24"/>
          <w:lang w:eastAsia="en-GB"/>
        </w:rPr>
        <w:t>Berlin-Chemie</w:t>
      </w:r>
      <w:proofErr w:type="spellEnd"/>
      <w:r w:rsidRPr="0053226E">
        <w:rPr>
          <w:rFonts w:ascii="Times New Roman" w:hAnsi="Times New Roman"/>
          <w:sz w:val="24"/>
          <w:szCs w:val="24"/>
          <w:lang w:eastAsia="en-GB"/>
        </w:rPr>
        <w:t xml:space="preserve">“ </w:t>
      </w:r>
      <w:r w:rsidR="00C046C1" w:rsidRPr="0053226E">
        <w:rPr>
          <w:rFonts w:ascii="Times New Roman" w:hAnsi="Times New Roman"/>
          <w:sz w:val="24"/>
          <w:szCs w:val="24"/>
          <w:lang w:eastAsia="en-GB"/>
        </w:rPr>
        <w:t>reputacija</w:t>
      </w:r>
      <w:r w:rsidRPr="0053226E">
        <w:rPr>
          <w:rFonts w:ascii="Times New Roman" w:hAnsi="Times New Roman"/>
          <w:sz w:val="24"/>
          <w:szCs w:val="24"/>
          <w:lang w:eastAsia="en-GB"/>
        </w:rPr>
        <w:t>,</w:t>
      </w:r>
      <w:r w:rsidR="00C046C1" w:rsidRPr="0053226E">
        <w:rPr>
          <w:rFonts w:ascii="Times New Roman" w:hAnsi="Times New Roman"/>
          <w:sz w:val="24"/>
          <w:szCs w:val="24"/>
          <w:lang w:eastAsia="en-GB"/>
        </w:rPr>
        <w:t xml:space="preserve"> </w:t>
      </w:r>
      <w:r w:rsidRPr="0053226E">
        <w:rPr>
          <w:rFonts w:ascii="Times New Roman" w:hAnsi="Times New Roman"/>
          <w:sz w:val="24"/>
          <w:szCs w:val="24"/>
          <w:lang w:eastAsia="en-GB"/>
        </w:rPr>
        <w:t xml:space="preserve">sukurta ženklo savininko </w:t>
      </w:r>
      <w:r w:rsidR="00C046C1" w:rsidRPr="0053226E">
        <w:rPr>
          <w:rFonts w:ascii="Times New Roman" w:hAnsi="Times New Roman"/>
          <w:sz w:val="24"/>
          <w:szCs w:val="24"/>
          <w:lang w:eastAsia="en-GB"/>
        </w:rPr>
        <w:t xml:space="preserve">investicijomis į prekės ženklą, </w:t>
      </w:r>
      <w:r w:rsidRPr="0053226E">
        <w:rPr>
          <w:rFonts w:ascii="Times New Roman" w:hAnsi="Times New Roman"/>
          <w:sz w:val="24"/>
          <w:szCs w:val="24"/>
          <w:lang w:eastAsia="en-GB"/>
        </w:rPr>
        <w:t>ir taip</w:t>
      </w:r>
      <w:r w:rsidR="00C046C1" w:rsidRPr="0053226E">
        <w:rPr>
          <w:rFonts w:ascii="Times New Roman" w:hAnsi="Times New Roman"/>
          <w:sz w:val="24"/>
          <w:szCs w:val="24"/>
          <w:lang w:eastAsia="en-GB"/>
        </w:rPr>
        <w:t xml:space="preserve"> padidinti savo pardavimus.</w:t>
      </w:r>
      <w:r w:rsidRPr="0053226E">
        <w:rPr>
          <w:rFonts w:ascii="Times New Roman" w:hAnsi="Times New Roman"/>
          <w:sz w:val="24"/>
          <w:szCs w:val="24"/>
          <w:lang w:eastAsia="en-GB"/>
        </w:rPr>
        <w:t xml:space="preserve"> </w:t>
      </w:r>
      <w:r w:rsidR="00E1715B" w:rsidRPr="0053226E">
        <w:rPr>
          <w:rFonts w:ascii="Times New Roman" w:hAnsi="Times New Roman"/>
          <w:sz w:val="24"/>
          <w:szCs w:val="24"/>
          <w:lang w:eastAsia="en-GB"/>
        </w:rPr>
        <w:t xml:space="preserve">Pažymėtina, kad atsakovės taikoma kaina savaime nėra lemiantis kriterijus vertinant, ar prekė perpakuojama tik dėl to, kad lygiagretus importuotojas siekia gauti komercinės naudos, tačiau yra argumentas </w:t>
      </w:r>
      <w:r w:rsidR="00E1715B" w:rsidRPr="0053226E">
        <w:rPr>
          <w:rFonts w:ascii="Times New Roman" w:hAnsi="Times New Roman"/>
          <w:i/>
          <w:iCs/>
          <w:sz w:val="24"/>
          <w:szCs w:val="24"/>
          <w:lang w:eastAsia="en-GB"/>
        </w:rPr>
        <w:t xml:space="preserve">a </w:t>
      </w:r>
      <w:proofErr w:type="spellStart"/>
      <w:r w:rsidR="00E1715B" w:rsidRPr="0053226E">
        <w:rPr>
          <w:rFonts w:ascii="Times New Roman" w:hAnsi="Times New Roman"/>
          <w:i/>
          <w:iCs/>
          <w:sz w:val="24"/>
          <w:szCs w:val="24"/>
          <w:lang w:eastAsia="en-GB"/>
        </w:rPr>
        <w:t>fortiori</w:t>
      </w:r>
      <w:proofErr w:type="spellEnd"/>
      <w:r w:rsidR="00E1715B" w:rsidRPr="0053226E">
        <w:rPr>
          <w:rFonts w:ascii="Times New Roman" w:hAnsi="Times New Roman"/>
          <w:i/>
          <w:iCs/>
          <w:sz w:val="24"/>
          <w:szCs w:val="24"/>
          <w:lang w:eastAsia="en-GB"/>
        </w:rPr>
        <w:t xml:space="preserve"> </w:t>
      </w:r>
      <w:r w:rsidR="00E1715B" w:rsidRPr="0053226E">
        <w:rPr>
          <w:rFonts w:ascii="Times New Roman" w:hAnsi="Times New Roman"/>
          <w:sz w:val="24"/>
          <w:szCs w:val="24"/>
          <w:lang w:eastAsia="en-GB"/>
        </w:rPr>
        <w:t>(juo labiau), importuotojui neįrodžius objektyvios būtinybės perpakuoti ir perženklinti prekes. Šiuo atveju</w:t>
      </w:r>
      <w:r w:rsidRPr="0053226E">
        <w:rPr>
          <w:rFonts w:ascii="Times New Roman" w:hAnsi="Times New Roman"/>
          <w:sz w:val="24"/>
          <w:szCs w:val="24"/>
          <w:lang w:eastAsia="en-GB"/>
        </w:rPr>
        <w:t xml:space="preserve"> atsakovė, kuriai tenka įrodinėjimo našta byloje, nepateikė jokių įrodymų, kad patekimas į rinką išlaikant „</w:t>
      </w:r>
      <w:proofErr w:type="spellStart"/>
      <w:r w:rsidRPr="0053226E">
        <w:rPr>
          <w:rFonts w:ascii="Times New Roman" w:hAnsi="Times New Roman"/>
          <w:sz w:val="24"/>
          <w:szCs w:val="24"/>
          <w:lang w:eastAsia="en-GB"/>
        </w:rPr>
        <w:t>Letrox</w:t>
      </w:r>
      <w:proofErr w:type="spellEnd"/>
      <w:r w:rsidRPr="0053226E">
        <w:rPr>
          <w:rFonts w:ascii="Times New Roman" w:hAnsi="Times New Roman"/>
          <w:sz w:val="24"/>
          <w:szCs w:val="24"/>
          <w:lang w:eastAsia="en-GB"/>
        </w:rPr>
        <w:t>“ pavadinimą ir informuojant vartotojus</w:t>
      </w:r>
      <w:r w:rsidR="009B198D" w:rsidRPr="0053226E">
        <w:rPr>
          <w:rFonts w:ascii="Times New Roman" w:hAnsi="Times New Roman"/>
          <w:sz w:val="24"/>
          <w:szCs w:val="24"/>
          <w:lang w:eastAsia="en-GB"/>
        </w:rPr>
        <w:t>,</w:t>
      </w:r>
      <w:r w:rsidRPr="0053226E">
        <w:rPr>
          <w:rFonts w:ascii="Times New Roman" w:hAnsi="Times New Roman"/>
          <w:sz w:val="24"/>
          <w:szCs w:val="24"/>
          <w:lang w:eastAsia="en-GB"/>
        </w:rPr>
        <w:t xml:space="preserve"> </w:t>
      </w:r>
      <w:r w:rsidR="009B198D" w:rsidRPr="0053226E">
        <w:rPr>
          <w:rFonts w:ascii="Times New Roman" w:hAnsi="Times New Roman"/>
          <w:sz w:val="24"/>
          <w:szCs w:val="24"/>
          <w:lang w:eastAsia="en-GB"/>
        </w:rPr>
        <w:t>jog tai yra ieškovės gaminamas vaistinis preparatas, analogiškas vaistiniam preparatui „L-</w:t>
      </w:r>
      <w:proofErr w:type="spellStart"/>
      <w:r w:rsidR="009B198D" w:rsidRPr="0053226E">
        <w:rPr>
          <w:rFonts w:ascii="Times New Roman" w:hAnsi="Times New Roman"/>
          <w:sz w:val="24"/>
          <w:szCs w:val="24"/>
          <w:lang w:eastAsia="en-GB"/>
        </w:rPr>
        <w:t>Thyroxin</w:t>
      </w:r>
      <w:proofErr w:type="spellEnd"/>
      <w:r w:rsidR="009B198D" w:rsidRPr="0053226E">
        <w:rPr>
          <w:rFonts w:ascii="Times New Roman" w:hAnsi="Times New Roman"/>
          <w:sz w:val="24"/>
          <w:szCs w:val="24"/>
          <w:lang w:eastAsia="en-GB"/>
        </w:rPr>
        <w:t>“, yra apribotas</w:t>
      </w:r>
      <w:r w:rsidRPr="0053226E">
        <w:rPr>
          <w:rFonts w:ascii="Times New Roman" w:hAnsi="Times New Roman"/>
          <w:sz w:val="24"/>
          <w:szCs w:val="24"/>
          <w:lang w:eastAsia="en-GB"/>
        </w:rPr>
        <w:t xml:space="preserve">. </w:t>
      </w:r>
      <w:r w:rsidR="009B198D" w:rsidRPr="0053226E">
        <w:rPr>
          <w:rFonts w:ascii="Times New Roman" w:hAnsi="Times New Roman"/>
          <w:sz w:val="24"/>
          <w:szCs w:val="24"/>
          <w:lang w:eastAsia="en-GB"/>
        </w:rPr>
        <w:t>Šiuo aspektu teisėjų kolegija pažymi, kad</w:t>
      </w:r>
      <w:r w:rsidR="00C540A0" w:rsidRPr="0053226E">
        <w:rPr>
          <w:rFonts w:ascii="Times New Roman" w:hAnsi="Times New Roman"/>
          <w:sz w:val="24"/>
          <w:szCs w:val="24"/>
          <w:lang w:eastAsia="en-GB"/>
        </w:rPr>
        <w:t>,</w:t>
      </w:r>
      <w:r w:rsidRPr="0053226E">
        <w:t xml:space="preserve"> </w:t>
      </w:r>
      <w:r w:rsidR="009B198D" w:rsidRPr="0053226E">
        <w:rPr>
          <w:rFonts w:ascii="Times New Roman" w:hAnsi="Times New Roman"/>
          <w:sz w:val="24"/>
          <w:szCs w:val="24"/>
        </w:rPr>
        <w:t xml:space="preserve">pagal šiuo metu esantį teisinį reglamentavimą, atitinkami receptai vaistiniams preparatams išrašomi naudojant tik į jų sudėtį įeinančios veikliosios medžiagos </w:t>
      </w:r>
      <w:r w:rsidR="00B11639" w:rsidRPr="0053226E">
        <w:rPr>
          <w:rFonts w:ascii="Times New Roman" w:hAnsi="Times New Roman"/>
          <w:sz w:val="24"/>
          <w:szCs w:val="24"/>
        </w:rPr>
        <w:t xml:space="preserve">(ar veikliųjų medžiagų) </w:t>
      </w:r>
      <w:r w:rsidR="009B198D" w:rsidRPr="0053226E">
        <w:rPr>
          <w:rFonts w:ascii="Times New Roman" w:hAnsi="Times New Roman"/>
          <w:sz w:val="24"/>
          <w:szCs w:val="24"/>
        </w:rPr>
        <w:t>bendrinį pavadinim</w:t>
      </w:r>
      <w:r w:rsidR="00B11639" w:rsidRPr="0053226E">
        <w:rPr>
          <w:rFonts w:ascii="Times New Roman" w:hAnsi="Times New Roman"/>
          <w:sz w:val="24"/>
          <w:szCs w:val="24"/>
        </w:rPr>
        <w:t>ą</w:t>
      </w:r>
      <w:r w:rsidR="009B198D" w:rsidRPr="0053226E">
        <w:rPr>
          <w:rFonts w:ascii="Times New Roman" w:hAnsi="Times New Roman"/>
          <w:sz w:val="24"/>
          <w:szCs w:val="24"/>
        </w:rPr>
        <w:t xml:space="preserve"> (žr</w:t>
      </w:r>
      <w:r w:rsidR="00C540A0" w:rsidRPr="0053226E">
        <w:rPr>
          <w:rFonts w:ascii="Times New Roman" w:hAnsi="Times New Roman"/>
          <w:sz w:val="24"/>
          <w:szCs w:val="24"/>
        </w:rPr>
        <w:t xml:space="preserve">. </w:t>
      </w:r>
      <w:r w:rsidR="009B198D" w:rsidRPr="0053226E">
        <w:rPr>
          <w:rFonts w:ascii="Times New Roman" w:hAnsi="Times New Roman"/>
          <w:sz w:val="24"/>
          <w:szCs w:val="24"/>
        </w:rPr>
        <w:t>Receptų rašymo ir vaistinių preparatų, medicinos priemonių (medicinos prietaisų) ir kompensuojamųjų medicinos pagalbos priemonių išdavimo (pardavimo</w:t>
      </w:r>
      <w:r w:rsidR="000C5462" w:rsidRPr="0053226E">
        <w:rPr>
          <w:rFonts w:ascii="Times New Roman" w:hAnsi="Times New Roman"/>
          <w:sz w:val="24"/>
          <w:szCs w:val="24"/>
        </w:rPr>
        <w:t>)</w:t>
      </w:r>
      <w:r w:rsidR="009B198D" w:rsidRPr="0053226E">
        <w:rPr>
          <w:rFonts w:ascii="Times New Roman" w:hAnsi="Times New Roman"/>
          <w:sz w:val="24"/>
          <w:szCs w:val="24"/>
        </w:rPr>
        <w:t xml:space="preserve"> vaistinėse gyventojams ir popierinių receptų saugojimo, išdavus (pardavus) vaistinius preparatus, medicinos priemones (medicinos prietaisus) ir kompensuojamąsias medicinos pagalbos </w:t>
      </w:r>
      <w:r w:rsidR="00B11639" w:rsidRPr="0053226E">
        <w:rPr>
          <w:rFonts w:ascii="Times New Roman" w:hAnsi="Times New Roman"/>
          <w:sz w:val="24"/>
          <w:szCs w:val="24"/>
        </w:rPr>
        <w:t xml:space="preserve">priemones </w:t>
      </w:r>
      <w:r w:rsidR="009B198D" w:rsidRPr="0053226E">
        <w:rPr>
          <w:rFonts w:ascii="Times New Roman" w:hAnsi="Times New Roman"/>
          <w:sz w:val="24"/>
          <w:szCs w:val="24"/>
        </w:rPr>
        <w:t>vaistinėje, taisyklių, patvirtintų Lietuvos Respublikos sveikatos apsaugos ministro 2002 m. kovo 8 d. įsakymu Nr. 112 (nauja redakcija</w:t>
      </w:r>
      <w:r w:rsidR="00C540A0" w:rsidRPr="0053226E">
        <w:rPr>
          <w:rFonts w:ascii="Times New Roman" w:hAnsi="Times New Roman"/>
          <w:sz w:val="24"/>
          <w:szCs w:val="24"/>
        </w:rPr>
        <w:t>, įsigaliojusi</w:t>
      </w:r>
      <w:r w:rsidR="009B198D" w:rsidRPr="0053226E">
        <w:rPr>
          <w:rFonts w:ascii="Times New Roman" w:hAnsi="Times New Roman"/>
          <w:sz w:val="24"/>
          <w:szCs w:val="24"/>
        </w:rPr>
        <w:t xml:space="preserve"> nuo 2015 m. birželio 1 d.)</w:t>
      </w:r>
      <w:r w:rsidR="00B11639" w:rsidRPr="0053226E">
        <w:rPr>
          <w:rFonts w:ascii="Times New Roman" w:hAnsi="Times New Roman"/>
          <w:sz w:val="24"/>
          <w:szCs w:val="24"/>
        </w:rPr>
        <w:t>,</w:t>
      </w:r>
      <w:r w:rsidR="009B198D" w:rsidRPr="0053226E">
        <w:rPr>
          <w:rFonts w:ascii="Times New Roman" w:hAnsi="Times New Roman"/>
          <w:sz w:val="24"/>
          <w:szCs w:val="24"/>
        </w:rPr>
        <w:t xml:space="preserve"> 20 punkt</w:t>
      </w:r>
      <w:r w:rsidR="00C540A0" w:rsidRPr="0053226E">
        <w:rPr>
          <w:rFonts w:ascii="Times New Roman" w:hAnsi="Times New Roman"/>
          <w:sz w:val="24"/>
          <w:szCs w:val="24"/>
        </w:rPr>
        <w:t>ą</w:t>
      </w:r>
      <w:r w:rsidR="009B198D" w:rsidRPr="0053226E">
        <w:rPr>
          <w:rFonts w:ascii="Times New Roman" w:hAnsi="Times New Roman"/>
          <w:sz w:val="24"/>
          <w:szCs w:val="24"/>
        </w:rPr>
        <w:t xml:space="preserve">). Kartu pažymėtina, kad </w:t>
      </w:r>
      <w:r w:rsidRPr="0053226E">
        <w:rPr>
          <w:rFonts w:ascii="Times New Roman" w:hAnsi="Times New Roman"/>
          <w:sz w:val="24"/>
          <w:szCs w:val="24"/>
          <w:lang w:eastAsia="en-GB"/>
        </w:rPr>
        <w:t>veiksmingas patekimas į rinką negarantuoja veiksmingo patekimo į kito subjekto (šiuo atveju prekių ženklo savininko) jau turimą poziciją rinkoje</w:t>
      </w:r>
      <w:r w:rsidR="009B198D" w:rsidRPr="0053226E">
        <w:rPr>
          <w:rFonts w:ascii="Times New Roman" w:hAnsi="Times New Roman"/>
          <w:sz w:val="24"/>
          <w:szCs w:val="24"/>
          <w:lang w:eastAsia="en-GB"/>
        </w:rPr>
        <w:t xml:space="preserve">. </w:t>
      </w:r>
      <w:r w:rsidR="00D51396" w:rsidRPr="0053226E">
        <w:rPr>
          <w:rFonts w:ascii="Times New Roman" w:hAnsi="Times New Roman"/>
          <w:sz w:val="24"/>
          <w:szCs w:val="24"/>
          <w:lang w:eastAsia="en-GB"/>
        </w:rPr>
        <w:t>Teisėjų kolegija pripažįsta pagrįsta apeliacinės instancijos teismo išvadą, kad atsakovė neįrodė objektyvios vaisto perpakavimo būtinybės. Byloje nenustatyta jokių teisinių ar faktinių kliūčių atsakovės importuojamam vaistui pavadinimu „</w:t>
      </w:r>
      <w:proofErr w:type="spellStart"/>
      <w:r w:rsidR="00D51396" w:rsidRPr="0053226E">
        <w:rPr>
          <w:rFonts w:ascii="Times New Roman" w:hAnsi="Times New Roman"/>
          <w:sz w:val="24"/>
          <w:szCs w:val="24"/>
          <w:lang w:eastAsia="en-GB"/>
        </w:rPr>
        <w:t>Letrox</w:t>
      </w:r>
      <w:proofErr w:type="spellEnd"/>
      <w:r w:rsidR="00D51396" w:rsidRPr="0053226E">
        <w:rPr>
          <w:rFonts w:ascii="Times New Roman" w:hAnsi="Times New Roman"/>
          <w:sz w:val="24"/>
          <w:szCs w:val="24"/>
          <w:lang w:eastAsia="en-GB"/>
        </w:rPr>
        <w:t xml:space="preserve">“ patekti į Lietuvos rinką, be kita ko, dėl atitinkamų reikalavimų pakuotėms ar reikšmingos dalies vartotojų pasipriešinimo vaistiniam preparatui, pažymėtam nauju pavadinimu. </w:t>
      </w:r>
      <w:r w:rsidR="007956BC" w:rsidRPr="0053226E">
        <w:rPr>
          <w:rFonts w:ascii="Times New Roman" w:hAnsi="Times New Roman"/>
          <w:sz w:val="24"/>
          <w:szCs w:val="24"/>
          <w:lang w:eastAsia="en-GB"/>
        </w:rPr>
        <w:t>Nenustačius objektyvi</w:t>
      </w:r>
      <w:r w:rsidR="00F11CAD" w:rsidRPr="0053226E">
        <w:rPr>
          <w:rFonts w:ascii="Times New Roman" w:hAnsi="Times New Roman"/>
          <w:sz w:val="24"/>
          <w:szCs w:val="24"/>
          <w:lang w:eastAsia="en-GB"/>
        </w:rPr>
        <w:t xml:space="preserve">os perpakavimo </w:t>
      </w:r>
      <w:r w:rsidR="00F11CAD" w:rsidRPr="0053226E">
        <w:rPr>
          <w:rFonts w:ascii="Times New Roman" w:hAnsi="Times New Roman"/>
          <w:sz w:val="24"/>
          <w:szCs w:val="24"/>
          <w:lang w:eastAsia="en-GB"/>
        </w:rPr>
        <w:lastRenderedPageBreak/>
        <w:t xml:space="preserve">būtinybės </w:t>
      </w:r>
      <w:r w:rsidR="00D51396" w:rsidRPr="0053226E">
        <w:rPr>
          <w:rFonts w:ascii="Times New Roman" w:hAnsi="Times New Roman"/>
          <w:sz w:val="24"/>
          <w:szCs w:val="24"/>
          <w:lang w:eastAsia="en-GB"/>
        </w:rPr>
        <w:t>darytina</w:t>
      </w:r>
      <w:r w:rsidR="00F11CAD" w:rsidRPr="0053226E">
        <w:rPr>
          <w:rFonts w:ascii="Times New Roman" w:hAnsi="Times New Roman"/>
          <w:sz w:val="24"/>
          <w:szCs w:val="24"/>
          <w:lang w:eastAsia="en-GB"/>
        </w:rPr>
        <w:t xml:space="preserve"> išvada, kad atsakovės siekis prekiauti perpakuotu vaist</w:t>
      </w:r>
      <w:r w:rsidR="00DD61B5" w:rsidRPr="0053226E">
        <w:rPr>
          <w:rFonts w:ascii="Times New Roman" w:hAnsi="Times New Roman"/>
          <w:sz w:val="24"/>
          <w:szCs w:val="24"/>
          <w:lang w:eastAsia="en-GB"/>
        </w:rPr>
        <w:t>iniu preparatu</w:t>
      </w:r>
      <w:r w:rsidR="00F11CAD" w:rsidRPr="0053226E">
        <w:rPr>
          <w:rFonts w:ascii="Times New Roman" w:hAnsi="Times New Roman"/>
          <w:sz w:val="24"/>
          <w:szCs w:val="24"/>
          <w:lang w:eastAsia="en-GB"/>
        </w:rPr>
        <w:t xml:space="preserve"> yra grindžiamas tik siekiu gauti komercin</w:t>
      </w:r>
      <w:r w:rsidR="00D51396" w:rsidRPr="0053226E">
        <w:rPr>
          <w:rFonts w:ascii="Times New Roman" w:hAnsi="Times New Roman"/>
          <w:sz w:val="24"/>
          <w:szCs w:val="24"/>
          <w:lang w:eastAsia="en-GB"/>
        </w:rPr>
        <w:t>ės</w:t>
      </w:r>
      <w:r w:rsidR="00F11CAD" w:rsidRPr="0053226E">
        <w:rPr>
          <w:rFonts w:ascii="Times New Roman" w:hAnsi="Times New Roman"/>
          <w:sz w:val="24"/>
          <w:szCs w:val="24"/>
          <w:lang w:eastAsia="en-GB"/>
        </w:rPr>
        <w:t xml:space="preserve"> naud</w:t>
      </w:r>
      <w:r w:rsidR="00D51396" w:rsidRPr="0053226E">
        <w:rPr>
          <w:rFonts w:ascii="Times New Roman" w:hAnsi="Times New Roman"/>
          <w:sz w:val="24"/>
          <w:szCs w:val="24"/>
          <w:lang w:eastAsia="en-GB"/>
        </w:rPr>
        <w:t>os</w:t>
      </w:r>
      <w:r w:rsidR="00F11CAD" w:rsidRPr="0053226E">
        <w:rPr>
          <w:rFonts w:ascii="Times New Roman" w:hAnsi="Times New Roman"/>
          <w:sz w:val="24"/>
          <w:szCs w:val="24"/>
          <w:lang w:eastAsia="en-GB"/>
        </w:rPr>
        <w:t xml:space="preserve"> pasinaudojant ieškovės, kaip prek</w:t>
      </w:r>
      <w:r w:rsidR="00D51396" w:rsidRPr="0053226E">
        <w:rPr>
          <w:rFonts w:ascii="Times New Roman" w:hAnsi="Times New Roman"/>
          <w:sz w:val="24"/>
          <w:szCs w:val="24"/>
          <w:lang w:eastAsia="en-GB"/>
        </w:rPr>
        <w:t>ių</w:t>
      </w:r>
      <w:r w:rsidR="00F11CAD" w:rsidRPr="0053226E">
        <w:rPr>
          <w:rFonts w:ascii="Times New Roman" w:hAnsi="Times New Roman"/>
          <w:sz w:val="24"/>
          <w:szCs w:val="24"/>
          <w:lang w:eastAsia="en-GB"/>
        </w:rPr>
        <w:t xml:space="preserve"> ženklo savininkės, susikurta pozicija Lietuvos rinkoje</w:t>
      </w:r>
      <w:r w:rsidR="007E2386" w:rsidRPr="0053226E">
        <w:rPr>
          <w:rFonts w:ascii="Times New Roman" w:hAnsi="Times New Roman"/>
          <w:sz w:val="24"/>
          <w:szCs w:val="24"/>
          <w:lang w:eastAsia="en-GB"/>
        </w:rPr>
        <w:t xml:space="preserve"> </w:t>
      </w:r>
      <w:r w:rsidR="00D51396" w:rsidRPr="0053226E">
        <w:rPr>
          <w:rFonts w:ascii="Times New Roman" w:hAnsi="Times New Roman"/>
          <w:sz w:val="24"/>
          <w:szCs w:val="24"/>
          <w:lang w:eastAsia="en-GB"/>
        </w:rPr>
        <w:t>(žr. šios nutarties 63 punktą).</w:t>
      </w:r>
      <w:r w:rsidR="00F11CAD" w:rsidRPr="0053226E">
        <w:rPr>
          <w:rFonts w:ascii="Times New Roman" w:hAnsi="Times New Roman"/>
          <w:sz w:val="24"/>
          <w:szCs w:val="24"/>
          <w:lang w:eastAsia="en-GB"/>
        </w:rPr>
        <w:t xml:space="preserve"> Intelektinės nuosavybės apsaugos kontekste tai nėra gintinas interesas. </w:t>
      </w:r>
      <w:r w:rsidR="00D51396" w:rsidRPr="0053226E">
        <w:rPr>
          <w:rFonts w:ascii="Times New Roman" w:hAnsi="Times New Roman"/>
          <w:sz w:val="24"/>
          <w:szCs w:val="24"/>
          <w:lang w:eastAsia="en-GB"/>
        </w:rPr>
        <w:t xml:space="preserve">Remiantis </w:t>
      </w:r>
      <w:r w:rsidR="00770F96" w:rsidRPr="0053226E">
        <w:rPr>
          <w:rFonts w:ascii="Times New Roman" w:hAnsi="Times New Roman"/>
          <w:sz w:val="24"/>
          <w:szCs w:val="24"/>
          <w:lang w:eastAsia="en-GB"/>
        </w:rPr>
        <w:t xml:space="preserve">šioje nutartyje </w:t>
      </w:r>
      <w:r w:rsidR="00B11639" w:rsidRPr="0053226E">
        <w:rPr>
          <w:rFonts w:ascii="Times New Roman" w:hAnsi="Times New Roman"/>
          <w:sz w:val="24"/>
          <w:szCs w:val="24"/>
          <w:lang w:eastAsia="en-GB"/>
        </w:rPr>
        <w:t xml:space="preserve">pirmiau </w:t>
      </w:r>
      <w:r w:rsidR="0058091B" w:rsidRPr="0053226E">
        <w:rPr>
          <w:rFonts w:ascii="Times New Roman" w:hAnsi="Times New Roman"/>
          <w:sz w:val="24"/>
          <w:szCs w:val="24"/>
          <w:lang w:eastAsia="en-GB"/>
        </w:rPr>
        <w:t>aptart</w:t>
      </w:r>
      <w:r w:rsidR="00D51396" w:rsidRPr="0053226E">
        <w:rPr>
          <w:rFonts w:ascii="Times New Roman" w:hAnsi="Times New Roman"/>
          <w:sz w:val="24"/>
          <w:szCs w:val="24"/>
          <w:lang w:eastAsia="en-GB"/>
        </w:rPr>
        <w:t>a</w:t>
      </w:r>
      <w:r w:rsidR="0058091B" w:rsidRPr="0053226E">
        <w:rPr>
          <w:rFonts w:ascii="Times New Roman" w:hAnsi="Times New Roman"/>
          <w:sz w:val="24"/>
          <w:szCs w:val="24"/>
          <w:lang w:eastAsia="en-GB"/>
        </w:rPr>
        <w:t xml:space="preserve"> </w:t>
      </w:r>
      <w:r w:rsidR="00770F96" w:rsidRPr="0053226E">
        <w:rPr>
          <w:rFonts w:ascii="Times New Roman" w:hAnsi="Times New Roman"/>
          <w:sz w:val="24"/>
          <w:szCs w:val="24"/>
          <w:lang w:eastAsia="en-GB"/>
        </w:rPr>
        <w:t>ESTT</w:t>
      </w:r>
      <w:r w:rsidR="0058091B" w:rsidRPr="0053226E">
        <w:rPr>
          <w:rFonts w:ascii="Times New Roman" w:hAnsi="Times New Roman"/>
          <w:sz w:val="24"/>
          <w:szCs w:val="24"/>
          <w:lang w:eastAsia="en-GB"/>
        </w:rPr>
        <w:t xml:space="preserve"> praktik</w:t>
      </w:r>
      <w:r w:rsidR="00D51396" w:rsidRPr="0053226E">
        <w:rPr>
          <w:rFonts w:ascii="Times New Roman" w:hAnsi="Times New Roman"/>
          <w:sz w:val="24"/>
          <w:szCs w:val="24"/>
          <w:lang w:eastAsia="en-GB"/>
        </w:rPr>
        <w:t>a,</w:t>
      </w:r>
      <w:r w:rsidR="0058091B" w:rsidRPr="0053226E">
        <w:rPr>
          <w:rFonts w:ascii="Times New Roman" w:hAnsi="Times New Roman"/>
          <w:sz w:val="24"/>
          <w:szCs w:val="24"/>
          <w:lang w:eastAsia="en-GB"/>
        </w:rPr>
        <w:t xml:space="preserve"> konstatuotina, kad nenustačius objektyvios perpakavimo būtinybės nėra pagrindo atskirai svarstyti, ar ieškovė nesiekia dirbtinai padalyti rinkų.</w:t>
      </w:r>
    </w:p>
    <w:p w14:paraId="4ECDD0D1" w14:textId="77777777" w:rsidR="008A022B" w:rsidRPr="0053226E" w:rsidRDefault="008A022B" w:rsidP="008A022B">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Kasaciniame skunde atsakovė ginčija apeliacinės instancijos teismo nutartį, be kita ko, nurodydama, kad liko neįvykdyti kasacinio teismo 2025 m. sausio 10 d. nutarties nurodymai. Vertinant šiuos argumentus pirmiausiai pažymėtina, kad nė viena iš kasacinio teismo ankstesnėje nutartyje nurodytų papildomai tirti aplinkybių savaime nepagrindžia ir nepaneigia objektyvios vaistų perpakavimo būtinybės. Kaip nurodyta anksčiau šioje nutartyje, dėl pirmosios BMS sąlygos egzistavimo turi būti sprendžiama pagal konkrečiu atveju susiklosčiusių teisinių ir faktinių aplinkybių visumą. Nors kasacinis teismas ankstesnėje nutartyje nurodė, kad dėl ginčo pobūdžio teismo vaidmuo šioje byloje turi būti aktyvesnis, tai nesudaro pagrindo pripažinti, kad byla nėra dispozityvi, o šalys atleidžiamos nuo pareigos įrodyti reikalavimų ar atsikirtimų pagrindą sudarančias aplinkybes (CPK 178 straipsnis).</w:t>
      </w:r>
    </w:p>
    <w:p w14:paraId="42EE0C1D" w14:textId="733031D9" w:rsidR="002C6FA2" w:rsidRPr="0053226E" w:rsidRDefault="002C6FA2" w:rsidP="009D0CEF">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Teisėjų kolegija taip pat atmeta kasacinio skundo argumentus dėl atsakovės į bylą pateiktos teisininko išvados vertinimo. K</w:t>
      </w:r>
      <w:r w:rsidR="0094378B" w:rsidRPr="0053226E">
        <w:rPr>
          <w:rFonts w:ascii="Times New Roman" w:hAnsi="Times New Roman"/>
          <w:sz w:val="24"/>
          <w:szCs w:val="24"/>
          <w:lang w:eastAsia="en-GB"/>
        </w:rPr>
        <w:t>asacinio teismo praktikoje</w:t>
      </w:r>
      <w:r w:rsidRPr="0053226E">
        <w:rPr>
          <w:rFonts w:ascii="Times New Roman" w:hAnsi="Times New Roman"/>
          <w:sz w:val="24"/>
          <w:szCs w:val="24"/>
          <w:lang w:eastAsia="en-GB"/>
        </w:rPr>
        <w:t xml:space="preserve"> akcentuojama, kad teisminė sistema grindžiama principu </w:t>
      </w:r>
      <w:proofErr w:type="spellStart"/>
      <w:r w:rsidRPr="0053226E">
        <w:rPr>
          <w:rFonts w:ascii="Times New Roman" w:hAnsi="Times New Roman"/>
          <w:i/>
          <w:iCs/>
          <w:sz w:val="24"/>
          <w:szCs w:val="24"/>
          <w:lang w:eastAsia="en-GB"/>
        </w:rPr>
        <w:t>iura</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novit</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curia</w:t>
      </w:r>
      <w:proofErr w:type="spellEnd"/>
      <w:r w:rsidRPr="0053226E">
        <w:rPr>
          <w:rFonts w:ascii="Times New Roman" w:hAnsi="Times New Roman"/>
          <w:sz w:val="24"/>
          <w:szCs w:val="24"/>
          <w:lang w:eastAsia="en-GB"/>
        </w:rPr>
        <w:t xml:space="preserve"> (teismas žino teisę), kuris reiškia, jog faktinių bylos aplinkybių teisinė kvalifikacija yra teismo prerogatyva. Kadangi teisės taikymas ir aiškinimas pagal byloje nustatytas faktines aplinkybes yra išimtinė teismo kompetencija, teismas to negali pavesti atlikti kitiems asmenims (Lietuvos Aukščiausiojo Teismo 2014 m. balandžio 2 d. nutartis civilinėje byloje Nr. 3K-3-167/2014 ir joje nurodyta kasacinio teismo praktika; 2018 m. gruodžio 4 d. nutartis civilinėje byloje Nr. 3K-3-460-421/2018, 17 punktas ir jame nurodyta kasacinio teismo praktika; 2022 m. vasario 2 d. nutartis civilinėje byloje Nr. e3K-3-2-611/2022, 48 punktas; 2023 m. kovo 30 d. nutartis civilinėje byloje Nr. e3K-3-92-943/2023, 94 punktas). Dėl to teisės specialisto išvada nelaikytina įrodymu </w:t>
      </w:r>
      <w:r w:rsidR="009D0CEF" w:rsidRPr="0053226E">
        <w:rPr>
          <w:rFonts w:ascii="Times New Roman" w:hAnsi="Times New Roman"/>
          <w:sz w:val="24"/>
          <w:szCs w:val="24"/>
          <w:lang w:eastAsia="en-GB"/>
        </w:rPr>
        <w:t>civiliniame procese</w:t>
      </w:r>
      <w:r w:rsidRPr="0053226E">
        <w:rPr>
          <w:rFonts w:ascii="Times New Roman" w:hAnsi="Times New Roman"/>
          <w:sz w:val="24"/>
          <w:szCs w:val="24"/>
          <w:lang w:eastAsia="en-GB"/>
        </w:rPr>
        <w:t xml:space="preserve">, nes </w:t>
      </w:r>
      <w:r w:rsidR="00C540A0" w:rsidRPr="0053226E">
        <w:rPr>
          <w:rFonts w:ascii="Times New Roman" w:hAnsi="Times New Roman"/>
          <w:sz w:val="24"/>
          <w:szCs w:val="24"/>
          <w:lang w:eastAsia="en-GB"/>
        </w:rPr>
        <w:t xml:space="preserve">ji </w:t>
      </w:r>
      <w:r w:rsidRPr="0053226E">
        <w:rPr>
          <w:rFonts w:ascii="Times New Roman" w:hAnsi="Times New Roman"/>
          <w:sz w:val="24"/>
          <w:szCs w:val="24"/>
          <w:lang w:eastAsia="en-GB"/>
        </w:rPr>
        <w:t xml:space="preserve">neatitinka </w:t>
      </w:r>
      <w:r w:rsidR="009D0CEF" w:rsidRPr="0053226E">
        <w:rPr>
          <w:rFonts w:ascii="Times New Roman" w:hAnsi="Times New Roman"/>
          <w:sz w:val="24"/>
          <w:szCs w:val="24"/>
          <w:lang w:eastAsia="en-GB"/>
        </w:rPr>
        <w:t xml:space="preserve">CPK 177 straipsnio 1 dalies </w:t>
      </w:r>
      <w:r w:rsidRPr="0053226E">
        <w:rPr>
          <w:rFonts w:ascii="Times New Roman" w:hAnsi="Times New Roman"/>
          <w:sz w:val="24"/>
          <w:szCs w:val="24"/>
          <w:lang w:eastAsia="en-GB"/>
        </w:rPr>
        <w:t>įrodymams keliamų reikalavimų</w:t>
      </w:r>
      <w:r w:rsidR="00C540A0" w:rsidRPr="0053226E">
        <w:rPr>
          <w:rFonts w:ascii="Times New Roman" w:hAnsi="Times New Roman"/>
          <w:sz w:val="24"/>
          <w:szCs w:val="24"/>
          <w:lang w:eastAsia="en-GB"/>
        </w:rPr>
        <w:t>,</w:t>
      </w:r>
      <w:r w:rsidRPr="0053226E">
        <w:rPr>
          <w:rFonts w:ascii="Times New Roman" w:hAnsi="Times New Roman"/>
          <w:sz w:val="24"/>
          <w:szCs w:val="24"/>
          <w:lang w:eastAsia="en-GB"/>
        </w:rPr>
        <w:t xml:space="preserve"> tokio pobūdžio išvada prilygsta teisės aiškinimui, o tai yra tiesioginė teismo pareiga nagrinėjant konkrečią </w:t>
      </w:r>
      <w:r w:rsidR="009D0CEF" w:rsidRPr="0053226E">
        <w:rPr>
          <w:rFonts w:ascii="Times New Roman" w:hAnsi="Times New Roman"/>
          <w:sz w:val="24"/>
          <w:szCs w:val="24"/>
          <w:lang w:eastAsia="en-GB"/>
        </w:rPr>
        <w:t>civilinę</w:t>
      </w:r>
      <w:r w:rsidRPr="0053226E">
        <w:rPr>
          <w:rFonts w:ascii="Times New Roman" w:hAnsi="Times New Roman"/>
          <w:sz w:val="24"/>
          <w:szCs w:val="24"/>
          <w:lang w:eastAsia="en-GB"/>
        </w:rPr>
        <w:t xml:space="preserve"> bylą. </w:t>
      </w:r>
    </w:p>
    <w:p w14:paraId="01C37466" w14:textId="790E00AF" w:rsidR="00BF3330" w:rsidRPr="0053226E" w:rsidRDefault="00BF3330" w:rsidP="002C6FA2">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Konstatavus, kad SESV 102 straipsnis nagrinėjamoje byloje netaikytinas, nėra pagrindo </w:t>
      </w:r>
      <w:r w:rsidR="008A022B" w:rsidRPr="0053226E">
        <w:rPr>
          <w:rFonts w:ascii="Times New Roman" w:hAnsi="Times New Roman"/>
          <w:sz w:val="24"/>
          <w:szCs w:val="24"/>
          <w:lang w:eastAsia="en-GB"/>
        </w:rPr>
        <w:t>s</w:t>
      </w:r>
      <w:r w:rsidRPr="0053226E">
        <w:rPr>
          <w:rFonts w:ascii="Times New Roman" w:hAnsi="Times New Roman"/>
          <w:sz w:val="24"/>
          <w:szCs w:val="24"/>
          <w:lang w:eastAsia="en-GB"/>
        </w:rPr>
        <w:t xml:space="preserve">varstyti klausimo dėl Konkurencijos tarybos ar Europos </w:t>
      </w:r>
      <w:r w:rsidR="008A022B" w:rsidRPr="0053226E">
        <w:rPr>
          <w:rFonts w:ascii="Times New Roman" w:hAnsi="Times New Roman"/>
          <w:sz w:val="24"/>
          <w:szCs w:val="24"/>
          <w:lang w:eastAsia="en-GB"/>
        </w:rPr>
        <w:t>K</w:t>
      </w:r>
      <w:r w:rsidRPr="0053226E">
        <w:rPr>
          <w:rFonts w:ascii="Times New Roman" w:hAnsi="Times New Roman"/>
          <w:sz w:val="24"/>
          <w:szCs w:val="24"/>
          <w:lang w:eastAsia="en-GB"/>
        </w:rPr>
        <w:t>omisijos įtraukimo į procesą.</w:t>
      </w:r>
    </w:p>
    <w:p w14:paraId="7EF271F8" w14:textId="77777777" w:rsidR="0006388E" w:rsidRPr="0053226E" w:rsidRDefault="0006388E" w:rsidP="00F6065F">
      <w:pPr>
        <w:pStyle w:val="ListParagraph"/>
        <w:tabs>
          <w:tab w:val="left" w:pos="426"/>
          <w:tab w:val="left" w:pos="851"/>
        </w:tabs>
        <w:spacing w:after="120" w:line="240" w:lineRule="auto"/>
        <w:ind w:left="284" w:hanging="284"/>
        <w:contextualSpacing w:val="0"/>
        <w:jc w:val="both"/>
        <w:rPr>
          <w:rFonts w:ascii="Times New Roman" w:hAnsi="Times New Roman"/>
          <w:sz w:val="24"/>
          <w:szCs w:val="24"/>
        </w:rPr>
      </w:pPr>
    </w:p>
    <w:p w14:paraId="4244E620" w14:textId="735CE2D3" w:rsidR="00D34FD5" w:rsidRPr="0053226E" w:rsidRDefault="00D34FD5" w:rsidP="00F6065F">
      <w:pPr>
        <w:pStyle w:val="ListParagraph"/>
        <w:tabs>
          <w:tab w:val="left" w:pos="426"/>
          <w:tab w:val="left" w:pos="851"/>
        </w:tabs>
        <w:spacing w:after="120" w:line="240" w:lineRule="auto"/>
        <w:ind w:left="0" w:firstLine="709"/>
        <w:contextualSpacing w:val="0"/>
        <w:jc w:val="both"/>
        <w:rPr>
          <w:rFonts w:ascii="Times New Roman" w:hAnsi="Times New Roman"/>
          <w:i/>
          <w:sz w:val="24"/>
          <w:szCs w:val="24"/>
        </w:rPr>
      </w:pPr>
      <w:r w:rsidRPr="0053226E">
        <w:rPr>
          <w:rFonts w:ascii="Times New Roman" w:hAnsi="Times New Roman"/>
          <w:i/>
          <w:sz w:val="24"/>
          <w:szCs w:val="24"/>
        </w:rPr>
        <w:t xml:space="preserve">Dėl </w:t>
      </w:r>
      <w:r w:rsidR="00CA342D" w:rsidRPr="0053226E">
        <w:rPr>
          <w:rFonts w:ascii="Times New Roman" w:hAnsi="Times New Roman"/>
          <w:i/>
          <w:sz w:val="24"/>
          <w:szCs w:val="24"/>
        </w:rPr>
        <w:t xml:space="preserve">prašymo </w:t>
      </w:r>
      <w:r w:rsidRPr="0053226E">
        <w:rPr>
          <w:rFonts w:ascii="Times New Roman" w:hAnsi="Times New Roman"/>
          <w:i/>
          <w:sz w:val="24"/>
          <w:szCs w:val="24"/>
        </w:rPr>
        <w:t>kreip</w:t>
      </w:r>
      <w:r w:rsidR="00CA342D" w:rsidRPr="0053226E">
        <w:rPr>
          <w:rFonts w:ascii="Times New Roman" w:hAnsi="Times New Roman"/>
          <w:i/>
          <w:sz w:val="24"/>
          <w:szCs w:val="24"/>
        </w:rPr>
        <w:t xml:space="preserve">tis </w:t>
      </w:r>
      <w:r w:rsidRPr="0053226E">
        <w:rPr>
          <w:rFonts w:ascii="Times New Roman" w:hAnsi="Times New Roman"/>
          <w:i/>
          <w:sz w:val="24"/>
          <w:szCs w:val="24"/>
        </w:rPr>
        <w:t xml:space="preserve">į ESTT priimti </w:t>
      </w:r>
      <w:proofErr w:type="spellStart"/>
      <w:r w:rsidRPr="0053226E">
        <w:rPr>
          <w:rFonts w:ascii="Times New Roman" w:hAnsi="Times New Roman"/>
          <w:i/>
          <w:sz w:val="24"/>
          <w:szCs w:val="24"/>
        </w:rPr>
        <w:t>prejudicinį</w:t>
      </w:r>
      <w:proofErr w:type="spellEnd"/>
      <w:r w:rsidRPr="0053226E">
        <w:rPr>
          <w:rFonts w:ascii="Times New Roman" w:hAnsi="Times New Roman"/>
          <w:i/>
          <w:sz w:val="24"/>
          <w:szCs w:val="24"/>
        </w:rPr>
        <w:t xml:space="preserve"> sprendimą</w:t>
      </w:r>
    </w:p>
    <w:p w14:paraId="7B14E7C6" w14:textId="77777777" w:rsidR="00F6065F" w:rsidRPr="0053226E" w:rsidRDefault="00F6065F" w:rsidP="00F6065F">
      <w:pPr>
        <w:pStyle w:val="ListParagraph"/>
        <w:tabs>
          <w:tab w:val="left" w:pos="426"/>
          <w:tab w:val="left" w:pos="851"/>
        </w:tabs>
        <w:spacing w:after="120" w:line="240" w:lineRule="auto"/>
        <w:ind w:left="284" w:hanging="284"/>
        <w:contextualSpacing w:val="0"/>
        <w:jc w:val="both"/>
        <w:rPr>
          <w:rFonts w:ascii="Times New Roman" w:hAnsi="Times New Roman"/>
          <w:i/>
          <w:sz w:val="24"/>
          <w:szCs w:val="24"/>
        </w:rPr>
      </w:pPr>
    </w:p>
    <w:p w14:paraId="1CD339DB" w14:textId="05055CEC" w:rsidR="002E4B88" w:rsidRPr="0053226E" w:rsidRDefault="002E4B8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CPK 3 straipsnio 5 dalyje reglamentuota, kad teismas, nagrinėdamas bylas, taiko Europos Sąjungos teisės normas ir vadovaujasi Europos Sąjungos teisminių institucijų sprendimais, </w:t>
      </w:r>
      <w:proofErr w:type="spellStart"/>
      <w:r w:rsidRPr="0053226E">
        <w:rPr>
          <w:rFonts w:ascii="Times New Roman" w:hAnsi="Times New Roman"/>
          <w:sz w:val="24"/>
          <w:szCs w:val="24"/>
          <w:lang w:eastAsia="en-GB"/>
        </w:rPr>
        <w:t>prejudiciniais</w:t>
      </w:r>
      <w:proofErr w:type="spellEnd"/>
      <w:r w:rsidRPr="0053226E">
        <w:rPr>
          <w:rFonts w:ascii="Times New Roman" w:hAnsi="Times New Roman"/>
          <w:sz w:val="24"/>
          <w:szCs w:val="24"/>
          <w:lang w:eastAsia="en-GB"/>
        </w:rPr>
        <w:t xml:space="preserve"> sprendimais Europos Sąjungos teisės aktų aiškinimo ir galiojimo klausimais. Šioje nuostatoje taip pat reglamentuota, kad teismas, kuriam taikant Europos Sąjungos teisės normas iškilo Europos Sąjungos teisės aktų aiškinimo ar galiojimo klausimas, kurį išnagrinėti būtina, kad sprendimas byloje būtų priimtas, turi teisę sustabdyti bylos nagrinėjimą ir kreiptis į kompetentingą Europos Sąjungos teisminę instituciją su prašymu pateikti dėl to </w:t>
      </w:r>
      <w:proofErr w:type="spellStart"/>
      <w:r w:rsidRPr="0053226E">
        <w:rPr>
          <w:rFonts w:ascii="Times New Roman" w:hAnsi="Times New Roman"/>
          <w:sz w:val="24"/>
          <w:szCs w:val="24"/>
          <w:lang w:eastAsia="en-GB"/>
        </w:rPr>
        <w:t>prejudicinį</w:t>
      </w:r>
      <w:proofErr w:type="spellEnd"/>
      <w:r w:rsidRPr="0053226E">
        <w:rPr>
          <w:rFonts w:ascii="Times New Roman" w:hAnsi="Times New Roman"/>
          <w:sz w:val="24"/>
          <w:szCs w:val="24"/>
          <w:lang w:eastAsia="en-GB"/>
        </w:rPr>
        <w:t xml:space="preserve"> sprendimą, o teismas, kuris yra galutinė instancija nagrinėjamoje byloje ir kuriam taikant Europos Sąjungos teisės normas iškilo Europos Sąjungos teisės aktų aiškinimo ar galiojimo klausimas, privalo prašyti kompetentingos Europos Sąjungos teisminės institucijos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Europos Sąjungos teisės aktų aiškinimo ar galiojimo klausimu. </w:t>
      </w:r>
      <w:r w:rsidR="00CA342D" w:rsidRPr="0053226E">
        <w:rPr>
          <w:rFonts w:ascii="Times New Roman" w:hAnsi="Times New Roman"/>
          <w:sz w:val="24"/>
          <w:szCs w:val="24"/>
          <w:lang w:eastAsia="en-GB"/>
        </w:rPr>
        <w:t>SESV</w:t>
      </w:r>
      <w:r w:rsidRPr="0053226E">
        <w:rPr>
          <w:rFonts w:ascii="Times New Roman" w:hAnsi="Times New Roman"/>
          <w:sz w:val="24"/>
          <w:szCs w:val="24"/>
          <w:lang w:eastAsia="en-GB"/>
        </w:rPr>
        <w:t xml:space="preserve"> 267 straipsnyje nustatyta, kad jurisdikcija priimti </w:t>
      </w:r>
      <w:proofErr w:type="spellStart"/>
      <w:r w:rsidRPr="0053226E">
        <w:rPr>
          <w:rFonts w:ascii="Times New Roman" w:hAnsi="Times New Roman"/>
          <w:sz w:val="24"/>
          <w:szCs w:val="24"/>
          <w:lang w:eastAsia="en-GB"/>
        </w:rPr>
        <w:t>prejudicinį</w:t>
      </w:r>
      <w:proofErr w:type="spellEnd"/>
      <w:r w:rsidRPr="0053226E">
        <w:rPr>
          <w:rFonts w:ascii="Times New Roman" w:hAnsi="Times New Roman"/>
          <w:sz w:val="24"/>
          <w:szCs w:val="24"/>
          <w:lang w:eastAsia="en-GB"/>
        </w:rPr>
        <w:t xml:space="preserve"> sprendimą dėl Sutarčių išaiškinimo ir Europos Sąjungos institucijų, įstaigų ar organų aktų galiojimo ir išaiškinimo priklauso ESTT. Šiame straipsnyje taip pat išdėstytos iš esmės analogiškos, kaip ir pirmiau minėtose CPK nuostatose, taisyklės dėl to, kada nacionalinis teismas gali ir turi kreiptis į ESTT dėl Europos Sąjungos teisės aiškinimo.</w:t>
      </w:r>
    </w:p>
    <w:p w14:paraId="0B8BC57C" w14:textId="0EE9A58D" w:rsidR="002E4B88" w:rsidRPr="0053226E" w:rsidRDefault="002E4B8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lastRenderedPageBreak/>
        <w:t xml:space="preserve">Nors pagal pirmiau nurodytas teisės normas galutinės instancijos teismas privalo prašyti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tuo atveju, jeigu taikant Europos Sąjungos teisės normas jam iškilo Europos Sąjungos teisės aktų aiškinimo ar galiojimo klausimas, ESTT praktikoje yra išaiškinta, kad teismo pareiga kreiptis į ESTT nėra absoliuti. ESTT praktikoje yra nurodyta, kad nacionaliniai teismai, kurių sprendimai pagal nacionalinę teisę negali būti toliau apskundžiami, gali, spręsdami Europos Sąjungos teisės klausimą, nesilaikyti pareigos kreiptis dėl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tuo atveju, jei jie konstatavo, kad iškeltas klausimas nėra svarbus bylai, kad dėl nagrinėjamos Europos Sąjungos teisės nuostatos ESTT jau pateikė savo išaiškinimą arba kad tinkamas Europos Sąjungos teisės taikymas yra toks akivaizdus, jog dėl to negali kilti jokių pagrįstų abejonių (ESTT 2005 m. rugsėjo 15 d. sprendimas byloje </w:t>
      </w:r>
      <w:proofErr w:type="spellStart"/>
      <w:r w:rsidRPr="0053226E">
        <w:rPr>
          <w:rFonts w:ascii="Times New Roman" w:hAnsi="Times New Roman"/>
          <w:i/>
          <w:iCs/>
          <w:sz w:val="24"/>
          <w:szCs w:val="24"/>
          <w:lang w:eastAsia="en-GB"/>
        </w:rPr>
        <w:t>Intermodal</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Transports</w:t>
      </w:r>
      <w:proofErr w:type="spellEnd"/>
      <w:r w:rsidRPr="0053226E">
        <w:rPr>
          <w:rFonts w:ascii="Times New Roman" w:hAnsi="Times New Roman"/>
          <w:i/>
          <w:iCs/>
          <w:sz w:val="24"/>
          <w:szCs w:val="24"/>
          <w:lang w:eastAsia="en-GB"/>
        </w:rPr>
        <w:t xml:space="preserve"> BV </w:t>
      </w:r>
      <w:r w:rsidR="00AA0C3B" w:rsidRPr="0053226E">
        <w:rPr>
          <w:rFonts w:ascii="Times New Roman" w:hAnsi="Times New Roman"/>
          <w:i/>
          <w:iCs/>
          <w:sz w:val="24"/>
          <w:szCs w:val="24"/>
          <w:lang w:eastAsia="en-GB"/>
        </w:rPr>
        <w:t>prieš</w:t>
      </w:r>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Staatssecretaris</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van</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Financin</w:t>
      </w:r>
      <w:proofErr w:type="spellEnd"/>
      <w:r w:rsidRPr="0053226E">
        <w:rPr>
          <w:rFonts w:ascii="Times New Roman" w:hAnsi="Times New Roman"/>
          <w:sz w:val="24"/>
          <w:szCs w:val="24"/>
          <w:lang w:eastAsia="en-GB"/>
        </w:rPr>
        <w:t xml:space="preserve">, C-495/03, 33 punktas). Tik bylą nagrinėjantis nacionalinis teismas, atsakingas už sprendimo priėmimą, atsižvelgdamas į konkrečias bylos aplinkybes, turi įvertinti tai, ar jo sprendimui priimti būtinas </w:t>
      </w:r>
      <w:proofErr w:type="spellStart"/>
      <w:r w:rsidRPr="0053226E">
        <w:rPr>
          <w:rFonts w:ascii="Times New Roman" w:hAnsi="Times New Roman"/>
          <w:sz w:val="24"/>
          <w:szCs w:val="24"/>
          <w:lang w:eastAsia="en-GB"/>
        </w:rPr>
        <w:t>prejudicinis</w:t>
      </w:r>
      <w:proofErr w:type="spellEnd"/>
      <w:r w:rsidRPr="0053226E">
        <w:rPr>
          <w:rFonts w:ascii="Times New Roman" w:hAnsi="Times New Roman"/>
          <w:sz w:val="24"/>
          <w:szCs w:val="24"/>
          <w:lang w:eastAsia="en-GB"/>
        </w:rPr>
        <w:t xml:space="preserve"> sprendimas, ir ESTT pateikiamų klausimų svarbą (ESTT 2021 m. birželio 10 d. sprendimas byloje </w:t>
      </w:r>
      <w:proofErr w:type="spellStart"/>
      <w:r w:rsidRPr="0053226E">
        <w:rPr>
          <w:rFonts w:ascii="Times New Roman" w:hAnsi="Times New Roman"/>
          <w:i/>
          <w:iCs/>
          <w:sz w:val="24"/>
          <w:szCs w:val="24"/>
          <w:lang w:eastAsia="en-GB"/>
        </w:rPr>
        <w:t>Ultimo</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Portfolio</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Investment</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Luxembourg</w:t>
      </w:r>
      <w:proofErr w:type="spellEnd"/>
      <w:r w:rsidRPr="0053226E">
        <w:rPr>
          <w:rFonts w:ascii="Times New Roman" w:hAnsi="Times New Roman"/>
          <w:i/>
          <w:iCs/>
          <w:sz w:val="24"/>
          <w:szCs w:val="24"/>
          <w:lang w:eastAsia="en-GB"/>
        </w:rPr>
        <w:t xml:space="preserve">) SA </w:t>
      </w:r>
      <w:r w:rsidR="00AA0C3B" w:rsidRPr="0053226E">
        <w:rPr>
          <w:rFonts w:ascii="Times New Roman" w:hAnsi="Times New Roman"/>
          <w:i/>
          <w:iCs/>
          <w:sz w:val="24"/>
          <w:szCs w:val="24"/>
          <w:lang w:eastAsia="en-GB"/>
        </w:rPr>
        <w:t>prieš</w:t>
      </w:r>
      <w:r w:rsidRPr="0053226E">
        <w:rPr>
          <w:rFonts w:ascii="Times New Roman" w:hAnsi="Times New Roman"/>
          <w:i/>
          <w:iCs/>
          <w:sz w:val="24"/>
          <w:szCs w:val="24"/>
          <w:lang w:eastAsia="en-GB"/>
        </w:rPr>
        <w:t xml:space="preserve"> KM</w:t>
      </w:r>
      <w:r w:rsidRPr="0053226E">
        <w:rPr>
          <w:rFonts w:ascii="Times New Roman" w:hAnsi="Times New Roman"/>
          <w:sz w:val="24"/>
          <w:szCs w:val="24"/>
          <w:lang w:eastAsia="en-GB"/>
        </w:rPr>
        <w:t xml:space="preserve">, C-303/20, 22 punktas). Nacionalinis teismas nėra saistomas bylos šalių iniciatyvos ir sprendimą kreiptis dėl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priima savo nuožiūra (ESTT 1982 m. spalio 6 d. sprendimas byloje </w:t>
      </w:r>
      <w:proofErr w:type="spellStart"/>
      <w:r w:rsidRPr="0053226E">
        <w:rPr>
          <w:rFonts w:ascii="Times New Roman" w:hAnsi="Times New Roman"/>
          <w:i/>
          <w:iCs/>
          <w:sz w:val="24"/>
          <w:szCs w:val="24"/>
          <w:lang w:eastAsia="en-GB"/>
        </w:rPr>
        <w:t>Srl</w:t>
      </w:r>
      <w:proofErr w:type="spellEnd"/>
      <w:r w:rsidRPr="0053226E">
        <w:rPr>
          <w:rFonts w:ascii="Times New Roman" w:hAnsi="Times New Roman"/>
          <w:i/>
          <w:iCs/>
          <w:sz w:val="24"/>
          <w:szCs w:val="24"/>
          <w:lang w:eastAsia="en-GB"/>
        </w:rPr>
        <w:t xml:space="preserve"> CILFIT ir </w:t>
      </w:r>
      <w:proofErr w:type="spellStart"/>
      <w:r w:rsidRPr="0053226E">
        <w:rPr>
          <w:rFonts w:ascii="Times New Roman" w:hAnsi="Times New Roman"/>
          <w:i/>
          <w:iCs/>
          <w:sz w:val="24"/>
          <w:szCs w:val="24"/>
          <w:lang w:eastAsia="en-GB"/>
        </w:rPr>
        <w:t>Lanificio</w:t>
      </w:r>
      <w:proofErr w:type="spellEnd"/>
      <w:r w:rsidRPr="0053226E">
        <w:rPr>
          <w:rFonts w:ascii="Times New Roman" w:hAnsi="Times New Roman"/>
          <w:i/>
          <w:iCs/>
          <w:sz w:val="24"/>
          <w:szCs w:val="24"/>
          <w:lang w:eastAsia="en-GB"/>
        </w:rPr>
        <w:t xml:space="preserve"> di </w:t>
      </w:r>
      <w:proofErr w:type="spellStart"/>
      <w:r w:rsidRPr="0053226E">
        <w:rPr>
          <w:rFonts w:ascii="Times New Roman" w:hAnsi="Times New Roman"/>
          <w:i/>
          <w:iCs/>
          <w:sz w:val="24"/>
          <w:szCs w:val="24"/>
          <w:lang w:eastAsia="en-GB"/>
        </w:rPr>
        <w:t>Gavardo</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SpA</w:t>
      </w:r>
      <w:proofErr w:type="spellEnd"/>
      <w:r w:rsidRPr="0053226E">
        <w:rPr>
          <w:rFonts w:ascii="Times New Roman" w:hAnsi="Times New Roman"/>
          <w:i/>
          <w:iCs/>
          <w:sz w:val="24"/>
          <w:szCs w:val="24"/>
          <w:lang w:eastAsia="en-GB"/>
        </w:rPr>
        <w:t xml:space="preserve"> prieš </w:t>
      </w:r>
      <w:proofErr w:type="spellStart"/>
      <w:r w:rsidRPr="0053226E">
        <w:rPr>
          <w:rFonts w:ascii="Times New Roman" w:hAnsi="Times New Roman"/>
          <w:i/>
          <w:iCs/>
          <w:sz w:val="24"/>
          <w:szCs w:val="24"/>
          <w:lang w:eastAsia="en-GB"/>
        </w:rPr>
        <w:t>Ministero</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della</w:t>
      </w:r>
      <w:proofErr w:type="spellEnd"/>
      <w:r w:rsidRPr="0053226E">
        <w:rPr>
          <w:rFonts w:ascii="Times New Roman" w:hAnsi="Times New Roman"/>
          <w:i/>
          <w:iCs/>
          <w:sz w:val="24"/>
          <w:szCs w:val="24"/>
          <w:lang w:eastAsia="en-GB"/>
        </w:rPr>
        <w:t xml:space="preserve"> </w:t>
      </w:r>
      <w:proofErr w:type="spellStart"/>
      <w:r w:rsidRPr="0053226E">
        <w:rPr>
          <w:rFonts w:ascii="Times New Roman" w:hAnsi="Times New Roman"/>
          <w:i/>
          <w:iCs/>
          <w:sz w:val="24"/>
          <w:szCs w:val="24"/>
          <w:lang w:eastAsia="en-GB"/>
        </w:rPr>
        <w:t>sanit</w:t>
      </w:r>
      <w:r w:rsidR="00CA342D" w:rsidRPr="0053226E">
        <w:rPr>
          <w:rFonts w:ascii="Times New Roman" w:hAnsi="Times New Roman"/>
          <w:i/>
          <w:iCs/>
          <w:sz w:val="24"/>
          <w:szCs w:val="24"/>
          <w:lang w:eastAsia="en-GB"/>
        </w:rPr>
        <w:t>à</w:t>
      </w:r>
      <w:proofErr w:type="spellEnd"/>
      <w:r w:rsidRPr="0053226E">
        <w:rPr>
          <w:rFonts w:ascii="Times New Roman" w:hAnsi="Times New Roman"/>
          <w:sz w:val="24"/>
          <w:szCs w:val="24"/>
          <w:lang w:eastAsia="en-GB"/>
        </w:rPr>
        <w:t>, C-283/81, 9 punktas).</w:t>
      </w:r>
    </w:p>
    <w:p w14:paraId="1216BBB7" w14:textId="1E41D8B5" w:rsidR="002E4B88" w:rsidRPr="0053226E" w:rsidRDefault="002E4B88"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Šiame kontekste papildomai atkreiptinas dėmesys į tai, kad ESTT vaidmuo procese dėl </w:t>
      </w:r>
      <w:proofErr w:type="spellStart"/>
      <w:r w:rsidRPr="0053226E">
        <w:rPr>
          <w:rFonts w:ascii="Times New Roman" w:hAnsi="Times New Roman"/>
          <w:sz w:val="24"/>
          <w:szCs w:val="24"/>
          <w:lang w:eastAsia="en-GB"/>
        </w:rPr>
        <w:t>prejudicinio</w:t>
      </w:r>
      <w:proofErr w:type="spellEnd"/>
      <w:r w:rsidRPr="0053226E">
        <w:rPr>
          <w:rFonts w:ascii="Times New Roman" w:hAnsi="Times New Roman"/>
          <w:sz w:val="24"/>
          <w:szCs w:val="24"/>
          <w:lang w:eastAsia="en-GB"/>
        </w:rPr>
        <w:t xml:space="preserve"> sprendimo priėmimo yra aiškinti Europos Sąjungos teisę arba nuspręsti dėl jos galiojimo, o ne taikyti šią teisę faktinei situacijai, kuria grindžiama pagrindinė byla. Šis vaidmuo tenka nacionaliniam teismui, todėl ESTT nepriklauso nei nagrinėti vykstant pagrindinei bylai iškeltų fakto klausimų, nei priimti sprendimo dėl galėjusių atsirasti skirtingų nuomonių, kaip aiškinti ar taikyti nacionalinės teisės normas (Rekomendacijų nacionaliniams teismams dėl prašymų priimti </w:t>
      </w:r>
      <w:proofErr w:type="spellStart"/>
      <w:r w:rsidRPr="0053226E">
        <w:rPr>
          <w:rFonts w:ascii="Times New Roman" w:hAnsi="Times New Roman"/>
          <w:sz w:val="24"/>
          <w:szCs w:val="24"/>
          <w:lang w:eastAsia="en-GB"/>
        </w:rPr>
        <w:t>prejudicinį</w:t>
      </w:r>
      <w:proofErr w:type="spellEnd"/>
      <w:r w:rsidRPr="0053226E">
        <w:rPr>
          <w:rFonts w:ascii="Times New Roman" w:hAnsi="Times New Roman"/>
          <w:sz w:val="24"/>
          <w:szCs w:val="24"/>
          <w:lang w:eastAsia="en-GB"/>
        </w:rPr>
        <w:t xml:space="preserve"> sprendimą pateikimo 7 punktas). Taigi, nacionalinis teismas, o ne ESTT turi įvertinti konkrečias byloje nustatytas aplinkybes ir, taikydamas ginčui aktualias teisės aktų nuostatas, išspręsti tarp šalių kilusį ginčą.</w:t>
      </w:r>
    </w:p>
    <w:p w14:paraId="46FFAAFD" w14:textId="57A5F2E0" w:rsidR="00522882" w:rsidRPr="0053226E" w:rsidRDefault="0094559D"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Teisėjų kolegijai k</w:t>
      </w:r>
      <w:r w:rsidR="00D26BFF" w:rsidRPr="0053226E">
        <w:rPr>
          <w:rFonts w:ascii="Times New Roman" w:hAnsi="Times New Roman"/>
          <w:sz w:val="24"/>
          <w:szCs w:val="24"/>
          <w:lang w:eastAsia="en-GB"/>
        </w:rPr>
        <w:t xml:space="preserve">onstatavus, kad </w:t>
      </w:r>
      <w:r w:rsidR="00522882" w:rsidRPr="0053226E">
        <w:rPr>
          <w:rFonts w:ascii="Times New Roman" w:hAnsi="Times New Roman"/>
          <w:sz w:val="24"/>
          <w:szCs w:val="24"/>
          <w:lang w:eastAsia="en-GB"/>
        </w:rPr>
        <w:t xml:space="preserve">SESV 102 </w:t>
      </w:r>
      <w:r w:rsidR="00D26BFF" w:rsidRPr="0053226E">
        <w:rPr>
          <w:rFonts w:ascii="Times New Roman" w:hAnsi="Times New Roman"/>
          <w:sz w:val="24"/>
          <w:szCs w:val="24"/>
          <w:lang w:eastAsia="en-GB"/>
        </w:rPr>
        <w:t xml:space="preserve">straipsnis nagrinėjamoje byloje </w:t>
      </w:r>
      <w:r w:rsidR="00522882" w:rsidRPr="0053226E">
        <w:rPr>
          <w:rFonts w:ascii="Times New Roman" w:hAnsi="Times New Roman"/>
          <w:sz w:val="24"/>
          <w:szCs w:val="24"/>
          <w:lang w:eastAsia="en-GB"/>
        </w:rPr>
        <w:t>netaikytinas</w:t>
      </w:r>
      <w:r w:rsidR="00D26BFF" w:rsidRPr="0053226E">
        <w:rPr>
          <w:rFonts w:ascii="Times New Roman" w:hAnsi="Times New Roman"/>
          <w:sz w:val="24"/>
          <w:szCs w:val="24"/>
          <w:lang w:eastAsia="en-GB"/>
        </w:rPr>
        <w:t xml:space="preserve">, </w:t>
      </w:r>
      <w:r w:rsidR="00522882" w:rsidRPr="0053226E">
        <w:rPr>
          <w:rFonts w:ascii="Times New Roman" w:hAnsi="Times New Roman"/>
          <w:sz w:val="24"/>
          <w:szCs w:val="24"/>
          <w:lang w:eastAsia="en-GB"/>
        </w:rPr>
        <w:t>nėra pagrindo kreiptis</w:t>
      </w:r>
      <w:r w:rsidR="00D26BFF" w:rsidRPr="0053226E">
        <w:rPr>
          <w:rFonts w:ascii="Times New Roman" w:hAnsi="Times New Roman"/>
          <w:sz w:val="24"/>
          <w:szCs w:val="24"/>
          <w:lang w:eastAsia="en-GB"/>
        </w:rPr>
        <w:t xml:space="preserve"> į ESTT </w:t>
      </w:r>
      <w:r w:rsidRPr="0053226E">
        <w:rPr>
          <w:rFonts w:ascii="Times New Roman" w:hAnsi="Times New Roman"/>
          <w:sz w:val="24"/>
          <w:szCs w:val="24"/>
          <w:lang w:eastAsia="en-GB"/>
        </w:rPr>
        <w:t xml:space="preserve">atsakovės keliamais klausimais </w:t>
      </w:r>
      <w:r w:rsidR="00D26BFF" w:rsidRPr="0053226E">
        <w:rPr>
          <w:rFonts w:ascii="Times New Roman" w:hAnsi="Times New Roman"/>
          <w:sz w:val="24"/>
          <w:szCs w:val="24"/>
          <w:lang w:eastAsia="en-GB"/>
        </w:rPr>
        <w:t>dėl jo nuostatų išaiškinimo.</w:t>
      </w:r>
      <w:r w:rsidR="00703AFD" w:rsidRPr="0053226E">
        <w:rPr>
          <w:rFonts w:ascii="Times New Roman" w:hAnsi="Times New Roman"/>
          <w:sz w:val="24"/>
          <w:szCs w:val="24"/>
          <w:lang w:eastAsia="en-GB"/>
        </w:rPr>
        <w:t xml:space="preserve"> </w:t>
      </w:r>
      <w:r w:rsidRPr="0053226E">
        <w:rPr>
          <w:rFonts w:ascii="Times New Roman" w:hAnsi="Times New Roman"/>
          <w:sz w:val="24"/>
          <w:szCs w:val="24"/>
          <w:lang w:eastAsia="en-GB"/>
        </w:rPr>
        <w:t>N</w:t>
      </w:r>
      <w:r w:rsidR="00703AFD" w:rsidRPr="0053226E">
        <w:rPr>
          <w:rFonts w:ascii="Times New Roman" w:hAnsi="Times New Roman"/>
          <w:sz w:val="24"/>
          <w:szCs w:val="24"/>
          <w:lang w:eastAsia="en-GB"/>
        </w:rPr>
        <w:t xml:space="preserve">agrinėjamoje byloje kasaciniam teismui nekyla klausimų dėl Europos Sąjungos teisės normų aiškinimo, siekiant išspręsti bylą, atitinkamai nekyla ir kasacinio teismo pareiga kreiptis į ESTT dėl </w:t>
      </w:r>
      <w:proofErr w:type="spellStart"/>
      <w:r w:rsidR="00703AFD" w:rsidRPr="0053226E">
        <w:rPr>
          <w:rFonts w:ascii="Times New Roman" w:hAnsi="Times New Roman"/>
          <w:sz w:val="24"/>
          <w:szCs w:val="24"/>
          <w:lang w:eastAsia="en-GB"/>
        </w:rPr>
        <w:t>prejudicinio</w:t>
      </w:r>
      <w:proofErr w:type="spellEnd"/>
      <w:r w:rsidR="00703AFD" w:rsidRPr="0053226E">
        <w:rPr>
          <w:rFonts w:ascii="Times New Roman" w:hAnsi="Times New Roman"/>
          <w:sz w:val="24"/>
          <w:szCs w:val="24"/>
          <w:lang w:eastAsia="en-GB"/>
        </w:rPr>
        <w:t xml:space="preserve"> sprendimo priėmimo, todėl </w:t>
      </w:r>
      <w:r w:rsidRPr="0053226E">
        <w:rPr>
          <w:rFonts w:ascii="Times New Roman" w:hAnsi="Times New Roman"/>
          <w:sz w:val="24"/>
          <w:szCs w:val="24"/>
          <w:lang w:eastAsia="en-GB"/>
        </w:rPr>
        <w:t>atsa</w:t>
      </w:r>
      <w:r w:rsidR="00703AFD" w:rsidRPr="0053226E">
        <w:rPr>
          <w:rFonts w:ascii="Times New Roman" w:hAnsi="Times New Roman"/>
          <w:sz w:val="24"/>
          <w:szCs w:val="24"/>
          <w:lang w:eastAsia="en-GB"/>
        </w:rPr>
        <w:t>kovės prašymas dėl tokio kreipimosi atmestinas.</w:t>
      </w:r>
    </w:p>
    <w:p w14:paraId="784A1C34" w14:textId="77777777" w:rsidR="00F6065F" w:rsidRDefault="00F6065F" w:rsidP="00F6065F">
      <w:pPr>
        <w:tabs>
          <w:tab w:val="left" w:pos="426"/>
          <w:tab w:val="left" w:pos="851"/>
        </w:tabs>
        <w:spacing w:after="120"/>
        <w:ind w:left="284" w:hanging="284"/>
        <w:jc w:val="both"/>
        <w:rPr>
          <w:i/>
        </w:rPr>
      </w:pPr>
    </w:p>
    <w:p w14:paraId="3177DB6C" w14:textId="4E28F0CC" w:rsidR="006030DD" w:rsidRPr="0053226E" w:rsidRDefault="00B91E8D" w:rsidP="00F6065F">
      <w:pPr>
        <w:tabs>
          <w:tab w:val="left" w:pos="426"/>
          <w:tab w:val="left" w:pos="851"/>
        </w:tabs>
        <w:spacing w:after="120"/>
        <w:ind w:firstLine="709"/>
        <w:jc w:val="both"/>
        <w:rPr>
          <w:i/>
        </w:rPr>
      </w:pPr>
      <w:r w:rsidRPr="0053226E">
        <w:rPr>
          <w:i/>
        </w:rPr>
        <w:t xml:space="preserve">Dėl </w:t>
      </w:r>
      <w:r w:rsidR="00227E31" w:rsidRPr="0053226E">
        <w:rPr>
          <w:i/>
        </w:rPr>
        <w:t xml:space="preserve">bylos procesinės baigties ir </w:t>
      </w:r>
      <w:r w:rsidR="008B4C96" w:rsidRPr="0053226E">
        <w:rPr>
          <w:i/>
        </w:rPr>
        <w:t>bylinėjimosi išlaidų</w:t>
      </w:r>
    </w:p>
    <w:p w14:paraId="735E1549" w14:textId="77777777" w:rsidR="00227E31" w:rsidRPr="0053226E" w:rsidRDefault="00227E31" w:rsidP="00F6065F">
      <w:pPr>
        <w:tabs>
          <w:tab w:val="left" w:pos="426"/>
          <w:tab w:val="left" w:pos="851"/>
        </w:tabs>
        <w:spacing w:after="120"/>
        <w:ind w:left="284" w:hanging="284"/>
        <w:jc w:val="both"/>
        <w:rPr>
          <w:i/>
        </w:rPr>
      </w:pPr>
    </w:p>
    <w:p w14:paraId="1A24AAE5" w14:textId="33B6CA48" w:rsidR="00584440" w:rsidRPr="0053226E" w:rsidRDefault="00227E31" w:rsidP="00FF0008">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 xml:space="preserve">Apibendrindama išdėstytus argumentus teisėjų kolegija </w:t>
      </w:r>
      <w:r w:rsidR="006E5C14" w:rsidRPr="0053226E">
        <w:rPr>
          <w:rFonts w:ascii="Times New Roman" w:hAnsi="Times New Roman"/>
          <w:sz w:val="24"/>
          <w:szCs w:val="24"/>
          <w:lang w:eastAsia="en-GB"/>
        </w:rPr>
        <w:t>konstatuoja</w:t>
      </w:r>
      <w:r w:rsidRPr="0053226E">
        <w:rPr>
          <w:rFonts w:ascii="Times New Roman" w:hAnsi="Times New Roman"/>
          <w:sz w:val="24"/>
          <w:szCs w:val="24"/>
          <w:lang w:eastAsia="en-GB"/>
        </w:rPr>
        <w:t xml:space="preserve">, </w:t>
      </w:r>
      <w:r w:rsidR="006E5C14" w:rsidRPr="0053226E">
        <w:rPr>
          <w:rFonts w:ascii="Times New Roman" w:hAnsi="Times New Roman"/>
          <w:sz w:val="24"/>
          <w:szCs w:val="24"/>
          <w:lang w:eastAsia="en-GB"/>
        </w:rPr>
        <w:t xml:space="preserve">kad </w:t>
      </w:r>
      <w:r w:rsidR="00D26BFF" w:rsidRPr="0053226E">
        <w:rPr>
          <w:rFonts w:ascii="Times New Roman" w:hAnsi="Times New Roman"/>
          <w:sz w:val="24"/>
          <w:szCs w:val="24"/>
          <w:lang w:eastAsia="en-GB"/>
        </w:rPr>
        <w:t>atsakovės kasacinio skundo argumentai nesudaro pagrindo pakeisti ar panaikinti skundžiamą teismo procesinį sprendimą</w:t>
      </w:r>
      <w:r w:rsidR="00AD7FC9" w:rsidRPr="0052030E">
        <w:rPr>
          <w:rFonts w:ascii="Times New Roman" w:hAnsi="Times New Roman"/>
          <w:sz w:val="24"/>
          <w:szCs w:val="24"/>
          <w:lang w:eastAsia="en-GB"/>
        </w:rPr>
        <w:t xml:space="preserve"> </w:t>
      </w:r>
      <w:r w:rsidR="00AD7FC9" w:rsidRPr="0053226E">
        <w:rPr>
          <w:rFonts w:ascii="Times New Roman" w:hAnsi="Times New Roman"/>
          <w:sz w:val="24"/>
          <w:szCs w:val="24"/>
          <w:lang w:eastAsia="en-GB"/>
        </w:rPr>
        <w:t>(CPK 359 straipsnio 1 dalies 1 punktas).</w:t>
      </w:r>
    </w:p>
    <w:p w14:paraId="31DE81F5" w14:textId="07EBE501" w:rsidR="0052030E" w:rsidRPr="009217C8" w:rsidRDefault="00F45A12" w:rsidP="004E1C5A">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bookmarkStart w:id="12" w:name="_Hlk170218793"/>
      <w:r w:rsidRPr="009217C8">
        <w:rPr>
          <w:rFonts w:ascii="Times New Roman" w:hAnsi="Times New Roman"/>
          <w:sz w:val="24"/>
          <w:szCs w:val="24"/>
          <w:lang w:eastAsia="en-GB"/>
        </w:rPr>
        <w:t xml:space="preserve">Kadangi skundžiamu teismo procesiniu sprendimu dėl ieškinio pagrindo yra išspręsta tik dalis byloje nagrinėjamo ginčo, </w:t>
      </w:r>
      <w:r w:rsidR="0052030E" w:rsidRPr="009217C8">
        <w:rPr>
          <w:rFonts w:ascii="Times New Roman" w:hAnsi="Times New Roman"/>
          <w:sz w:val="24"/>
          <w:szCs w:val="24"/>
          <w:lang w:eastAsia="en-GB"/>
        </w:rPr>
        <w:t xml:space="preserve">tai </w:t>
      </w:r>
      <w:r w:rsidRPr="009217C8">
        <w:rPr>
          <w:rFonts w:ascii="Times New Roman" w:hAnsi="Times New Roman"/>
          <w:sz w:val="24"/>
          <w:szCs w:val="24"/>
          <w:lang w:eastAsia="en-GB"/>
        </w:rPr>
        <w:t>bylinėjimosi išlaidos šioje proceso stadijoje ne</w:t>
      </w:r>
      <w:r w:rsidR="00AD7FC9" w:rsidRPr="009217C8">
        <w:rPr>
          <w:rFonts w:ascii="Times New Roman" w:hAnsi="Times New Roman"/>
          <w:sz w:val="24"/>
          <w:szCs w:val="24"/>
          <w:lang w:eastAsia="en-GB"/>
        </w:rPr>
        <w:t>pa</w:t>
      </w:r>
      <w:r w:rsidRPr="009217C8">
        <w:rPr>
          <w:rFonts w:ascii="Times New Roman" w:hAnsi="Times New Roman"/>
          <w:sz w:val="24"/>
          <w:szCs w:val="24"/>
          <w:lang w:eastAsia="en-GB"/>
        </w:rPr>
        <w:t>skirstomos (CPK</w:t>
      </w:r>
      <w:r w:rsidR="00462D59">
        <w:rPr>
          <w:rFonts w:ascii="Times New Roman" w:hAnsi="Times New Roman"/>
          <w:sz w:val="24"/>
          <w:szCs w:val="24"/>
          <w:lang w:eastAsia="en-GB"/>
        </w:rPr>
        <w:t> </w:t>
      </w:r>
      <w:r w:rsidRPr="009217C8">
        <w:rPr>
          <w:rFonts w:ascii="Times New Roman" w:hAnsi="Times New Roman"/>
          <w:sz w:val="24"/>
          <w:szCs w:val="24"/>
          <w:lang w:eastAsia="en-GB"/>
        </w:rPr>
        <w:t>93 straipsnio 5 dalis).</w:t>
      </w:r>
      <w:r w:rsidR="0052030E" w:rsidRPr="009217C8">
        <w:rPr>
          <w:rFonts w:ascii="Times New Roman" w:hAnsi="Times New Roman"/>
          <w:sz w:val="24"/>
          <w:szCs w:val="24"/>
          <w:lang w:eastAsia="en-GB"/>
        </w:rPr>
        <w:t xml:space="preserve"> </w:t>
      </w:r>
      <w:r w:rsidR="009217C8" w:rsidRPr="009217C8">
        <w:rPr>
          <w:rFonts w:ascii="Times New Roman" w:hAnsi="Times New Roman"/>
          <w:sz w:val="24"/>
          <w:szCs w:val="24"/>
          <w:lang w:eastAsia="en-GB"/>
        </w:rPr>
        <w:t xml:space="preserve"> </w:t>
      </w:r>
    </w:p>
    <w:p w14:paraId="315EF4BB" w14:textId="24650B2A" w:rsidR="00C4007E" w:rsidRPr="0053226E" w:rsidRDefault="00227E31" w:rsidP="002C6FA2">
      <w:pPr>
        <w:pStyle w:val="ListParagraph"/>
        <w:numPr>
          <w:ilvl w:val="0"/>
          <w:numId w:val="1"/>
        </w:numPr>
        <w:tabs>
          <w:tab w:val="left" w:pos="993"/>
        </w:tabs>
        <w:snapToGrid w:val="0"/>
        <w:spacing w:after="120" w:line="240" w:lineRule="auto"/>
        <w:ind w:left="360"/>
        <w:contextualSpacing w:val="0"/>
        <w:jc w:val="both"/>
        <w:rPr>
          <w:rFonts w:ascii="Times New Roman" w:hAnsi="Times New Roman"/>
          <w:sz w:val="24"/>
          <w:szCs w:val="24"/>
          <w:lang w:eastAsia="en-GB"/>
        </w:rPr>
      </w:pPr>
      <w:r w:rsidRPr="0053226E">
        <w:rPr>
          <w:rFonts w:ascii="Times New Roman" w:hAnsi="Times New Roman"/>
          <w:sz w:val="24"/>
          <w:szCs w:val="24"/>
          <w:lang w:eastAsia="en-GB"/>
        </w:rPr>
        <w:t>Kasaciniame teisme išlaidų, susijusių su procesinių dokumentų įteikimu, nepatirta.</w:t>
      </w:r>
    </w:p>
    <w:p w14:paraId="5E299992" w14:textId="77777777" w:rsidR="006030DD" w:rsidRPr="0053226E" w:rsidRDefault="006030DD" w:rsidP="00FF0008">
      <w:pPr>
        <w:pStyle w:val="ListParagraph"/>
        <w:tabs>
          <w:tab w:val="left" w:pos="993"/>
        </w:tabs>
        <w:snapToGrid w:val="0"/>
        <w:spacing w:after="120" w:line="240" w:lineRule="auto"/>
        <w:ind w:left="360"/>
        <w:contextualSpacing w:val="0"/>
        <w:jc w:val="both"/>
        <w:rPr>
          <w:rFonts w:ascii="Times New Roman" w:hAnsi="Times New Roman"/>
          <w:sz w:val="24"/>
          <w:szCs w:val="24"/>
          <w:lang w:eastAsia="en-GB"/>
        </w:rPr>
      </w:pPr>
    </w:p>
    <w:p w14:paraId="7CF55FFC" w14:textId="3BCC6448" w:rsidR="006030DD" w:rsidRPr="0053226E" w:rsidRDefault="008B4C96" w:rsidP="006030DD">
      <w:pPr>
        <w:ind w:firstLine="720"/>
        <w:jc w:val="both"/>
      </w:pPr>
      <w:r w:rsidRPr="0053226E">
        <w:t>Lietuvos Aukščiausiojo Teismo Civilinių bylų skyriaus teisėjų kolegija, vadovaudamasi Lietuvos Respublikos civilinio proceso kodekso</w:t>
      </w:r>
      <w:r w:rsidR="002740D9" w:rsidRPr="0053226E">
        <w:t xml:space="preserve"> </w:t>
      </w:r>
      <w:r w:rsidRPr="0053226E">
        <w:t xml:space="preserve">359 straipsnio 1 </w:t>
      </w:r>
      <w:r w:rsidR="00880D46" w:rsidRPr="0053226E">
        <w:t>dalies 1</w:t>
      </w:r>
      <w:r w:rsidR="00034722" w:rsidRPr="0053226E">
        <w:t> </w:t>
      </w:r>
      <w:r w:rsidRPr="0053226E">
        <w:t>punkt</w:t>
      </w:r>
      <w:r w:rsidR="00C60399" w:rsidRPr="0053226E">
        <w:t>u</w:t>
      </w:r>
      <w:r w:rsidRPr="0053226E">
        <w:t>, 362 straipsnio 1 dalimi,</w:t>
      </w:r>
    </w:p>
    <w:p w14:paraId="6C70409A" w14:textId="77777777" w:rsidR="006030DD" w:rsidRPr="0053226E" w:rsidRDefault="006030DD" w:rsidP="006030DD">
      <w:pPr>
        <w:ind w:firstLine="720"/>
        <w:jc w:val="both"/>
      </w:pPr>
    </w:p>
    <w:p w14:paraId="296B501A" w14:textId="77777777" w:rsidR="006030DD" w:rsidRPr="0053226E" w:rsidRDefault="008B4C96" w:rsidP="006030DD">
      <w:pPr>
        <w:jc w:val="both"/>
        <w:rPr>
          <w:b/>
          <w:bCs/>
        </w:rPr>
      </w:pPr>
      <w:r w:rsidRPr="0053226E">
        <w:t>n u t a r i a :</w:t>
      </w:r>
    </w:p>
    <w:p w14:paraId="14ECCE8A" w14:textId="77777777" w:rsidR="006030DD" w:rsidRPr="0053226E" w:rsidRDefault="006030DD" w:rsidP="006030DD">
      <w:pPr>
        <w:ind w:firstLine="720"/>
        <w:jc w:val="both"/>
      </w:pPr>
    </w:p>
    <w:p w14:paraId="6C651ABA" w14:textId="6B9C93E9" w:rsidR="00880D46" w:rsidRPr="0053226E" w:rsidRDefault="00C30BAF" w:rsidP="00880D46">
      <w:pPr>
        <w:ind w:firstLine="720"/>
        <w:jc w:val="both"/>
        <w:rPr>
          <w:color w:val="000000" w:themeColor="text1"/>
        </w:rPr>
      </w:pPr>
      <w:r w:rsidRPr="0053226E">
        <w:rPr>
          <w:color w:val="000000" w:themeColor="text1"/>
        </w:rPr>
        <w:t>Lietuvos apeliacinio</w:t>
      </w:r>
      <w:r w:rsidR="00C60399" w:rsidRPr="0053226E">
        <w:rPr>
          <w:color w:val="000000" w:themeColor="text1"/>
        </w:rPr>
        <w:t xml:space="preserve"> teismo </w:t>
      </w:r>
      <w:r w:rsidR="00E1715B" w:rsidRPr="0053226E">
        <w:rPr>
          <w:color w:val="000000" w:themeColor="text1"/>
        </w:rPr>
        <w:t xml:space="preserve">Civilinių bylų skyriaus teisėjų kolegijos </w:t>
      </w:r>
      <w:r w:rsidR="00C60399" w:rsidRPr="0053226E">
        <w:rPr>
          <w:color w:val="000000" w:themeColor="text1"/>
        </w:rPr>
        <w:t>202</w:t>
      </w:r>
      <w:r w:rsidR="007B13A0" w:rsidRPr="0053226E">
        <w:rPr>
          <w:color w:val="000000" w:themeColor="text1"/>
        </w:rPr>
        <w:t>5</w:t>
      </w:r>
      <w:r w:rsidR="00C60399" w:rsidRPr="0053226E">
        <w:rPr>
          <w:color w:val="000000" w:themeColor="text1"/>
        </w:rPr>
        <w:t xml:space="preserve"> m. </w:t>
      </w:r>
      <w:r w:rsidR="007B13A0" w:rsidRPr="0053226E">
        <w:rPr>
          <w:color w:val="000000" w:themeColor="text1"/>
        </w:rPr>
        <w:t>vasario 6</w:t>
      </w:r>
      <w:r w:rsidR="00C60399" w:rsidRPr="0053226E">
        <w:rPr>
          <w:color w:val="000000" w:themeColor="text1"/>
        </w:rPr>
        <w:t xml:space="preserve"> d. </w:t>
      </w:r>
      <w:r w:rsidR="007B4006" w:rsidRPr="0053226E">
        <w:rPr>
          <w:color w:val="000000" w:themeColor="text1"/>
        </w:rPr>
        <w:t>nutartį</w:t>
      </w:r>
      <w:r w:rsidR="00C60399" w:rsidRPr="0053226E">
        <w:rPr>
          <w:color w:val="000000" w:themeColor="text1"/>
        </w:rPr>
        <w:t xml:space="preserve"> </w:t>
      </w:r>
      <w:r w:rsidR="00880D46" w:rsidRPr="0053226E">
        <w:rPr>
          <w:color w:val="000000" w:themeColor="text1"/>
        </w:rPr>
        <w:t>palikti nepakeistą</w:t>
      </w:r>
      <w:r w:rsidR="00C60399" w:rsidRPr="0053226E">
        <w:rPr>
          <w:color w:val="000000" w:themeColor="text1"/>
        </w:rPr>
        <w:t>.</w:t>
      </w:r>
    </w:p>
    <w:p w14:paraId="20677E9C" w14:textId="54FB32B0" w:rsidR="006030DD" w:rsidRPr="0053226E" w:rsidRDefault="008B4C96" w:rsidP="00880D46">
      <w:pPr>
        <w:ind w:firstLine="720"/>
        <w:jc w:val="both"/>
      </w:pPr>
      <w:r w:rsidRPr="0053226E">
        <w:t>Ši Lietuvos Aukščiausiojo Teismo nutartis yra galutinė, neskundžiama ir įsiteisėja nuo priėmimo dienos.</w:t>
      </w:r>
    </w:p>
    <w:p w14:paraId="3D70DA86" w14:textId="77777777" w:rsidR="006030DD" w:rsidRPr="0053226E" w:rsidRDefault="006030DD" w:rsidP="006030DD">
      <w:pPr>
        <w:jc w:val="both"/>
      </w:pPr>
    </w:p>
    <w:p w14:paraId="2D7C14D5" w14:textId="77777777" w:rsidR="006030DD" w:rsidRPr="0053226E" w:rsidRDefault="006030DD" w:rsidP="006030DD">
      <w:pPr>
        <w:jc w:val="both"/>
      </w:pPr>
    </w:p>
    <w:p w14:paraId="59FF95FE" w14:textId="77777777" w:rsidR="000C6089" w:rsidRPr="0053226E" w:rsidRDefault="008B4C96" w:rsidP="000C6089">
      <w:pPr>
        <w:jc w:val="both"/>
        <w:rPr>
          <w:lang w:eastAsia="en-US"/>
        </w:rPr>
      </w:pPr>
      <w:r w:rsidRPr="0053226E">
        <w:t>Teisėj</w:t>
      </w:r>
      <w:r w:rsidR="007B4006" w:rsidRPr="0053226E">
        <w:t>ai</w:t>
      </w:r>
      <w:r w:rsidRPr="0053226E">
        <w:tab/>
      </w:r>
      <w:r w:rsidRPr="0053226E">
        <w:tab/>
      </w:r>
      <w:r w:rsidRPr="0053226E">
        <w:tab/>
      </w:r>
      <w:r w:rsidRPr="0053226E">
        <w:tab/>
      </w:r>
      <w:r w:rsidR="000C6089" w:rsidRPr="0053226E">
        <w:rPr>
          <w:lang w:eastAsia="en-US"/>
        </w:rPr>
        <w:t xml:space="preserve">Sigita </w:t>
      </w:r>
      <w:proofErr w:type="spellStart"/>
      <w:r w:rsidR="000C6089" w:rsidRPr="0053226E">
        <w:rPr>
          <w:lang w:eastAsia="en-US"/>
        </w:rPr>
        <w:t>Rudėnaitė</w:t>
      </w:r>
      <w:proofErr w:type="spellEnd"/>
    </w:p>
    <w:p w14:paraId="4958A1C4" w14:textId="77777777" w:rsidR="00AD7FC9" w:rsidRPr="0053226E" w:rsidRDefault="00AD7FC9" w:rsidP="000C6089">
      <w:pPr>
        <w:jc w:val="both"/>
        <w:rPr>
          <w:b/>
          <w:lang w:eastAsia="en-US"/>
        </w:rPr>
      </w:pPr>
    </w:p>
    <w:p w14:paraId="1867BA21" w14:textId="77777777" w:rsidR="000C6089" w:rsidRPr="0053226E" w:rsidRDefault="000C6089" w:rsidP="000C6089">
      <w:pPr>
        <w:ind w:firstLine="1418"/>
      </w:pPr>
    </w:p>
    <w:p w14:paraId="097AA4FB" w14:textId="77777777" w:rsidR="0052683D" w:rsidRPr="0053226E" w:rsidRDefault="007B4006" w:rsidP="0052683D">
      <w:pPr>
        <w:ind w:left="4252" w:firstLine="1418"/>
      </w:pPr>
      <w:r w:rsidRPr="0053226E">
        <w:t>A</w:t>
      </w:r>
      <w:r w:rsidR="000C6089" w:rsidRPr="0053226E">
        <w:t xml:space="preserve">ntanas </w:t>
      </w:r>
      <w:proofErr w:type="spellStart"/>
      <w:r w:rsidR="000C6089" w:rsidRPr="0053226E">
        <w:t>Simniškis</w:t>
      </w:r>
      <w:proofErr w:type="spellEnd"/>
    </w:p>
    <w:p w14:paraId="4DB18D4C" w14:textId="77777777" w:rsidR="0052683D" w:rsidRPr="0053226E" w:rsidRDefault="0052683D" w:rsidP="0052683D">
      <w:pPr>
        <w:ind w:left="4252" w:firstLine="1418"/>
      </w:pPr>
    </w:p>
    <w:p w14:paraId="55B43D5A" w14:textId="77777777" w:rsidR="0052683D" w:rsidRPr="0053226E" w:rsidRDefault="0052683D" w:rsidP="0052683D">
      <w:pPr>
        <w:ind w:left="4252" w:firstLine="1418"/>
      </w:pPr>
    </w:p>
    <w:p w14:paraId="36536D64" w14:textId="7EA28A3F" w:rsidR="00C966A4" w:rsidRPr="00F6065F" w:rsidRDefault="0052683D" w:rsidP="0052683D">
      <w:pPr>
        <w:ind w:left="4252" w:firstLine="1418"/>
      </w:pPr>
      <w:r w:rsidRPr="0053226E">
        <w:t>A</w:t>
      </w:r>
      <w:r w:rsidR="000C6089" w:rsidRPr="0053226E">
        <w:rPr>
          <w:lang w:eastAsia="en-US"/>
        </w:rPr>
        <w:t xml:space="preserve">lgirdas </w:t>
      </w:r>
      <w:proofErr w:type="spellStart"/>
      <w:r w:rsidR="000C6089" w:rsidRPr="0053226E">
        <w:rPr>
          <w:lang w:eastAsia="en-US"/>
        </w:rPr>
        <w:t>Taminskas</w:t>
      </w:r>
      <w:bookmarkEnd w:id="12"/>
      <w:proofErr w:type="spellEnd"/>
    </w:p>
    <w:sectPr w:rsidR="00C966A4" w:rsidRPr="00F6065F" w:rsidSect="0069612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D8CA8" w14:textId="77777777" w:rsidR="00A37C07" w:rsidRPr="007E3C1A" w:rsidRDefault="00A37C07" w:rsidP="006030DD">
      <w:r w:rsidRPr="007E3C1A">
        <w:separator/>
      </w:r>
    </w:p>
  </w:endnote>
  <w:endnote w:type="continuationSeparator" w:id="0">
    <w:p w14:paraId="5D044D42" w14:textId="77777777" w:rsidR="00A37C07" w:rsidRPr="007E3C1A" w:rsidRDefault="00A37C07" w:rsidP="006030DD">
      <w:r w:rsidRPr="007E3C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657CF" w14:textId="77777777" w:rsidR="00A37C07" w:rsidRPr="007E3C1A" w:rsidRDefault="00A37C07" w:rsidP="006030DD">
      <w:r w:rsidRPr="007E3C1A">
        <w:separator/>
      </w:r>
    </w:p>
  </w:footnote>
  <w:footnote w:type="continuationSeparator" w:id="0">
    <w:p w14:paraId="4318BB37" w14:textId="77777777" w:rsidR="00A37C07" w:rsidRPr="007E3C1A" w:rsidRDefault="00A37C07" w:rsidP="006030DD">
      <w:r w:rsidRPr="007E3C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C8AE" w14:textId="7285A09F" w:rsidR="00576174" w:rsidRPr="007E3C1A" w:rsidRDefault="00576174" w:rsidP="006030DD">
    <w:pPr>
      <w:pStyle w:val="Header"/>
      <w:tabs>
        <w:tab w:val="left" w:pos="8080"/>
      </w:tabs>
      <w:rPr>
        <w:b/>
      </w:rPr>
    </w:pPr>
    <w:r w:rsidRPr="007E3C1A">
      <w:tab/>
    </w:r>
    <w:r w:rsidRPr="007E3C1A">
      <w:fldChar w:fldCharType="begin"/>
    </w:r>
    <w:r w:rsidRPr="007E3C1A">
      <w:instrText xml:space="preserve">PAGE  </w:instrText>
    </w:r>
    <w:r w:rsidRPr="007E3C1A">
      <w:fldChar w:fldCharType="separate"/>
    </w:r>
    <w:r w:rsidR="00D91025" w:rsidRPr="007E3C1A">
      <w:t>10</w:t>
    </w:r>
    <w:r w:rsidRPr="007E3C1A">
      <w:fldChar w:fldCharType="end"/>
    </w:r>
    <w:r w:rsidRPr="007E3C1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A078ED"/>
    <w:multiLevelType w:val="multilevel"/>
    <w:tmpl w:val="C37E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70DAA"/>
    <w:multiLevelType w:val="hybridMultilevel"/>
    <w:tmpl w:val="CE24CA3E"/>
    <w:lvl w:ilvl="0" w:tplc="E258F672">
      <w:start w:val="1"/>
      <w:numFmt w:val="decimal"/>
      <w:lvlText w:val="%1."/>
      <w:lvlJc w:val="left"/>
      <w:pPr>
        <w:ind w:left="1426"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ED22FB"/>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E4696"/>
    <w:multiLevelType w:val="hybridMultilevel"/>
    <w:tmpl w:val="5282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059FD"/>
    <w:multiLevelType w:val="multilevel"/>
    <w:tmpl w:val="70EC7B30"/>
    <w:lvl w:ilvl="0">
      <w:start w:val="1"/>
      <w:numFmt w:val="decimal"/>
      <w:lvlText w:val="%1."/>
      <w:lvlJc w:val="left"/>
      <w:pPr>
        <w:ind w:left="1353"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4410E96"/>
    <w:multiLevelType w:val="multilevel"/>
    <w:tmpl w:val="6A40B954"/>
    <w:lvl w:ilvl="0">
      <w:start w:val="1"/>
      <w:numFmt w:val="decimal"/>
      <w:lvlText w:val="%1."/>
      <w:lvlJc w:val="left"/>
      <w:pPr>
        <w:ind w:left="360" w:hanging="360"/>
      </w:pPr>
      <w:rPr>
        <w:rFonts w:hint="default"/>
        <w:i w:val="0"/>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24620E1C"/>
    <w:multiLevelType w:val="hybridMultilevel"/>
    <w:tmpl w:val="016CDD7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12"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3" w15:restartNumberingAfterBreak="0">
    <w:nsid w:val="363D0C3F"/>
    <w:multiLevelType w:val="hybridMultilevel"/>
    <w:tmpl w:val="E20EB5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37242F1C"/>
    <w:multiLevelType w:val="hybridMultilevel"/>
    <w:tmpl w:val="A134C190"/>
    <w:lvl w:ilvl="0" w:tplc="E27E8B6E">
      <w:start w:val="1"/>
      <w:numFmt w:val="decimal"/>
      <w:lvlText w:val="%1."/>
      <w:lvlJc w:val="left"/>
      <w:pPr>
        <w:ind w:left="1420" w:hanging="10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E6022F"/>
    <w:multiLevelType w:val="multilevel"/>
    <w:tmpl w:val="FB101F7C"/>
    <w:lvl w:ilvl="0">
      <w:start w:val="1"/>
      <w:numFmt w:val="decimal"/>
      <w:lvlText w:val="%1."/>
      <w:lvlJc w:val="left"/>
      <w:pPr>
        <w:ind w:left="644" w:hanging="360"/>
      </w:pPr>
      <w:rPr>
        <w:rFonts w:ascii="Calibri" w:hAnsi="Calibri" w:hint="default"/>
        <w:sz w:val="22"/>
      </w:rPr>
    </w:lvl>
    <w:lvl w:ilvl="1">
      <w:start w:val="1"/>
      <w:numFmt w:val="decimal"/>
      <w:isLgl/>
      <w:lvlText w:val="%1.%2."/>
      <w:lvlJc w:val="left"/>
      <w:pPr>
        <w:ind w:left="1920" w:hanging="48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17" w15:restartNumberingAfterBreak="0">
    <w:nsid w:val="3E592CA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713349"/>
    <w:multiLevelType w:val="multilevel"/>
    <w:tmpl w:val="0409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3" w15:restartNumberingAfterBreak="0">
    <w:nsid w:val="538F6B9B"/>
    <w:multiLevelType w:val="hybridMultilevel"/>
    <w:tmpl w:val="5E9AA460"/>
    <w:lvl w:ilvl="0" w:tplc="A36AB272">
      <w:start w:val="1"/>
      <w:numFmt w:val="bullet"/>
      <w:lvlText w:val="-"/>
      <w:lvlJc w:val="left"/>
      <w:pPr>
        <w:ind w:left="717" w:hanging="360"/>
      </w:pPr>
      <w:rPr>
        <w:rFonts w:ascii="Times New Roman" w:eastAsia="Times New Roman" w:hAnsi="Times New Roman" w:cs="Times New Roman" w:hint="default"/>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24"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76B50E2"/>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C194977"/>
    <w:multiLevelType w:val="multilevel"/>
    <w:tmpl w:val="336C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2C10D7"/>
    <w:multiLevelType w:val="hybridMultilevel"/>
    <w:tmpl w:val="F48AE9A2"/>
    <w:lvl w:ilvl="0" w:tplc="E258F67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6DB91E1B"/>
    <w:multiLevelType w:val="multilevel"/>
    <w:tmpl w:val="75583032"/>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1064953"/>
    <w:multiLevelType w:val="multilevel"/>
    <w:tmpl w:val="532AFDD2"/>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31"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81A53F4"/>
    <w:multiLevelType w:val="multilevel"/>
    <w:tmpl w:val="277E90C6"/>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8594ED7"/>
    <w:multiLevelType w:val="multilevel"/>
    <w:tmpl w:val="7EE0E532"/>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EB1CDC"/>
    <w:multiLevelType w:val="multilevel"/>
    <w:tmpl w:val="C0D2E3F2"/>
    <w:lvl w:ilvl="0">
      <w:start w:val="30"/>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CD41B7C"/>
    <w:multiLevelType w:val="hybridMultilevel"/>
    <w:tmpl w:val="0A3AA4E6"/>
    <w:lvl w:ilvl="0" w:tplc="61CAEADE">
      <w:start w:val="1"/>
      <w:numFmt w:val="decimal"/>
      <w:lvlText w:val="%1."/>
      <w:lvlJc w:val="left"/>
      <w:pPr>
        <w:ind w:left="1079" w:hanging="37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7DB90527"/>
    <w:multiLevelType w:val="multilevel"/>
    <w:tmpl w:val="CC6E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590347">
    <w:abstractNumId w:val="6"/>
  </w:num>
  <w:num w:numId="2" w16cid:durableId="267588639">
    <w:abstractNumId w:val="11"/>
  </w:num>
  <w:num w:numId="3" w16cid:durableId="591357650">
    <w:abstractNumId w:val="26"/>
  </w:num>
  <w:num w:numId="4" w16cid:durableId="970206133">
    <w:abstractNumId w:val="21"/>
  </w:num>
  <w:num w:numId="5" w16cid:durableId="1202278887">
    <w:abstractNumId w:val="10"/>
  </w:num>
  <w:num w:numId="6" w16cid:durableId="975455215">
    <w:abstractNumId w:val="3"/>
  </w:num>
  <w:num w:numId="7" w16cid:durableId="62342475">
    <w:abstractNumId w:val="0"/>
  </w:num>
  <w:num w:numId="8" w16cid:durableId="455295179">
    <w:abstractNumId w:val="31"/>
  </w:num>
  <w:num w:numId="9" w16cid:durableId="2055350330">
    <w:abstractNumId w:val="22"/>
  </w:num>
  <w:num w:numId="10" w16cid:durableId="6451349">
    <w:abstractNumId w:val="20"/>
  </w:num>
  <w:num w:numId="11" w16cid:durableId="933980708">
    <w:abstractNumId w:val="12"/>
  </w:num>
  <w:num w:numId="12" w16cid:durableId="986057241">
    <w:abstractNumId w:val="24"/>
  </w:num>
  <w:num w:numId="13" w16cid:durableId="1945070892">
    <w:abstractNumId w:val="7"/>
  </w:num>
  <w:num w:numId="14" w16cid:durableId="1683162687">
    <w:abstractNumId w:val="15"/>
  </w:num>
  <w:num w:numId="15" w16cid:durableId="771783938">
    <w:abstractNumId w:val="18"/>
  </w:num>
  <w:num w:numId="16" w16cid:durableId="187450514">
    <w:abstractNumId w:val="33"/>
  </w:num>
  <w:num w:numId="17" w16cid:durableId="158039000">
    <w:abstractNumId w:val="23"/>
  </w:num>
  <w:num w:numId="18" w16cid:durableId="125510702">
    <w:abstractNumId w:val="13"/>
  </w:num>
  <w:num w:numId="19" w16cid:durableId="344401289">
    <w:abstractNumId w:val="30"/>
  </w:num>
  <w:num w:numId="20" w16cid:durableId="333529646">
    <w:abstractNumId w:val="5"/>
  </w:num>
  <w:num w:numId="21" w16cid:durableId="688217371">
    <w:abstractNumId w:val="9"/>
  </w:num>
  <w:num w:numId="22" w16cid:durableId="93404099">
    <w:abstractNumId w:val="14"/>
  </w:num>
  <w:num w:numId="23" w16cid:durableId="917711613">
    <w:abstractNumId w:val="19"/>
  </w:num>
  <w:num w:numId="24" w16cid:durableId="1216047493">
    <w:abstractNumId w:val="28"/>
  </w:num>
  <w:num w:numId="25" w16cid:durableId="1874152369">
    <w:abstractNumId w:val="2"/>
  </w:num>
  <w:num w:numId="26" w16cid:durableId="1450658673">
    <w:abstractNumId w:val="17"/>
  </w:num>
  <w:num w:numId="27" w16cid:durableId="160857615">
    <w:abstractNumId w:val="8"/>
  </w:num>
  <w:num w:numId="28" w16cid:durableId="650787720">
    <w:abstractNumId w:val="4"/>
  </w:num>
  <w:num w:numId="29" w16cid:durableId="626351406">
    <w:abstractNumId w:val="36"/>
  </w:num>
  <w:num w:numId="30" w16cid:durableId="201329984">
    <w:abstractNumId w:val="27"/>
  </w:num>
  <w:num w:numId="31" w16cid:durableId="502597806">
    <w:abstractNumId w:val="1"/>
  </w:num>
  <w:num w:numId="32" w16cid:durableId="3674183">
    <w:abstractNumId w:val="32"/>
  </w:num>
  <w:num w:numId="33" w16cid:durableId="1853298124">
    <w:abstractNumId w:val="25"/>
  </w:num>
  <w:num w:numId="34" w16cid:durableId="1051223157">
    <w:abstractNumId w:val="35"/>
  </w:num>
  <w:num w:numId="35" w16cid:durableId="2112043721">
    <w:abstractNumId w:val="16"/>
  </w:num>
  <w:num w:numId="36" w16cid:durableId="1833906649">
    <w:abstractNumId w:val="34"/>
  </w:num>
  <w:num w:numId="37" w16cid:durableId="453905866">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53"/>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599"/>
    <w:rsid w:val="00002A02"/>
    <w:rsid w:val="00002D4B"/>
    <w:rsid w:val="00002EA1"/>
    <w:rsid w:val="0000314E"/>
    <w:rsid w:val="000032EC"/>
    <w:rsid w:val="000034F6"/>
    <w:rsid w:val="0000365B"/>
    <w:rsid w:val="0000378D"/>
    <w:rsid w:val="00003C17"/>
    <w:rsid w:val="00003FC7"/>
    <w:rsid w:val="0000404B"/>
    <w:rsid w:val="00004166"/>
    <w:rsid w:val="000042D5"/>
    <w:rsid w:val="000043F0"/>
    <w:rsid w:val="000046A7"/>
    <w:rsid w:val="000049D1"/>
    <w:rsid w:val="00004DCF"/>
    <w:rsid w:val="00004E9A"/>
    <w:rsid w:val="00005208"/>
    <w:rsid w:val="00005519"/>
    <w:rsid w:val="000057FB"/>
    <w:rsid w:val="0000613C"/>
    <w:rsid w:val="0000661E"/>
    <w:rsid w:val="00006998"/>
    <w:rsid w:val="00006E5B"/>
    <w:rsid w:val="00006F01"/>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8E8"/>
    <w:rsid w:val="00015A7C"/>
    <w:rsid w:val="00015A82"/>
    <w:rsid w:val="00015B18"/>
    <w:rsid w:val="00015BC8"/>
    <w:rsid w:val="00015C31"/>
    <w:rsid w:val="00015FA9"/>
    <w:rsid w:val="00016309"/>
    <w:rsid w:val="0001664D"/>
    <w:rsid w:val="000166A6"/>
    <w:rsid w:val="000169B5"/>
    <w:rsid w:val="00017074"/>
    <w:rsid w:val="0001718B"/>
    <w:rsid w:val="0001750D"/>
    <w:rsid w:val="00017B82"/>
    <w:rsid w:val="00017C3D"/>
    <w:rsid w:val="00017F48"/>
    <w:rsid w:val="00017FA9"/>
    <w:rsid w:val="000204A2"/>
    <w:rsid w:val="000204E6"/>
    <w:rsid w:val="00020C68"/>
    <w:rsid w:val="000212E2"/>
    <w:rsid w:val="000214EA"/>
    <w:rsid w:val="00021C02"/>
    <w:rsid w:val="00021C2C"/>
    <w:rsid w:val="00021C48"/>
    <w:rsid w:val="00021EC6"/>
    <w:rsid w:val="00021FDE"/>
    <w:rsid w:val="00022263"/>
    <w:rsid w:val="000229EF"/>
    <w:rsid w:val="000229F9"/>
    <w:rsid w:val="00022B5D"/>
    <w:rsid w:val="00022DB5"/>
    <w:rsid w:val="00022DD7"/>
    <w:rsid w:val="00022FDC"/>
    <w:rsid w:val="000231C0"/>
    <w:rsid w:val="00023546"/>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812"/>
    <w:rsid w:val="00027B29"/>
    <w:rsid w:val="00030102"/>
    <w:rsid w:val="000301AE"/>
    <w:rsid w:val="000302A1"/>
    <w:rsid w:val="0003068D"/>
    <w:rsid w:val="0003071C"/>
    <w:rsid w:val="00030D37"/>
    <w:rsid w:val="00030D82"/>
    <w:rsid w:val="00030E87"/>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1"/>
    <w:rsid w:val="000333D9"/>
    <w:rsid w:val="00033608"/>
    <w:rsid w:val="00033B27"/>
    <w:rsid w:val="00033D02"/>
    <w:rsid w:val="00033D33"/>
    <w:rsid w:val="000344A5"/>
    <w:rsid w:val="00034501"/>
    <w:rsid w:val="00034614"/>
    <w:rsid w:val="00034722"/>
    <w:rsid w:val="00034797"/>
    <w:rsid w:val="000347FD"/>
    <w:rsid w:val="00034867"/>
    <w:rsid w:val="00034AB5"/>
    <w:rsid w:val="00034C56"/>
    <w:rsid w:val="00034ED5"/>
    <w:rsid w:val="00034EF1"/>
    <w:rsid w:val="000353A4"/>
    <w:rsid w:val="00035859"/>
    <w:rsid w:val="0003595C"/>
    <w:rsid w:val="00035A3E"/>
    <w:rsid w:val="00035C3C"/>
    <w:rsid w:val="00035E37"/>
    <w:rsid w:val="00035E51"/>
    <w:rsid w:val="000361CE"/>
    <w:rsid w:val="000361D0"/>
    <w:rsid w:val="000361D9"/>
    <w:rsid w:val="00036530"/>
    <w:rsid w:val="000367F7"/>
    <w:rsid w:val="00036970"/>
    <w:rsid w:val="00036C19"/>
    <w:rsid w:val="00036E20"/>
    <w:rsid w:val="00036ED6"/>
    <w:rsid w:val="00037065"/>
    <w:rsid w:val="0003720B"/>
    <w:rsid w:val="0003729C"/>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A9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262"/>
    <w:rsid w:val="000504CD"/>
    <w:rsid w:val="00050681"/>
    <w:rsid w:val="000508C3"/>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37"/>
    <w:rsid w:val="00057DB6"/>
    <w:rsid w:val="000600D9"/>
    <w:rsid w:val="0006029A"/>
    <w:rsid w:val="00060562"/>
    <w:rsid w:val="00060C00"/>
    <w:rsid w:val="00060DCD"/>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88E"/>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65"/>
    <w:rsid w:val="00073ECA"/>
    <w:rsid w:val="00073F3A"/>
    <w:rsid w:val="00073FAA"/>
    <w:rsid w:val="00073FC0"/>
    <w:rsid w:val="00074129"/>
    <w:rsid w:val="000744D0"/>
    <w:rsid w:val="00074840"/>
    <w:rsid w:val="00074D4E"/>
    <w:rsid w:val="000755B1"/>
    <w:rsid w:val="00075648"/>
    <w:rsid w:val="00075952"/>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5AB"/>
    <w:rsid w:val="000827DB"/>
    <w:rsid w:val="0008296E"/>
    <w:rsid w:val="00082DAF"/>
    <w:rsid w:val="00082EEE"/>
    <w:rsid w:val="0008302C"/>
    <w:rsid w:val="00083722"/>
    <w:rsid w:val="00083733"/>
    <w:rsid w:val="000838A9"/>
    <w:rsid w:val="00083AB9"/>
    <w:rsid w:val="00083E42"/>
    <w:rsid w:val="000840CA"/>
    <w:rsid w:val="00084614"/>
    <w:rsid w:val="00084703"/>
    <w:rsid w:val="000848E2"/>
    <w:rsid w:val="0008511D"/>
    <w:rsid w:val="000856B1"/>
    <w:rsid w:val="000857E6"/>
    <w:rsid w:val="000859A0"/>
    <w:rsid w:val="00085E63"/>
    <w:rsid w:val="00085F1C"/>
    <w:rsid w:val="000864CB"/>
    <w:rsid w:val="000867F9"/>
    <w:rsid w:val="000868C9"/>
    <w:rsid w:val="00086C88"/>
    <w:rsid w:val="00086D35"/>
    <w:rsid w:val="00086F60"/>
    <w:rsid w:val="00086F90"/>
    <w:rsid w:val="000870B8"/>
    <w:rsid w:val="00087389"/>
    <w:rsid w:val="000873FE"/>
    <w:rsid w:val="00087DBB"/>
    <w:rsid w:val="00087E6E"/>
    <w:rsid w:val="00087E97"/>
    <w:rsid w:val="0009073D"/>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5AA"/>
    <w:rsid w:val="000A45FC"/>
    <w:rsid w:val="000A477B"/>
    <w:rsid w:val="000A48F5"/>
    <w:rsid w:val="000A490F"/>
    <w:rsid w:val="000A4A1E"/>
    <w:rsid w:val="000A4CD9"/>
    <w:rsid w:val="000A4E79"/>
    <w:rsid w:val="000A4FBF"/>
    <w:rsid w:val="000A4FF9"/>
    <w:rsid w:val="000A527C"/>
    <w:rsid w:val="000A591D"/>
    <w:rsid w:val="000A5AA8"/>
    <w:rsid w:val="000A5BA1"/>
    <w:rsid w:val="000A5DC4"/>
    <w:rsid w:val="000A5F1A"/>
    <w:rsid w:val="000A5FDB"/>
    <w:rsid w:val="000A62DA"/>
    <w:rsid w:val="000A67B8"/>
    <w:rsid w:val="000A680E"/>
    <w:rsid w:val="000A6946"/>
    <w:rsid w:val="000A6B4E"/>
    <w:rsid w:val="000A70FC"/>
    <w:rsid w:val="000A72E9"/>
    <w:rsid w:val="000A7420"/>
    <w:rsid w:val="000A74F4"/>
    <w:rsid w:val="000A754B"/>
    <w:rsid w:val="000A7611"/>
    <w:rsid w:val="000A78CA"/>
    <w:rsid w:val="000A78FA"/>
    <w:rsid w:val="000A7915"/>
    <w:rsid w:val="000A797E"/>
    <w:rsid w:val="000A7CED"/>
    <w:rsid w:val="000B00B1"/>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507"/>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8F9"/>
    <w:rsid w:val="000B5931"/>
    <w:rsid w:val="000B59E5"/>
    <w:rsid w:val="000B5A29"/>
    <w:rsid w:val="000B5B8F"/>
    <w:rsid w:val="000B5C45"/>
    <w:rsid w:val="000B5C9F"/>
    <w:rsid w:val="000B6748"/>
    <w:rsid w:val="000B75F7"/>
    <w:rsid w:val="000B76B8"/>
    <w:rsid w:val="000B7DF0"/>
    <w:rsid w:val="000B7F8A"/>
    <w:rsid w:val="000C0063"/>
    <w:rsid w:val="000C01C9"/>
    <w:rsid w:val="000C042E"/>
    <w:rsid w:val="000C05FD"/>
    <w:rsid w:val="000C0F06"/>
    <w:rsid w:val="000C10E9"/>
    <w:rsid w:val="000C1124"/>
    <w:rsid w:val="000C13D0"/>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3C4"/>
    <w:rsid w:val="000C47C1"/>
    <w:rsid w:val="000C47CE"/>
    <w:rsid w:val="000C4A76"/>
    <w:rsid w:val="000C4C5F"/>
    <w:rsid w:val="000C50D0"/>
    <w:rsid w:val="000C538E"/>
    <w:rsid w:val="000C5462"/>
    <w:rsid w:val="000C5A13"/>
    <w:rsid w:val="000C5C48"/>
    <w:rsid w:val="000C5E28"/>
    <w:rsid w:val="000C6089"/>
    <w:rsid w:val="000C61FC"/>
    <w:rsid w:val="000C63AE"/>
    <w:rsid w:val="000C63FF"/>
    <w:rsid w:val="000C64B3"/>
    <w:rsid w:val="000C67CB"/>
    <w:rsid w:val="000C6A92"/>
    <w:rsid w:val="000C6C84"/>
    <w:rsid w:val="000C6F7E"/>
    <w:rsid w:val="000C6FB8"/>
    <w:rsid w:val="000C71B6"/>
    <w:rsid w:val="000C725A"/>
    <w:rsid w:val="000C745F"/>
    <w:rsid w:val="000C74E6"/>
    <w:rsid w:val="000C7683"/>
    <w:rsid w:val="000C7694"/>
    <w:rsid w:val="000C76D9"/>
    <w:rsid w:val="000C7807"/>
    <w:rsid w:val="000C782C"/>
    <w:rsid w:val="000C79A2"/>
    <w:rsid w:val="000C7AC1"/>
    <w:rsid w:val="000D0338"/>
    <w:rsid w:val="000D0698"/>
    <w:rsid w:val="000D08CC"/>
    <w:rsid w:val="000D0A05"/>
    <w:rsid w:val="000D0B4E"/>
    <w:rsid w:val="000D0E11"/>
    <w:rsid w:val="000D158F"/>
    <w:rsid w:val="000D15F8"/>
    <w:rsid w:val="000D1786"/>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F6"/>
    <w:rsid w:val="000E048C"/>
    <w:rsid w:val="000E057C"/>
    <w:rsid w:val="000E0894"/>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04"/>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54"/>
    <w:rsid w:val="000E5FF9"/>
    <w:rsid w:val="000E6667"/>
    <w:rsid w:val="000E6A46"/>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0F5"/>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604"/>
    <w:rsid w:val="001026BF"/>
    <w:rsid w:val="001029C4"/>
    <w:rsid w:val="00102AE4"/>
    <w:rsid w:val="00102C7C"/>
    <w:rsid w:val="00103014"/>
    <w:rsid w:val="00103C9A"/>
    <w:rsid w:val="00103DE2"/>
    <w:rsid w:val="001042AA"/>
    <w:rsid w:val="001045A7"/>
    <w:rsid w:val="00104BD1"/>
    <w:rsid w:val="001050B4"/>
    <w:rsid w:val="001050D3"/>
    <w:rsid w:val="00105118"/>
    <w:rsid w:val="00105362"/>
    <w:rsid w:val="001053E2"/>
    <w:rsid w:val="00105408"/>
    <w:rsid w:val="0010550E"/>
    <w:rsid w:val="001056E2"/>
    <w:rsid w:val="0010609C"/>
    <w:rsid w:val="001061F5"/>
    <w:rsid w:val="00106229"/>
    <w:rsid w:val="00106414"/>
    <w:rsid w:val="00106629"/>
    <w:rsid w:val="0010762E"/>
    <w:rsid w:val="001078C6"/>
    <w:rsid w:val="00110190"/>
    <w:rsid w:val="0011044D"/>
    <w:rsid w:val="00110685"/>
    <w:rsid w:val="00110D82"/>
    <w:rsid w:val="00111A85"/>
    <w:rsid w:val="00111D7F"/>
    <w:rsid w:val="00111DC0"/>
    <w:rsid w:val="0011271F"/>
    <w:rsid w:val="00112A2E"/>
    <w:rsid w:val="00113328"/>
    <w:rsid w:val="00113574"/>
    <w:rsid w:val="001136E5"/>
    <w:rsid w:val="00113752"/>
    <w:rsid w:val="001138DB"/>
    <w:rsid w:val="00113F3D"/>
    <w:rsid w:val="001144BC"/>
    <w:rsid w:val="00114E25"/>
    <w:rsid w:val="00114E98"/>
    <w:rsid w:val="00114F56"/>
    <w:rsid w:val="001150FA"/>
    <w:rsid w:val="00115219"/>
    <w:rsid w:val="0011546F"/>
    <w:rsid w:val="0011572B"/>
    <w:rsid w:val="00115782"/>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E8F"/>
    <w:rsid w:val="00117F78"/>
    <w:rsid w:val="00120084"/>
    <w:rsid w:val="00120751"/>
    <w:rsid w:val="001207BE"/>
    <w:rsid w:val="00120E89"/>
    <w:rsid w:val="001211B8"/>
    <w:rsid w:val="001212D2"/>
    <w:rsid w:val="0012144A"/>
    <w:rsid w:val="0012150A"/>
    <w:rsid w:val="001215FF"/>
    <w:rsid w:val="00121B32"/>
    <w:rsid w:val="00121E12"/>
    <w:rsid w:val="00121E3E"/>
    <w:rsid w:val="00122297"/>
    <w:rsid w:val="00122310"/>
    <w:rsid w:val="001224E5"/>
    <w:rsid w:val="001225C2"/>
    <w:rsid w:val="00122702"/>
    <w:rsid w:val="001228AE"/>
    <w:rsid w:val="00122D02"/>
    <w:rsid w:val="00122D25"/>
    <w:rsid w:val="00122DF9"/>
    <w:rsid w:val="0012315A"/>
    <w:rsid w:val="00123225"/>
    <w:rsid w:val="0012381B"/>
    <w:rsid w:val="00123E88"/>
    <w:rsid w:val="00123FA0"/>
    <w:rsid w:val="00124826"/>
    <w:rsid w:val="00124886"/>
    <w:rsid w:val="001249C3"/>
    <w:rsid w:val="001255E6"/>
    <w:rsid w:val="0012579D"/>
    <w:rsid w:val="00125817"/>
    <w:rsid w:val="00125A63"/>
    <w:rsid w:val="00125AC7"/>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F1"/>
    <w:rsid w:val="00127249"/>
    <w:rsid w:val="001273D9"/>
    <w:rsid w:val="001276F9"/>
    <w:rsid w:val="00127791"/>
    <w:rsid w:val="0012780B"/>
    <w:rsid w:val="00127AC2"/>
    <w:rsid w:val="00127DD8"/>
    <w:rsid w:val="00127E91"/>
    <w:rsid w:val="00130098"/>
    <w:rsid w:val="001303DF"/>
    <w:rsid w:val="001304F8"/>
    <w:rsid w:val="00130663"/>
    <w:rsid w:val="00130680"/>
    <w:rsid w:val="001306B2"/>
    <w:rsid w:val="001308C1"/>
    <w:rsid w:val="00130B07"/>
    <w:rsid w:val="00130B79"/>
    <w:rsid w:val="00130D42"/>
    <w:rsid w:val="00130E31"/>
    <w:rsid w:val="00130F04"/>
    <w:rsid w:val="001310D8"/>
    <w:rsid w:val="00131332"/>
    <w:rsid w:val="0013145A"/>
    <w:rsid w:val="001314FB"/>
    <w:rsid w:val="00131984"/>
    <w:rsid w:val="00131EA9"/>
    <w:rsid w:val="00131F59"/>
    <w:rsid w:val="0013273D"/>
    <w:rsid w:val="00132A14"/>
    <w:rsid w:val="00132B93"/>
    <w:rsid w:val="00132CDC"/>
    <w:rsid w:val="00132DD0"/>
    <w:rsid w:val="00133024"/>
    <w:rsid w:val="00133557"/>
    <w:rsid w:val="00133B6B"/>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393"/>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1763"/>
    <w:rsid w:val="001418EB"/>
    <w:rsid w:val="0014207A"/>
    <w:rsid w:val="001421AF"/>
    <w:rsid w:val="001421F9"/>
    <w:rsid w:val="00142337"/>
    <w:rsid w:val="00142439"/>
    <w:rsid w:val="001426B5"/>
    <w:rsid w:val="001427ED"/>
    <w:rsid w:val="00142A22"/>
    <w:rsid w:val="001430FD"/>
    <w:rsid w:val="00143238"/>
    <w:rsid w:val="0014340F"/>
    <w:rsid w:val="0014360D"/>
    <w:rsid w:val="00143783"/>
    <w:rsid w:val="00143B21"/>
    <w:rsid w:val="00145BC4"/>
    <w:rsid w:val="00145C5A"/>
    <w:rsid w:val="00146476"/>
    <w:rsid w:val="00146785"/>
    <w:rsid w:val="00147B53"/>
    <w:rsid w:val="00150073"/>
    <w:rsid w:val="0015160C"/>
    <w:rsid w:val="00151779"/>
    <w:rsid w:val="00152585"/>
    <w:rsid w:val="0015301B"/>
    <w:rsid w:val="0015317A"/>
    <w:rsid w:val="00153361"/>
    <w:rsid w:val="00153F00"/>
    <w:rsid w:val="00154DF1"/>
    <w:rsid w:val="00154F06"/>
    <w:rsid w:val="0015521A"/>
    <w:rsid w:val="00155E85"/>
    <w:rsid w:val="00155E96"/>
    <w:rsid w:val="00155FB8"/>
    <w:rsid w:val="00156542"/>
    <w:rsid w:val="0016063A"/>
    <w:rsid w:val="00160ADD"/>
    <w:rsid w:val="00160FD1"/>
    <w:rsid w:val="00161ADE"/>
    <w:rsid w:val="00161F32"/>
    <w:rsid w:val="00162656"/>
    <w:rsid w:val="001632BE"/>
    <w:rsid w:val="00163C38"/>
    <w:rsid w:val="001646C9"/>
    <w:rsid w:val="0016563C"/>
    <w:rsid w:val="00166EBA"/>
    <w:rsid w:val="0016730E"/>
    <w:rsid w:val="001675AB"/>
    <w:rsid w:val="001679A6"/>
    <w:rsid w:val="00170E0E"/>
    <w:rsid w:val="00171129"/>
    <w:rsid w:val="0017125E"/>
    <w:rsid w:val="0017278D"/>
    <w:rsid w:val="00172A43"/>
    <w:rsid w:val="00173155"/>
    <w:rsid w:val="00173602"/>
    <w:rsid w:val="0017372D"/>
    <w:rsid w:val="001747A3"/>
    <w:rsid w:val="00176686"/>
    <w:rsid w:val="0017789B"/>
    <w:rsid w:val="00177974"/>
    <w:rsid w:val="001779D6"/>
    <w:rsid w:val="00177E27"/>
    <w:rsid w:val="0018016B"/>
    <w:rsid w:val="00180E60"/>
    <w:rsid w:val="00182622"/>
    <w:rsid w:val="001827A8"/>
    <w:rsid w:val="00182A21"/>
    <w:rsid w:val="0018446D"/>
    <w:rsid w:val="00184AF5"/>
    <w:rsid w:val="001852EF"/>
    <w:rsid w:val="00185D62"/>
    <w:rsid w:val="00187146"/>
    <w:rsid w:val="0018744E"/>
    <w:rsid w:val="001878CD"/>
    <w:rsid w:val="00191BA4"/>
    <w:rsid w:val="00191C30"/>
    <w:rsid w:val="001953A1"/>
    <w:rsid w:val="0019591B"/>
    <w:rsid w:val="00196DFA"/>
    <w:rsid w:val="00197186"/>
    <w:rsid w:val="0019752A"/>
    <w:rsid w:val="001978B4"/>
    <w:rsid w:val="001A0FEF"/>
    <w:rsid w:val="001A137E"/>
    <w:rsid w:val="001A13DB"/>
    <w:rsid w:val="001A1416"/>
    <w:rsid w:val="001A1B6D"/>
    <w:rsid w:val="001A1E2B"/>
    <w:rsid w:val="001A4DD7"/>
    <w:rsid w:val="001A5E0E"/>
    <w:rsid w:val="001B0E23"/>
    <w:rsid w:val="001B1373"/>
    <w:rsid w:val="001B19BD"/>
    <w:rsid w:val="001B1E6E"/>
    <w:rsid w:val="001B3142"/>
    <w:rsid w:val="001B6475"/>
    <w:rsid w:val="001B69A1"/>
    <w:rsid w:val="001C1333"/>
    <w:rsid w:val="001C2288"/>
    <w:rsid w:val="001C26F7"/>
    <w:rsid w:val="001C3256"/>
    <w:rsid w:val="001C3F5F"/>
    <w:rsid w:val="001C706D"/>
    <w:rsid w:val="001D05AA"/>
    <w:rsid w:val="001D0FDC"/>
    <w:rsid w:val="001D13C7"/>
    <w:rsid w:val="001D141E"/>
    <w:rsid w:val="001D3E73"/>
    <w:rsid w:val="001D46D1"/>
    <w:rsid w:val="001D4E71"/>
    <w:rsid w:val="001D5178"/>
    <w:rsid w:val="001D779C"/>
    <w:rsid w:val="001E042A"/>
    <w:rsid w:val="001E0A46"/>
    <w:rsid w:val="001E0A53"/>
    <w:rsid w:val="001E0AEF"/>
    <w:rsid w:val="001E148D"/>
    <w:rsid w:val="001E1E3A"/>
    <w:rsid w:val="001E2E43"/>
    <w:rsid w:val="001E2F99"/>
    <w:rsid w:val="001E3832"/>
    <w:rsid w:val="001E4AC9"/>
    <w:rsid w:val="001E5FD7"/>
    <w:rsid w:val="001E640B"/>
    <w:rsid w:val="001F11DE"/>
    <w:rsid w:val="001F16B4"/>
    <w:rsid w:val="001F1C88"/>
    <w:rsid w:val="001F2651"/>
    <w:rsid w:val="001F2BFC"/>
    <w:rsid w:val="001F2E4B"/>
    <w:rsid w:val="001F4739"/>
    <w:rsid w:val="001F4E5C"/>
    <w:rsid w:val="001F4EF4"/>
    <w:rsid w:val="001F636A"/>
    <w:rsid w:val="001F6381"/>
    <w:rsid w:val="001F7586"/>
    <w:rsid w:val="002014A7"/>
    <w:rsid w:val="00202152"/>
    <w:rsid w:val="00202D3F"/>
    <w:rsid w:val="0020566A"/>
    <w:rsid w:val="00205AC3"/>
    <w:rsid w:val="00205EA0"/>
    <w:rsid w:val="00211B72"/>
    <w:rsid w:val="002132FD"/>
    <w:rsid w:val="00213603"/>
    <w:rsid w:val="00214AC2"/>
    <w:rsid w:val="00214C31"/>
    <w:rsid w:val="00215237"/>
    <w:rsid w:val="00215DD0"/>
    <w:rsid w:val="00215FB1"/>
    <w:rsid w:val="002179DF"/>
    <w:rsid w:val="00217E09"/>
    <w:rsid w:val="00220E12"/>
    <w:rsid w:val="002228E5"/>
    <w:rsid w:val="002252BD"/>
    <w:rsid w:val="00225903"/>
    <w:rsid w:val="00225A3F"/>
    <w:rsid w:val="0022642A"/>
    <w:rsid w:val="00227512"/>
    <w:rsid w:val="00227E31"/>
    <w:rsid w:val="00231BA0"/>
    <w:rsid w:val="00232222"/>
    <w:rsid w:val="00232557"/>
    <w:rsid w:val="00232BCE"/>
    <w:rsid w:val="002331DE"/>
    <w:rsid w:val="0023415C"/>
    <w:rsid w:val="00236753"/>
    <w:rsid w:val="002408B6"/>
    <w:rsid w:val="00240A5A"/>
    <w:rsid w:val="00240B34"/>
    <w:rsid w:val="0024110E"/>
    <w:rsid w:val="0024198A"/>
    <w:rsid w:val="0024377C"/>
    <w:rsid w:val="00245045"/>
    <w:rsid w:val="00246529"/>
    <w:rsid w:val="0024653D"/>
    <w:rsid w:val="00246A54"/>
    <w:rsid w:val="0024743C"/>
    <w:rsid w:val="002477F5"/>
    <w:rsid w:val="00247BE5"/>
    <w:rsid w:val="0025037D"/>
    <w:rsid w:val="0025103B"/>
    <w:rsid w:val="002510AB"/>
    <w:rsid w:val="002516E1"/>
    <w:rsid w:val="002518EF"/>
    <w:rsid w:val="0025222D"/>
    <w:rsid w:val="002545A6"/>
    <w:rsid w:val="00255501"/>
    <w:rsid w:val="002559FD"/>
    <w:rsid w:val="00255C61"/>
    <w:rsid w:val="0025733B"/>
    <w:rsid w:val="00260291"/>
    <w:rsid w:val="002612FC"/>
    <w:rsid w:val="0026171E"/>
    <w:rsid w:val="002622EB"/>
    <w:rsid w:val="00262C2F"/>
    <w:rsid w:val="00263EBF"/>
    <w:rsid w:val="00264075"/>
    <w:rsid w:val="00264E21"/>
    <w:rsid w:val="0026635E"/>
    <w:rsid w:val="002664BF"/>
    <w:rsid w:val="00270268"/>
    <w:rsid w:val="00270969"/>
    <w:rsid w:val="00270B9B"/>
    <w:rsid w:val="0027182A"/>
    <w:rsid w:val="00271E04"/>
    <w:rsid w:val="00272C5C"/>
    <w:rsid w:val="002740D9"/>
    <w:rsid w:val="0027425D"/>
    <w:rsid w:val="002759B7"/>
    <w:rsid w:val="00275FEA"/>
    <w:rsid w:val="00276088"/>
    <w:rsid w:val="002766E0"/>
    <w:rsid w:val="002777B7"/>
    <w:rsid w:val="00280215"/>
    <w:rsid w:val="00280DD2"/>
    <w:rsid w:val="00280F59"/>
    <w:rsid w:val="00281323"/>
    <w:rsid w:val="0028160F"/>
    <w:rsid w:val="00281BBD"/>
    <w:rsid w:val="00281EB7"/>
    <w:rsid w:val="002823FB"/>
    <w:rsid w:val="00282A65"/>
    <w:rsid w:val="0028413B"/>
    <w:rsid w:val="0028419B"/>
    <w:rsid w:val="0028489E"/>
    <w:rsid w:val="00284B46"/>
    <w:rsid w:val="002907FD"/>
    <w:rsid w:val="00290CC3"/>
    <w:rsid w:val="00293ABE"/>
    <w:rsid w:val="002953A8"/>
    <w:rsid w:val="00296041"/>
    <w:rsid w:val="002960B6"/>
    <w:rsid w:val="00297444"/>
    <w:rsid w:val="00297C78"/>
    <w:rsid w:val="002A0377"/>
    <w:rsid w:val="002A0523"/>
    <w:rsid w:val="002A0DBD"/>
    <w:rsid w:val="002A1917"/>
    <w:rsid w:val="002A1BD7"/>
    <w:rsid w:val="002A1FEF"/>
    <w:rsid w:val="002A24F8"/>
    <w:rsid w:val="002A41DC"/>
    <w:rsid w:val="002A474D"/>
    <w:rsid w:val="002A5017"/>
    <w:rsid w:val="002A7E54"/>
    <w:rsid w:val="002B0520"/>
    <w:rsid w:val="002B1507"/>
    <w:rsid w:val="002B219F"/>
    <w:rsid w:val="002B2BEE"/>
    <w:rsid w:val="002B2F5A"/>
    <w:rsid w:val="002B4A39"/>
    <w:rsid w:val="002B5645"/>
    <w:rsid w:val="002B5B25"/>
    <w:rsid w:val="002B5B6A"/>
    <w:rsid w:val="002B5F0A"/>
    <w:rsid w:val="002B616C"/>
    <w:rsid w:val="002B6D13"/>
    <w:rsid w:val="002B7F7E"/>
    <w:rsid w:val="002C0770"/>
    <w:rsid w:val="002C0892"/>
    <w:rsid w:val="002C2122"/>
    <w:rsid w:val="002C295B"/>
    <w:rsid w:val="002C44A7"/>
    <w:rsid w:val="002C6DF2"/>
    <w:rsid w:val="002C6FA2"/>
    <w:rsid w:val="002C785C"/>
    <w:rsid w:val="002C7A55"/>
    <w:rsid w:val="002C7F0E"/>
    <w:rsid w:val="002D1C15"/>
    <w:rsid w:val="002D2A39"/>
    <w:rsid w:val="002D38CF"/>
    <w:rsid w:val="002D3F6B"/>
    <w:rsid w:val="002D69B9"/>
    <w:rsid w:val="002D6CEC"/>
    <w:rsid w:val="002E02E2"/>
    <w:rsid w:val="002E0310"/>
    <w:rsid w:val="002E135D"/>
    <w:rsid w:val="002E274E"/>
    <w:rsid w:val="002E3079"/>
    <w:rsid w:val="002E3908"/>
    <w:rsid w:val="002E4B88"/>
    <w:rsid w:val="002E4DF3"/>
    <w:rsid w:val="002E5FBF"/>
    <w:rsid w:val="002E5FEC"/>
    <w:rsid w:val="002E60DB"/>
    <w:rsid w:val="002E67DC"/>
    <w:rsid w:val="002E6BEF"/>
    <w:rsid w:val="002F1441"/>
    <w:rsid w:val="002F29CA"/>
    <w:rsid w:val="002F2B57"/>
    <w:rsid w:val="002F37E7"/>
    <w:rsid w:val="002F445D"/>
    <w:rsid w:val="002F4788"/>
    <w:rsid w:val="002F48CF"/>
    <w:rsid w:val="002F4977"/>
    <w:rsid w:val="002F558C"/>
    <w:rsid w:val="002F6D4A"/>
    <w:rsid w:val="002F7358"/>
    <w:rsid w:val="0030090C"/>
    <w:rsid w:val="0030113F"/>
    <w:rsid w:val="003013F1"/>
    <w:rsid w:val="003017AD"/>
    <w:rsid w:val="003018BD"/>
    <w:rsid w:val="003029CF"/>
    <w:rsid w:val="00302B1E"/>
    <w:rsid w:val="003030EE"/>
    <w:rsid w:val="00303E28"/>
    <w:rsid w:val="0030464F"/>
    <w:rsid w:val="00304D4F"/>
    <w:rsid w:val="00304F31"/>
    <w:rsid w:val="00305182"/>
    <w:rsid w:val="00306EFF"/>
    <w:rsid w:val="003072D4"/>
    <w:rsid w:val="0031092E"/>
    <w:rsid w:val="003109A1"/>
    <w:rsid w:val="0031187A"/>
    <w:rsid w:val="0031214F"/>
    <w:rsid w:val="00312291"/>
    <w:rsid w:val="00313901"/>
    <w:rsid w:val="003145BF"/>
    <w:rsid w:val="003153FC"/>
    <w:rsid w:val="00320DEC"/>
    <w:rsid w:val="00320FF7"/>
    <w:rsid w:val="003211AB"/>
    <w:rsid w:val="003217AE"/>
    <w:rsid w:val="00322707"/>
    <w:rsid w:val="00322832"/>
    <w:rsid w:val="00322C38"/>
    <w:rsid w:val="003275E8"/>
    <w:rsid w:val="00330333"/>
    <w:rsid w:val="00330467"/>
    <w:rsid w:val="00330CDF"/>
    <w:rsid w:val="00331A0D"/>
    <w:rsid w:val="003332F7"/>
    <w:rsid w:val="00335AE5"/>
    <w:rsid w:val="00337077"/>
    <w:rsid w:val="00340D06"/>
    <w:rsid w:val="00342F9F"/>
    <w:rsid w:val="00343453"/>
    <w:rsid w:val="00343A08"/>
    <w:rsid w:val="00343A77"/>
    <w:rsid w:val="00343AEC"/>
    <w:rsid w:val="00343C97"/>
    <w:rsid w:val="00343E7E"/>
    <w:rsid w:val="00344EBA"/>
    <w:rsid w:val="00347657"/>
    <w:rsid w:val="00350C1B"/>
    <w:rsid w:val="00350CB7"/>
    <w:rsid w:val="00351D77"/>
    <w:rsid w:val="00353869"/>
    <w:rsid w:val="00354307"/>
    <w:rsid w:val="00354644"/>
    <w:rsid w:val="00354C48"/>
    <w:rsid w:val="00356F93"/>
    <w:rsid w:val="0035773D"/>
    <w:rsid w:val="00362907"/>
    <w:rsid w:val="00363224"/>
    <w:rsid w:val="00363C33"/>
    <w:rsid w:val="00363E96"/>
    <w:rsid w:val="00364941"/>
    <w:rsid w:val="00364C49"/>
    <w:rsid w:val="00365632"/>
    <w:rsid w:val="00367888"/>
    <w:rsid w:val="003701AC"/>
    <w:rsid w:val="00370B4D"/>
    <w:rsid w:val="00372190"/>
    <w:rsid w:val="00372E69"/>
    <w:rsid w:val="003745D0"/>
    <w:rsid w:val="00374B0A"/>
    <w:rsid w:val="00374BAE"/>
    <w:rsid w:val="00374D32"/>
    <w:rsid w:val="00374D7A"/>
    <w:rsid w:val="00374EB4"/>
    <w:rsid w:val="003751A8"/>
    <w:rsid w:val="00375205"/>
    <w:rsid w:val="003757BF"/>
    <w:rsid w:val="00375E91"/>
    <w:rsid w:val="00377EBD"/>
    <w:rsid w:val="003802DF"/>
    <w:rsid w:val="0038106F"/>
    <w:rsid w:val="00381414"/>
    <w:rsid w:val="00381F35"/>
    <w:rsid w:val="0038252C"/>
    <w:rsid w:val="00382AD5"/>
    <w:rsid w:val="00383B68"/>
    <w:rsid w:val="00384105"/>
    <w:rsid w:val="00384878"/>
    <w:rsid w:val="00384D63"/>
    <w:rsid w:val="003854CA"/>
    <w:rsid w:val="00385AC0"/>
    <w:rsid w:val="00385FF8"/>
    <w:rsid w:val="00386053"/>
    <w:rsid w:val="00386D46"/>
    <w:rsid w:val="00387EFB"/>
    <w:rsid w:val="00390320"/>
    <w:rsid w:val="0039134B"/>
    <w:rsid w:val="003918CB"/>
    <w:rsid w:val="00391D29"/>
    <w:rsid w:val="00392205"/>
    <w:rsid w:val="00392D1F"/>
    <w:rsid w:val="00392D69"/>
    <w:rsid w:val="00393E36"/>
    <w:rsid w:val="003948D0"/>
    <w:rsid w:val="00394F22"/>
    <w:rsid w:val="003A06C1"/>
    <w:rsid w:val="003A07D0"/>
    <w:rsid w:val="003A0BEA"/>
    <w:rsid w:val="003A1749"/>
    <w:rsid w:val="003A2287"/>
    <w:rsid w:val="003A31C0"/>
    <w:rsid w:val="003A3F30"/>
    <w:rsid w:val="003A5782"/>
    <w:rsid w:val="003A590C"/>
    <w:rsid w:val="003A5DAC"/>
    <w:rsid w:val="003A70B2"/>
    <w:rsid w:val="003B10C2"/>
    <w:rsid w:val="003B1D71"/>
    <w:rsid w:val="003B3192"/>
    <w:rsid w:val="003B3477"/>
    <w:rsid w:val="003B3C2F"/>
    <w:rsid w:val="003B431A"/>
    <w:rsid w:val="003B64F0"/>
    <w:rsid w:val="003C2B67"/>
    <w:rsid w:val="003C3429"/>
    <w:rsid w:val="003C44E8"/>
    <w:rsid w:val="003C5507"/>
    <w:rsid w:val="003C59A1"/>
    <w:rsid w:val="003C6E44"/>
    <w:rsid w:val="003C7712"/>
    <w:rsid w:val="003D03EF"/>
    <w:rsid w:val="003D22DC"/>
    <w:rsid w:val="003D25CB"/>
    <w:rsid w:val="003D2E2E"/>
    <w:rsid w:val="003D3BF1"/>
    <w:rsid w:val="003D4EBA"/>
    <w:rsid w:val="003D594D"/>
    <w:rsid w:val="003D5D3F"/>
    <w:rsid w:val="003D6539"/>
    <w:rsid w:val="003D6A66"/>
    <w:rsid w:val="003D6E04"/>
    <w:rsid w:val="003E2C62"/>
    <w:rsid w:val="003E3DB8"/>
    <w:rsid w:val="003E492C"/>
    <w:rsid w:val="003E526C"/>
    <w:rsid w:val="003E587C"/>
    <w:rsid w:val="003E623C"/>
    <w:rsid w:val="003E63B1"/>
    <w:rsid w:val="003E6FCF"/>
    <w:rsid w:val="003E7736"/>
    <w:rsid w:val="003F0359"/>
    <w:rsid w:val="003F0C9C"/>
    <w:rsid w:val="003F10B9"/>
    <w:rsid w:val="003F1C65"/>
    <w:rsid w:val="003F21B6"/>
    <w:rsid w:val="003F223A"/>
    <w:rsid w:val="003F31FE"/>
    <w:rsid w:val="003F55CA"/>
    <w:rsid w:val="003F6AA5"/>
    <w:rsid w:val="003F7C72"/>
    <w:rsid w:val="00401926"/>
    <w:rsid w:val="00401C07"/>
    <w:rsid w:val="00401CF4"/>
    <w:rsid w:val="00401E4B"/>
    <w:rsid w:val="00401EDF"/>
    <w:rsid w:val="004020F7"/>
    <w:rsid w:val="00405D13"/>
    <w:rsid w:val="00405FCA"/>
    <w:rsid w:val="00406C7C"/>
    <w:rsid w:val="00407695"/>
    <w:rsid w:val="0041086B"/>
    <w:rsid w:val="004108F0"/>
    <w:rsid w:val="0041099D"/>
    <w:rsid w:val="00411610"/>
    <w:rsid w:val="00412F79"/>
    <w:rsid w:val="004134DD"/>
    <w:rsid w:val="004144DA"/>
    <w:rsid w:val="00415748"/>
    <w:rsid w:val="00415C71"/>
    <w:rsid w:val="00416C85"/>
    <w:rsid w:val="00416E75"/>
    <w:rsid w:val="0041735B"/>
    <w:rsid w:val="0042019B"/>
    <w:rsid w:val="004203E0"/>
    <w:rsid w:val="00420B29"/>
    <w:rsid w:val="00421172"/>
    <w:rsid w:val="0042165A"/>
    <w:rsid w:val="0042165F"/>
    <w:rsid w:val="00421A5C"/>
    <w:rsid w:val="00421AB5"/>
    <w:rsid w:val="00422300"/>
    <w:rsid w:val="00422CB1"/>
    <w:rsid w:val="00423601"/>
    <w:rsid w:val="00423F1F"/>
    <w:rsid w:val="00426AD0"/>
    <w:rsid w:val="0043087D"/>
    <w:rsid w:val="004308D1"/>
    <w:rsid w:val="00432CA5"/>
    <w:rsid w:val="00432EDF"/>
    <w:rsid w:val="00433BF5"/>
    <w:rsid w:val="00433CF7"/>
    <w:rsid w:val="004355ED"/>
    <w:rsid w:val="0043689A"/>
    <w:rsid w:val="00436A61"/>
    <w:rsid w:val="00437AB7"/>
    <w:rsid w:val="0044137D"/>
    <w:rsid w:val="00443188"/>
    <w:rsid w:val="004433F1"/>
    <w:rsid w:val="00444F98"/>
    <w:rsid w:val="00447157"/>
    <w:rsid w:val="00447496"/>
    <w:rsid w:val="004476E4"/>
    <w:rsid w:val="00447C7C"/>
    <w:rsid w:val="00452C29"/>
    <w:rsid w:val="00452F7E"/>
    <w:rsid w:val="0045325E"/>
    <w:rsid w:val="0045499C"/>
    <w:rsid w:val="004554CC"/>
    <w:rsid w:val="00455E1F"/>
    <w:rsid w:val="00455FA3"/>
    <w:rsid w:val="00456E1E"/>
    <w:rsid w:val="00456F65"/>
    <w:rsid w:val="00457113"/>
    <w:rsid w:val="00462BB4"/>
    <w:rsid w:val="00462D59"/>
    <w:rsid w:val="00462FF4"/>
    <w:rsid w:val="00463644"/>
    <w:rsid w:val="00463989"/>
    <w:rsid w:val="004640BF"/>
    <w:rsid w:val="00464DD6"/>
    <w:rsid w:val="00466420"/>
    <w:rsid w:val="00466BF6"/>
    <w:rsid w:val="00466C05"/>
    <w:rsid w:val="00467DA6"/>
    <w:rsid w:val="00470662"/>
    <w:rsid w:val="004711D0"/>
    <w:rsid w:val="004717D9"/>
    <w:rsid w:val="0047196E"/>
    <w:rsid w:val="00472C1E"/>
    <w:rsid w:val="004730AC"/>
    <w:rsid w:val="00473C5E"/>
    <w:rsid w:val="00473E7C"/>
    <w:rsid w:val="00473EAA"/>
    <w:rsid w:val="00475703"/>
    <w:rsid w:val="0047577F"/>
    <w:rsid w:val="00480914"/>
    <w:rsid w:val="00480A55"/>
    <w:rsid w:val="00481ADE"/>
    <w:rsid w:val="00482823"/>
    <w:rsid w:val="00484A54"/>
    <w:rsid w:val="00484ED7"/>
    <w:rsid w:val="004854A5"/>
    <w:rsid w:val="00485B8A"/>
    <w:rsid w:val="004873DC"/>
    <w:rsid w:val="00487A3E"/>
    <w:rsid w:val="00490C48"/>
    <w:rsid w:val="004917FD"/>
    <w:rsid w:val="00491E78"/>
    <w:rsid w:val="00494781"/>
    <w:rsid w:val="00494870"/>
    <w:rsid w:val="00496C2D"/>
    <w:rsid w:val="00497136"/>
    <w:rsid w:val="004A0E21"/>
    <w:rsid w:val="004A15AA"/>
    <w:rsid w:val="004A1AF6"/>
    <w:rsid w:val="004A55C8"/>
    <w:rsid w:val="004A7FDF"/>
    <w:rsid w:val="004B2765"/>
    <w:rsid w:val="004B3133"/>
    <w:rsid w:val="004B3ECC"/>
    <w:rsid w:val="004B4425"/>
    <w:rsid w:val="004B5053"/>
    <w:rsid w:val="004B51F4"/>
    <w:rsid w:val="004B5DAC"/>
    <w:rsid w:val="004C13AA"/>
    <w:rsid w:val="004C1610"/>
    <w:rsid w:val="004C2545"/>
    <w:rsid w:val="004C28B4"/>
    <w:rsid w:val="004C29CC"/>
    <w:rsid w:val="004C49A3"/>
    <w:rsid w:val="004C54DB"/>
    <w:rsid w:val="004C5599"/>
    <w:rsid w:val="004C5ED7"/>
    <w:rsid w:val="004C7080"/>
    <w:rsid w:val="004C716A"/>
    <w:rsid w:val="004C7F45"/>
    <w:rsid w:val="004D0135"/>
    <w:rsid w:val="004D08B1"/>
    <w:rsid w:val="004D1BCC"/>
    <w:rsid w:val="004D1F2D"/>
    <w:rsid w:val="004D1FDA"/>
    <w:rsid w:val="004D28A3"/>
    <w:rsid w:val="004D3200"/>
    <w:rsid w:val="004D500C"/>
    <w:rsid w:val="004D5957"/>
    <w:rsid w:val="004D6356"/>
    <w:rsid w:val="004D6CB5"/>
    <w:rsid w:val="004D70DC"/>
    <w:rsid w:val="004E10F6"/>
    <w:rsid w:val="004E1DAA"/>
    <w:rsid w:val="004E2B3D"/>
    <w:rsid w:val="004E4AD9"/>
    <w:rsid w:val="004E6FA1"/>
    <w:rsid w:val="004E7329"/>
    <w:rsid w:val="004E7638"/>
    <w:rsid w:val="004F0565"/>
    <w:rsid w:val="004F2903"/>
    <w:rsid w:val="004F2E18"/>
    <w:rsid w:val="004F2F3A"/>
    <w:rsid w:val="004F3169"/>
    <w:rsid w:val="004F51F1"/>
    <w:rsid w:val="004F6DA1"/>
    <w:rsid w:val="004F71E7"/>
    <w:rsid w:val="004F75F2"/>
    <w:rsid w:val="004F7FC6"/>
    <w:rsid w:val="005018CF"/>
    <w:rsid w:val="005021B0"/>
    <w:rsid w:val="0050287E"/>
    <w:rsid w:val="00503661"/>
    <w:rsid w:val="00503C82"/>
    <w:rsid w:val="00504E93"/>
    <w:rsid w:val="005101DA"/>
    <w:rsid w:val="005107C9"/>
    <w:rsid w:val="00512286"/>
    <w:rsid w:val="00512BC9"/>
    <w:rsid w:val="00512F34"/>
    <w:rsid w:val="005131EF"/>
    <w:rsid w:val="00514708"/>
    <w:rsid w:val="0051521C"/>
    <w:rsid w:val="00515878"/>
    <w:rsid w:val="00515A62"/>
    <w:rsid w:val="0052030E"/>
    <w:rsid w:val="00522882"/>
    <w:rsid w:val="00522D11"/>
    <w:rsid w:val="00522F96"/>
    <w:rsid w:val="00522FB3"/>
    <w:rsid w:val="00523804"/>
    <w:rsid w:val="005242D0"/>
    <w:rsid w:val="00524344"/>
    <w:rsid w:val="0052573B"/>
    <w:rsid w:val="0052622F"/>
    <w:rsid w:val="00526712"/>
    <w:rsid w:val="0052683D"/>
    <w:rsid w:val="00526FB5"/>
    <w:rsid w:val="00527047"/>
    <w:rsid w:val="00527AD4"/>
    <w:rsid w:val="00530D8F"/>
    <w:rsid w:val="0053187C"/>
    <w:rsid w:val="0053226E"/>
    <w:rsid w:val="00532ADB"/>
    <w:rsid w:val="0053315E"/>
    <w:rsid w:val="00534E5C"/>
    <w:rsid w:val="00537316"/>
    <w:rsid w:val="005401F2"/>
    <w:rsid w:val="00541BFE"/>
    <w:rsid w:val="0054251D"/>
    <w:rsid w:val="00542F08"/>
    <w:rsid w:val="005431FD"/>
    <w:rsid w:val="005432C4"/>
    <w:rsid w:val="00544391"/>
    <w:rsid w:val="00544BC6"/>
    <w:rsid w:val="00546801"/>
    <w:rsid w:val="005475A7"/>
    <w:rsid w:val="00550761"/>
    <w:rsid w:val="00551B10"/>
    <w:rsid w:val="00552503"/>
    <w:rsid w:val="00553846"/>
    <w:rsid w:val="00556526"/>
    <w:rsid w:val="005566FB"/>
    <w:rsid w:val="005569E2"/>
    <w:rsid w:val="00556E74"/>
    <w:rsid w:val="00557189"/>
    <w:rsid w:val="005606B8"/>
    <w:rsid w:val="0056160D"/>
    <w:rsid w:val="00563435"/>
    <w:rsid w:val="0056454A"/>
    <w:rsid w:val="00564D6F"/>
    <w:rsid w:val="00567DF4"/>
    <w:rsid w:val="005705D5"/>
    <w:rsid w:val="00572471"/>
    <w:rsid w:val="00572A20"/>
    <w:rsid w:val="005734FB"/>
    <w:rsid w:val="00573A73"/>
    <w:rsid w:val="00574483"/>
    <w:rsid w:val="00575BCE"/>
    <w:rsid w:val="00576174"/>
    <w:rsid w:val="00576A6A"/>
    <w:rsid w:val="00577616"/>
    <w:rsid w:val="0058091B"/>
    <w:rsid w:val="005811F9"/>
    <w:rsid w:val="005817CF"/>
    <w:rsid w:val="00582461"/>
    <w:rsid w:val="00582ED8"/>
    <w:rsid w:val="005834FA"/>
    <w:rsid w:val="00584440"/>
    <w:rsid w:val="00584B58"/>
    <w:rsid w:val="0058680B"/>
    <w:rsid w:val="00587BAE"/>
    <w:rsid w:val="005910B1"/>
    <w:rsid w:val="0059215E"/>
    <w:rsid w:val="00592304"/>
    <w:rsid w:val="00593186"/>
    <w:rsid w:val="0059448B"/>
    <w:rsid w:val="005947E1"/>
    <w:rsid w:val="0059533A"/>
    <w:rsid w:val="005A12FA"/>
    <w:rsid w:val="005A15CF"/>
    <w:rsid w:val="005A1600"/>
    <w:rsid w:val="005A190E"/>
    <w:rsid w:val="005A1CE8"/>
    <w:rsid w:val="005A1DB5"/>
    <w:rsid w:val="005A223E"/>
    <w:rsid w:val="005A3DCE"/>
    <w:rsid w:val="005A3EDE"/>
    <w:rsid w:val="005A5193"/>
    <w:rsid w:val="005A794C"/>
    <w:rsid w:val="005B04E2"/>
    <w:rsid w:val="005B0721"/>
    <w:rsid w:val="005B0D9A"/>
    <w:rsid w:val="005B0EF9"/>
    <w:rsid w:val="005B12DF"/>
    <w:rsid w:val="005B1B30"/>
    <w:rsid w:val="005B32D8"/>
    <w:rsid w:val="005B395D"/>
    <w:rsid w:val="005B3AAB"/>
    <w:rsid w:val="005B3D9E"/>
    <w:rsid w:val="005B415D"/>
    <w:rsid w:val="005B41CD"/>
    <w:rsid w:val="005B4CFC"/>
    <w:rsid w:val="005B5027"/>
    <w:rsid w:val="005B5A25"/>
    <w:rsid w:val="005B7B2F"/>
    <w:rsid w:val="005C0C64"/>
    <w:rsid w:val="005C141A"/>
    <w:rsid w:val="005C1FD5"/>
    <w:rsid w:val="005C2093"/>
    <w:rsid w:val="005C2B47"/>
    <w:rsid w:val="005C362C"/>
    <w:rsid w:val="005C518E"/>
    <w:rsid w:val="005C5709"/>
    <w:rsid w:val="005C622B"/>
    <w:rsid w:val="005C72C1"/>
    <w:rsid w:val="005C7C45"/>
    <w:rsid w:val="005D0D37"/>
    <w:rsid w:val="005D160A"/>
    <w:rsid w:val="005D1E9F"/>
    <w:rsid w:val="005D1F71"/>
    <w:rsid w:val="005D248E"/>
    <w:rsid w:val="005D2A9A"/>
    <w:rsid w:val="005D2E1A"/>
    <w:rsid w:val="005D2E7D"/>
    <w:rsid w:val="005D47D2"/>
    <w:rsid w:val="005D47F4"/>
    <w:rsid w:val="005D4BA3"/>
    <w:rsid w:val="005D5C29"/>
    <w:rsid w:val="005E0529"/>
    <w:rsid w:val="005E0D34"/>
    <w:rsid w:val="005E1D96"/>
    <w:rsid w:val="005E24A6"/>
    <w:rsid w:val="005E24EF"/>
    <w:rsid w:val="005E2B5F"/>
    <w:rsid w:val="005E37FB"/>
    <w:rsid w:val="005E38F4"/>
    <w:rsid w:val="005E4B8F"/>
    <w:rsid w:val="005E5639"/>
    <w:rsid w:val="005E57FA"/>
    <w:rsid w:val="005E7BE0"/>
    <w:rsid w:val="005E7E0B"/>
    <w:rsid w:val="005F1A8F"/>
    <w:rsid w:val="005F1C5F"/>
    <w:rsid w:val="005F2DC5"/>
    <w:rsid w:val="005F37D9"/>
    <w:rsid w:val="005F3D67"/>
    <w:rsid w:val="005F3EFF"/>
    <w:rsid w:val="005F40BD"/>
    <w:rsid w:val="005F46FF"/>
    <w:rsid w:val="005F59A0"/>
    <w:rsid w:val="005F5B30"/>
    <w:rsid w:val="005F68A7"/>
    <w:rsid w:val="005F7059"/>
    <w:rsid w:val="005F7E87"/>
    <w:rsid w:val="0060258D"/>
    <w:rsid w:val="006030DD"/>
    <w:rsid w:val="00603539"/>
    <w:rsid w:val="00605105"/>
    <w:rsid w:val="00605563"/>
    <w:rsid w:val="0060629C"/>
    <w:rsid w:val="00606F72"/>
    <w:rsid w:val="00607D38"/>
    <w:rsid w:val="00611BE8"/>
    <w:rsid w:val="00611D9C"/>
    <w:rsid w:val="00612446"/>
    <w:rsid w:val="0061254F"/>
    <w:rsid w:val="006138CE"/>
    <w:rsid w:val="006144D7"/>
    <w:rsid w:val="00614829"/>
    <w:rsid w:val="00614B1E"/>
    <w:rsid w:val="00615890"/>
    <w:rsid w:val="00615D17"/>
    <w:rsid w:val="006165A0"/>
    <w:rsid w:val="00616C55"/>
    <w:rsid w:val="00616DD3"/>
    <w:rsid w:val="00617374"/>
    <w:rsid w:val="00617B3E"/>
    <w:rsid w:val="00620496"/>
    <w:rsid w:val="00620E1D"/>
    <w:rsid w:val="00621339"/>
    <w:rsid w:val="006215A3"/>
    <w:rsid w:val="00622626"/>
    <w:rsid w:val="00622AEF"/>
    <w:rsid w:val="00623913"/>
    <w:rsid w:val="00623AB1"/>
    <w:rsid w:val="0062432C"/>
    <w:rsid w:val="00624884"/>
    <w:rsid w:val="00624CB0"/>
    <w:rsid w:val="00624D71"/>
    <w:rsid w:val="0062660C"/>
    <w:rsid w:val="00627554"/>
    <w:rsid w:val="00627C71"/>
    <w:rsid w:val="00630307"/>
    <w:rsid w:val="00630F29"/>
    <w:rsid w:val="006324A5"/>
    <w:rsid w:val="00633BBA"/>
    <w:rsid w:val="0063508F"/>
    <w:rsid w:val="006366F1"/>
    <w:rsid w:val="00640477"/>
    <w:rsid w:val="00644385"/>
    <w:rsid w:val="00645957"/>
    <w:rsid w:val="0064621A"/>
    <w:rsid w:val="00647D69"/>
    <w:rsid w:val="00650C38"/>
    <w:rsid w:val="006515F4"/>
    <w:rsid w:val="00652139"/>
    <w:rsid w:val="00652F49"/>
    <w:rsid w:val="00653734"/>
    <w:rsid w:val="00654D1A"/>
    <w:rsid w:val="006554EE"/>
    <w:rsid w:val="0065575F"/>
    <w:rsid w:val="00657216"/>
    <w:rsid w:val="00657B98"/>
    <w:rsid w:val="006601EB"/>
    <w:rsid w:val="00660F31"/>
    <w:rsid w:val="006612D4"/>
    <w:rsid w:val="006618A8"/>
    <w:rsid w:val="0066291A"/>
    <w:rsid w:val="00663247"/>
    <w:rsid w:val="00665386"/>
    <w:rsid w:val="00666C3A"/>
    <w:rsid w:val="00667078"/>
    <w:rsid w:val="006675A4"/>
    <w:rsid w:val="006676DC"/>
    <w:rsid w:val="0067040B"/>
    <w:rsid w:val="00671751"/>
    <w:rsid w:val="00671876"/>
    <w:rsid w:val="00672C05"/>
    <w:rsid w:val="00673566"/>
    <w:rsid w:val="00673678"/>
    <w:rsid w:val="00674005"/>
    <w:rsid w:val="006750DC"/>
    <w:rsid w:val="006757C0"/>
    <w:rsid w:val="00675D4F"/>
    <w:rsid w:val="00675F48"/>
    <w:rsid w:val="006764E2"/>
    <w:rsid w:val="00676F12"/>
    <w:rsid w:val="00677585"/>
    <w:rsid w:val="00677F93"/>
    <w:rsid w:val="006800C6"/>
    <w:rsid w:val="006813EF"/>
    <w:rsid w:val="00682723"/>
    <w:rsid w:val="00682EF5"/>
    <w:rsid w:val="00684986"/>
    <w:rsid w:val="00686AB4"/>
    <w:rsid w:val="00686C7E"/>
    <w:rsid w:val="00690B48"/>
    <w:rsid w:val="00690D7E"/>
    <w:rsid w:val="00692186"/>
    <w:rsid w:val="0069248E"/>
    <w:rsid w:val="006924C3"/>
    <w:rsid w:val="00693204"/>
    <w:rsid w:val="00695984"/>
    <w:rsid w:val="00695A5C"/>
    <w:rsid w:val="0069612A"/>
    <w:rsid w:val="00696402"/>
    <w:rsid w:val="00696BFC"/>
    <w:rsid w:val="006971ED"/>
    <w:rsid w:val="006A0567"/>
    <w:rsid w:val="006A0B5D"/>
    <w:rsid w:val="006A0C12"/>
    <w:rsid w:val="006A0F27"/>
    <w:rsid w:val="006A1A7C"/>
    <w:rsid w:val="006A1BE9"/>
    <w:rsid w:val="006A59E0"/>
    <w:rsid w:val="006A5C93"/>
    <w:rsid w:val="006A5CAB"/>
    <w:rsid w:val="006A6930"/>
    <w:rsid w:val="006B1BAC"/>
    <w:rsid w:val="006B1E17"/>
    <w:rsid w:val="006B231A"/>
    <w:rsid w:val="006B3366"/>
    <w:rsid w:val="006B38B8"/>
    <w:rsid w:val="006B40EB"/>
    <w:rsid w:val="006B446D"/>
    <w:rsid w:val="006C0657"/>
    <w:rsid w:val="006C227F"/>
    <w:rsid w:val="006C28EE"/>
    <w:rsid w:val="006C3074"/>
    <w:rsid w:val="006C3092"/>
    <w:rsid w:val="006C3DFD"/>
    <w:rsid w:val="006C4864"/>
    <w:rsid w:val="006C4F30"/>
    <w:rsid w:val="006C50E6"/>
    <w:rsid w:val="006C5112"/>
    <w:rsid w:val="006C5E9F"/>
    <w:rsid w:val="006C7A3C"/>
    <w:rsid w:val="006D01C8"/>
    <w:rsid w:val="006D1704"/>
    <w:rsid w:val="006D26B7"/>
    <w:rsid w:val="006D2F71"/>
    <w:rsid w:val="006D397C"/>
    <w:rsid w:val="006E06C3"/>
    <w:rsid w:val="006E2463"/>
    <w:rsid w:val="006E3246"/>
    <w:rsid w:val="006E4972"/>
    <w:rsid w:val="006E4BD2"/>
    <w:rsid w:val="006E5C14"/>
    <w:rsid w:val="006E6492"/>
    <w:rsid w:val="006E7F93"/>
    <w:rsid w:val="006F2020"/>
    <w:rsid w:val="006F24BD"/>
    <w:rsid w:val="006F2E76"/>
    <w:rsid w:val="006F4A72"/>
    <w:rsid w:val="006F512E"/>
    <w:rsid w:val="006F5DB8"/>
    <w:rsid w:val="006F6B13"/>
    <w:rsid w:val="006F7766"/>
    <w:rsid w:val="006F7872"/>
    <w:rsid w:val="007005D6"/>
    <w:rsid w:val="00701A18"/>
    <w:rsid w:val="0070203C"/>
    <w:rsid w:val="007030BC"/>
    <w:rsid w:val="007030CE"/>
    <w:rsid w:val="00703AFD"/>
    <w:rsid w:val="00704C34"/>
    <w:rsid w:val="00705010"/>
    <w:rsid w:val="00705D4B"/>
    <w:rsid w:val="00705FDF"/>
    <w:rsid w:val="00706A66"/>
    <w:rsid w:val="0070703C"/>
    <w:rsid w:val="0071145F"/>
    <w:rsid w:val="0071189D"/>
    <w:rsid w:val="00712087"/>
    <w:rsid w:val="0071331A"/>
    <w:rsid w:val="00713870"/>
    <w:rsid w:val="00716260"/>
    <w:rsid w:val="007162C9"/>
    <w:rsid w:val="007165CB"/>
    <w:rsid w:val="00717152"/>
    <w:rsid w:val="00717439"/>
    <w:rsid w:val="00717B0B"/>
    <w:rsid w:val="00717DB9"/>
    <w:rsid w:val="00720534"/>
    <w:rsid w:val="0072150E"/>
    <w:rsid w:val="0072215F"/>
    <w:rsid w:val="00723368"/>
    <w:rsid w:val="0072461D"/>
    <w:rsid w:val="0073042F"/>
    <w:rsid w:val="00732E44"/>
    <w:rsid w:val="0073435D"/>
    <w:rsid w:val="00736B51"/>
    <w:rsid w:val="007377CE"/>
    <w:rsid w:val="00740239"/>
    <w:rsid w:val="007404F0"/>
    <w:rsid w:val="00740B77"/>
    <w:rsid w:val="00742E43"/>
    <w:rsid w:val="0074324C"/>
    <w:rsid w:val="007432E3"/>
    <w:rsid w:val="0074622D"/>
    <w:rsid w:val="007475DE"/>
    <w:rsid w:val="00747AFE"/>
    <w:rsid w:val="00750579"/>
    <w:rsid w:val="00750B66"/>
    <w:rsid w:val="00750F17"/>
    <w:rsid w:val="007529C3"/>
    <w:rsid w:val="007536C5"/>
    <w:rsid w:val="00753D8C"/>
    <w:rsid w:val="007548F4"/>
    <w:rsid w:val="00754BC4"/>
    <w:rsid w:val="0075530F"/>
    <w:rsid w:val="00755F9A"/>
    <w:rsid w:val="007579A0"/>
    <w:rsid w:val="00760C2F"/>
    <w:rsid w:val="0076115D"/>
    <w:rsid w:val="00761755"/>
    <w:rsid w:val="007620F9"/>
    <w:rsid w:val="007621AC"/>
    <w:rsid w:val="0076420E"/>
    <w:rsid w:val="007660F7"/>
    <w:rsid w:val="007664ED"/>
    <w:rsid w:val="00766C55"/>
    <w:rsid w:val="007708DA"/>
    <w:rsid w:val="00770F96"/>
    <w:rsid w:val="00771205"/>
    <w:rsid w:val="007714D0"/>
    <w:rsid w:val="007732CD"/>
    <w:rsid w:val="007733C1"/>
    <w:rsid w:val="007747E0"/>
    <w:rsid w:val="00775302"/>
    <w:rsid w:val="0077535D"/>
    <w:rsid w:val="00775864"/>
    <w:rsid w:val="00777A71"/>
    <w:rsid w:val="00777E90"/>
    <w:rsid w:val="00780263"/>
    <w:rsid w:val="00780DA0"/>
    <w:rsid w:val="0078377A"/>
    <w:rsid w:val="00784CDC"/>
    <w:rsid w:val="00784F10"/>
    <w:rsid w:val="00785A4E"/>
    <w:rsid w:val="007860FA"/>
    <w:rsid w:val="007879A5"/>
    <w:rsid w:val="00790380"/>
    <w:rsid w:val="007904F8"/>
    <w:rsid w:val="00790F5C"/>
    <w:rsid w:val="00791302"/>
    <w:rsid w:val="007927D9"/>
    <w:rsid w:val="00792D6D"/>
    <w:rsid w:val="00795517"/>
    <w:rsid w:val="007956BC"/>
    <w:rsid w:val="0079586F"/>
    <w:rsid w:val="00797D07"/>
    <w:rsid w:val="007A0BD7"/>
    <w:rsid w:val="007A1530"/>
    <w:rsid w:val="007A2203"/>
    <w:rsid w:val="007A3054"/>
    <w:rsid w:val="007A42E5"/>
    <w:rsid w:val="007A43C5"/>
    <w:rsid w:val="007A4A4F"/>
    <w:rsid w:val="007A501E"/>
    <w:rsid w:val="007A690C"/>
    <w:rsid w:val="007A6C00"/>
    <w:rsid w:val="007A716A"/>
    <w:rsid w:val="007A7C1F"/>
    <w:rsid w:val="007B13A0"/>
    <w:rsid w:val="007B166A"/>
    <w:rsid w:val="007B1FA3"/>
    <w:rsid w:val="007B236C"/>
    <w:rsid w:val="007B2C24"/>
    <w:rsid w:val="007B39B7"/>
    <w:rsid w:val="007B4006"/>
    <w:rsid w:val="007B43BE"/>
    <w:rsid w:val="007B4AB2"/>
    <w:rsid w:val="007B4F41"/>
    <w:rsid w:val="007B70B3"/>
    <w:rsid w:val="007C1678"/>
    <w:rsid w:val="007C1CCB"/>
    <w:rsid w:val="007C2DEB"/>
    <w:rsid w:val="007C2E88"/>
    <w:rsid w:val="007C40FB"/>
    <w:rsid w:val="007C4525"/>
    <w:rsid w:val="007C5F38"/>
    <w:rsid w:val="007C704A"/>
    <w:rsid w:val="007C707A"/>
    <w:rsid w:val="007C79F4"/>
    <w:rsid w:val="007C7F66"/>
    <w:rsid w:val="007D0151"/>
    <w:rsid w:val="007D13B7"/>
    <w:rsid w:val="007D16E7"/>
    <w:rsid w:val="007D29B7"/>
    <w:rsid w:val="007D4182"/>
    <w:rsid w:val="007D4AC2"/>
    <w:rsid w:val="007D5E15"/>
    <w:rsid w:val="007D61C0"/>
    <w:rsid w:val="007D6B95"/>
    <w:rsid w:val="007D6E10"/>
    <w:rsid w:val="007D78DA"/>
    <w:rsid w:val="007E003F"/>
    <w:rsid w:val="007E0091"/>
    <w:rsid w:val="007E00CD"/>
    <w:rsid w:val="007E00F4"/>
    <w:rsid w:val="007E092E"/>
    <w:rsid w:val="007E0DDE"/>
    <w:rsid w:val="007E1809"/>
    <w:rsid w:val="007E2386"/>
    <w:rsid w:val="007E2C2F"/>
    <w:rsid w:val="007E3C1A"/>
    <w:rsid w:val="007E455F"/>
    <w:rsid w:val="007E4ADC"/>
    <w:rsid w:val="007E4F48"/>
    <w:rsid w:val="007E5130"/>
    <w:rsid w:val="007E55A5"/>
    <w:rsid w:val="007E580A"/>
    <w:rsid w:val="007E58A1"/>
    <w:rsid w:val="007E5BD6"/>
    <w:rsid w:val="007E6F7B"/>
    <w:rsid w:val="007F106D"/>
    <w:rsid w:val="007F3935"/>
    <w:rsid w:val="007F5C38"/>
    <w:rsid w:val="007F77E3"/>
    <w:rsid w:val="007F7D7A"/>
    <w:rsid w:val="00800D3E"/>
    <w:rsid w:val="00800FC9"/>
    <w:rsid w:val="0080146B"/>
    <w:rsid w:val="00801A4D"/>
    <w:rsid w:val="008036CE"/>
    <w:rsid w:val="00803ADC"/>
    <w:rsid w:val="00803ED6"/>
    <w:rsid w:val="0080440E"/>
    <w:rsid w:val="00804AA8"/>
    <w:rsid w:val="00806081"/>
    <w:rsid w:val="008060A9"/>
    <w:rsid w:val="00807600"/>
    <w:rsid w:val="0081045A"/>
    <w:rsid w:val="00811683"/>
    <w:rsid w:val="008129B7"/>
    <w:rsid w:val="0081322E"/>
    <w:rsid w:val="0081354A"/>
    <w:rsid w:val="00813AD9"/>
    <w:rsid w:val="00815BFC"/>
    <w:rsid w:val="008174D7"/>
    <w:rsid w:val="0082045C"/>
    <w:rsid w:val="008213DB"/>
    <w:rsid w:val="008219F8"/>
    <w:rsid w:val="00822A69"/>
    <w:rsid w:val="00823275"/>
    <w:rsid w:val="008243DB"/>
    <w:rsid w:val="008249D3"/>
    <w:rsid w:val="00825AE3"/>
    <w:rsid w:val="00827721"/>
    <w:rsid w:val="008278FF"/>
    <w:rsid w:val="0083040F"/>
    <w:rsid w:val="00830BA0"/>
    <w:rsid w:val="00830E00"/>
    <w:rsid w:val="008310CF"/>
    <w:rsid w:val="008320F6"/>
    <w:rsid w:val="0083222F"/>
    <w:rsid w:val="00835810"/>
    <w:rsid w:val="008367AE"/>
    <w:rsid w:val="00836ED5"/>
    <w:rsid w:val="0083788A"/>
    <w:rsid w:val="008406F1"/>
    <w:rsid w:val="00843C18"/>
    <w:rsid w:val="00845825"/>
    <w:rsid w:val="00845AFE"/>
    <w:rsid w:val="008462B1"/>
    <w:rsid w:val="00846A40"/>
    <w:rsid w:val="00846ADE"/>
    <w:rsid w:val="00847FB2"/>
    <w:rsid w:val="00850137"/>
    <w:rsid w:val="00850E1F"/>
    <w:rsid w:val="0085134D"/>
    <w:rsid w:val="00851677"/>
    <w:rsid w:val="00852E10"/>
    <w:rsid w:val="00853231"/>
    <w:rsid w:val="0085339D"/>
    <w:rsid w:val="00854556"/>
    <w:rsid w:val="00855B44"/>
    <w:rsid w:val="00856C4E"/>
    <w:rsid w:val="008614E6"/>
    <w:rsid w:val="0086222F"/>
    <w:rsid w:val="008628DC"/>
    <w:rsid w:val="00864585"/>
    <w:rsid w:val="00864B48"/>
    <w:rsid w:val="00865417"/>
    <w:rsid w:val="00865803"/>
    <w:rsid w:val="00866021"/>
    <w:rsid w:val="00866D67"/>
    <w:rsid w:val="00867DAC"/>
    <w:rsid w:val="00871DF4"/>
    <w:rsid w:val="00872E68"/>
    <w:rsid w:val="00874AC5"/>
    <w:rsid w:val="00874B04"/>
    <w:rsid w:val="00874C07"/>
    <w:rsid w:val="008755FC"/>
    <w:rsid w:val="00875AC4"/>
    <w:rsid w:val="00875C7D"/>
    <w:rsid w:val="00876400"/>
    <w:rsid w:val="00877DB0"/>
    <w:rsid w:val="00880D46"/>
    <w:rsid w:val="008813B2"/>
    <w:rsid w:val="008813C0"/>
    <w:rsid w:val="008840EE"/>
    <w:rsid w:val="008857C4"/>
    <w:rsid w:val="008869BE"/>
    <w:rsid w:val="008871FE"/>
    <w:rsid w:val="0088725A"/>
    <w:rsid w:val="00887BA0"/>
    <w:rsid w:val="00890014"/>
    <w:rsid w:val="00890360"/>
    <w:rsid w:val="008904AF"/>
    <w:rsid w:val="008907BC"/>
    <w:rsid w:val="00894EAA"/>
    <w:rsid w:val="00896E46"/>
    <w:rsid w:val="008973FF"/>
    <w:rsid w:val="00897F79"/>
    <w:rsid w:val="008A022B"/>
    <w:rsid w:val="008A2483"/>
    <w:rsid w:val="008A33EB"/>
    <w:rsid w:val="008A4168"/>
    <w:rsid w:val="008A5648"/>
    <w:rsid w:val="008A5C9D"/>
    <w:rsid w:val="008A6020"/>
    <w:rsid w:val="008A6E4B"/>
    <w:rsid w:val="008A7666"/>
    <w:rsid w:val="008A7E06"/>
    <w:rsid w:val="008B18F6"/>
    <w:rsid w:val="008B4C96"/>
    <w:rsid w:val="008B753B"/>
    <w:rsid w:val="008C1535"/>
    <w:rsid w:val="008C244B"/>
    <w:rsid w:val="008C2F59"/>
    <w:rsid w:val="008C3D09"/>
    <w:rsid w:val="008C427D"/>
    <w:rsid w:val="008C43EF"/>
    <w:rsid w:val="008C59E3"/>
    <w:rsid w:val="008C5F11"/>
    <w:rsid w:val="008C6FD7"/>
    <w:rsid w:val="008C740B"/>
    <w:rsid w:val="008D010A"/>
    <w:rsid w:val="008D1563"/>
    <w:rsid w:val="008D295C"/>
    <w:rsid w:val="008D386C"/>
    <w:rsid w:val="008D4180"/>
    <w:rsid w:val="008D4243"/>
    <w:rsid w:val="008D4BA8"/>
    <w:rsid w:val="008D65D2"/>
    <w:rsid w:val="008D67F0"/>
    <w:rsid w:val="008D72FA"/>
    <w:rsid w:val="008D73AC"/>
    <w:rsid w:val="008D7E9B"/>
    <w:rsid w:val="008D7F1F"/>
    <w:rsid w:val="008E2136"/>
    <w:rsid w:val="008E232D"/>
    <w:rsid w:val="008E2480"/>
    <w:rsid w:val="008E291E"/>
    <w:rsid w:val="008E3559"/>
    <w:rsid w:val="008E374A"/>
    <w:rsid w:val="008E46D8"/>
    <w:rsid w:val="008E54DF"/>
    <w:rsid w:val="008E6FC0"/>
    <w:rsid w:val="008F0AE2"/>
    <w:rsid w:val="008F1191"/>
    <w:rsid w:val="008F21F4"/>
    <w:rsid w:val="008F2724"/>
    <w:rsid w:val="008F4E4F"/>
    <w:rsid w:val="008F51EF"/>
    <w:rsid w:val="008F7B51"/>
    <w:rsid w:val="0090132E"/>
    <w:rsid w:val="00901FF6"/>
    <w:rsid w:val="0090217B"/>
    <w:rsid w:val="00902570"/>
    <w:rsid w:val="00902AA4"/>
    <w:rsid w:val="0090374D"/>
    <w:rsid w:val="00905255"/>
    <w:rsid w:val="009059B1"/>
    <w:rsid w:val="009061D0"/>
    <w:rsid w:val="00906DC8"/>
    <w:rsid w:val="00907441"/>
    <w:rsid w:val="0090795A"/>
    <w:rsid w:val="00910181"/>
    <w:rsid w:val="009102B5"/>
    <w:rsid w:val="0091226A"/>
    <w:rsid w:val="009122E5"/>
    <w:rsid w:val="00913047"/>
    <w:rsid w:val="00914397"/>
    <w:rsid w:val="009145CC"/>
    <w:rsid w:val="0091495F"/>
    <w:rsid w:val="0091521F"/>
    <w:rsid w:val="0091562E"/>
    <w:rsid w:val="00916918"/>
    <w:rsid w:val="00916EA7"/>
    <w:rsid w:val="00917C33"/>
    <w:rsid w:val="009205F6"/>
    <w:rsid w:val="009208DE"/>
    <w:rsid w:val="009217C8"/>
    <w:rsid w:val="00921EB3"/>
    <w:rsid w:val="00922473"/>
    <w:rsid w:val="009227F0"/>
    <w:rsid w:val="00927523"/>
    <w:rsid w:val="009277FB"/>
    <w:rsid w:val="009305AD"/>
    <w:rsid w:val="00930FCF"/>
    <w:rsid w:val="009316D5"/>
    <w:rsid w:val="00931EC0"/>
    <w:rsid w:val="00932D5C"/>
    <w:rsid w:val="009354F1"/>
    <w:rsid w:val="009359EA"/>
    <w:rsid w:val="00935D2B"/>
    <w:rsid w:val="00936883"/>
    <w:rsid w:val="00937D9D"/>
    <w:rsid w:val="00940ECE"/>
    <w:rsid w:val="00942A71"/>
    <w:rsid w:val="0094324F"/>
    <w:rsid w:val="0094378B"/>
    <w:rsid w:val="00945592"/>
    <w:rsid w:val="0094559D"/>
    <w:rsid w:val="0094593C"/>
    <w:rsid w:val="00945EE3"/>
    <w:rsid w:val="009463BE"/>
    <w:rsid w:val="0094667C"/>
    <w:rsid w:val="009474E8"/>
    <w:rsid w:val="009507CC"/>
    <w:rsid w:val="00952C3D"/>
    <w:rsid w:val="00953169"/>
    <w:rsid w:val="0095348A"/>
    <w:rsid w:val="00956199"/>
    <w:rsid w:val="009569A8"/>
    <w:rsid w:val="00956D7F"/>
    <w:rsid w:val="00962B47"/>
    <w:rsid w:val="00962B8A"/>
    <w:rsid w:val="00962FD5"/>
    <w:rsid w:val="009642FA"/>
    <w:rsid w:val="009644F4"/>
    <w:rsid w:val="00965453"/>
    <w:rsid w:val="009673AB"/>
    <w:rsid w:val="00967BB6"/>
    <w:rsid w:val="0097269B"/>
    <w:rsid w:val="00972BA1"/>
    <w:rsid w:val="00973B44"/>
    <w:rsid w:val="00974244"/>
    <w:rsid w:val="00976031"/>
    <w:rsid w:val="0097692C"/>
    <w:rsid w:val="00976A27"/>
    <w:rsid w:val="009779C4"/>
    <w:rsid w:val="009801BB"/>
    <w:rsid w:val="00980438"/>
    <w:rsid w:val="009817E3"/>
    <w:rsid w:val="0098282F"/>
    <w:rsid w:val="009829FB"/>
    <w:rsid w:val="009830D4"/>
    <w:rsid w:val="009872BA"/>
    <w:rsid w:val="00990521"/>
    <w:rsid w:val="00991785"/>
    <w:rsid w:val="009918A4"/>
    <w:rsid w:val="00994FF5"/>
    <w:rsid w:val="0099527A"/>
    <w:rsid w:val="0099537B"/>
    <w:rsid w:val="00995F80"/>
    <w:rsid w:val="009964C4"/>
    <w:rsid w:val="009975D5"/>
    <w:rsid w:val="009A0357"/>
    <w:rsid w:val="009A257F"/>
    <w:rsid w:val="009A513C"/>
    <w:rsid w:val="009A56C6"/>
    <w:rsid w:val="009A6320"/>
    <w:rsid w:val="009A635B"/>
    <w:rsid w:val="009A72B1"/>
    <w:rsid w:val="009A7E27"/>
    <w:rsid w:val="009B0179"/>
    <w:rsid w:val="009B198D"/>
    <w:rsid w:val="009B56B5"/>
    <w:rsid w:val="009B5D54"/>
    <w:rsid w:val="009B5F0A"/>
    <w:rsid w:val="009B6542"/>
    <w:rsid w:val="009B6AEF"/>
    <w:rsid w:val="009B725D"/>
    <w:rsid w:val="009B7340"/>
    <w:rsid w:val="009B7517"/>
    <w:rsid w:val="009C0D6F"/>
    <w:rsid w:val="009C2764"/>
    <w:rsid w:val="009C2EED"/>
    <w:rsid w:val="009C3368"/>
    <w:rsid w:val="009C38AB"/>
    <w:rsid w:val="009C3B92"/>
    <w:rsid w:val="009C5A59"/>
    <w:rsid w:val="009C5AF4"/>
    <w:rsid w:val="009C6336"/>
    <w:rsid w:val="009C7413"/>
    <w:rsid w:val="009C7FA5"/>
    <w:rsid w:val="009D0AF9"/>
    <w:rsid w:val="009D0CEF"/>
    <w:rsid w:val="009D0D30"/>
    <w:rsid w:val="009D12F8"/>
    <w:rsid w:val="009D1948"/>
    <w:rsid w:val="009D50E7"/>
    <w:rsid w:val="009D7310"/>
    <w:rsid w:val="009D74E5"/>
    <w:rsid w:val="009E1050"/>
    <w:rsid w:val="009E1B68"/>
    <w:rsid w:val="009E1BA7"/>
    <w:rsid w:val="009E21F0"/>
    <w:rsid w:val="009E2201"/>
    <w:rsid w:val="009E2FC0"/>
    <w:rsid w:val="009E3684"/>
    <w:rsid w:val="009E582B"/>
    <w:rsid w:val="009E5BC8"/>
    <w:rsid w:val="009F02D4"/>
    <w:rsid w:val="009F2644"/>
    <w:rsid w:val="009F3D19"/>
    <w:rsid w:val="009F4DD6"/>
    <w:rsid w:val="009F575E"/>
    <w:rsid w:val="00A00C79"/>
    <w:rsid w:val="00A0253E"/>
    <w:rsid w:val="00A027E0"/>
    <w:rsid w:val="00A03A47"/>
    <w:rsid w:val="00A03EE0"/>
    <w:rsid w:val="00A04216"/>
    <w:rsid w:val="00A04281"/>
    <w:rsid w:val="00A05237"/>
    <w:rsid w:val="00A055A2"/>
    <w:rsid w:val="00A0731E"/>
    <w:rsid w:val="00A10AC5"/>
    <w:rsid w:val="00A1110C"/>
    <w:rsid w:val="00A11693"/>
    <w:rsid w:val="00A11D2A"/>
    <w:rsid w:val="00A12596"/>
    <w:rsid w:val="00A141C1"/>
    <w:rsid w:val="00A16520"/>
    <w:rsid w:val="00A17253"/>
    <w:rsid w:val="00A1753E"/>
    <w:rsid w:val="00A20CAB"/>
    <w:rsid w:val="00A20D7E"/>
    <w:rsid w:val="00A20F08"/>
    <w:rsid w:val="00A21CBC"/>
    <w:rsid w:val="00A22003"/>
    <w:rsid w:val="00A222B4"/>
    <w:rsid w:val="00A228A9"/>
    <w:rsid w:val="00A22B77"/>
    <w:rsid w:val="00A22DED"/>
    <w:rsid w:val="00A22DFE"/>
    <w:rsid w:val="00A23B1B"/>
    <w:rsid w:val="00A24CC7"/>
    <w:rsid w:val="00A26ABD"/>
    <w:rsid w:val="00A27707"/>
    <w:rsid w:val="00A301FD"/>
    <w:rsid w:val="00A32BD1"/>
    <w:rsid w:val="00A33E56"/>
    <w:rsid w:val="00A34BDA"/>
    <w:rsid w:val="00A37AF1"/>
    <w:rsid w:val="00A37C07"/>
    <w:rsid w:val="00A37FB9"/>
    <w:rsid w:val="00A40B83"/>
    <w:rsid w:val="00A418BA"/>
    <w:rsid w:val="00A42C8A"/>
    <w:rsid w:val="00A43220"/>
    <w:rsid w:val="00A44650"/>
    <w:rsid w:val="00A4490B"/>
    <w:rsid w:val="00A44A82"/>
    <w:rsid w:val="00A44C17"/>
    <w:rsid w:val="00A4599A"/>
    <w:rsid w:val="00A45F55"/>
    <w:rsid w:val="00A461B4"/>
    <w:rsid w:val="00A47A30"/>
    <w:rsid w:val="00A50462"/>
    <w:rsid w:val="00A50916"/>
    <w:rsid w:val="00A51545"/>
    <w:rsid w:val="00A51DFF"/>
    <w:rsid w:val="00A52B50"/>
    <w:rsid w:val="00A537FF"/>
    <w:rsid w:val="00A538A3"/>
    <w:rsid w:val="00A53EF1"/>
    <w:rsid w:val="00A553F4"/>
    <w:rsid w:val="00A55CE0"/>
    <w:rsid w:val="00A5668F"/>
    <w:rsid w:val="00A57337"/>
    <w:rsid w:val="00A6131E"/>
    <w:rsid w:val="00A618FA"/>
    <w:rsid w:val="00A619C3"/>
    <w:rsid w:val="00A62441"/>
    <w:rsid w:val="00A627BA"/>
    <w:rsid w:val="00A630DC"/>
    <w:rsid w:val="00A63DA7"/>
    <w:rsid w:val="00A64222"/>
    <w:rsid w:val="00A654F5"/>
    <w:rsid w:val="00A66EA9"/>
    <w:rsid w:val="00A67396"/>
    <w:rsid w:val="00A709F2"/>
    <w:rsid w:val="00A70D41"/>
    <w:rsid w:val="00A7175B"/>
    <w:rsid w:val="00A71BF6"/>
    <w:rsid w:val="00A71DF4"/>
    <w:rsid w:val="00A71E29"/>
    <w:rsid w:val="00A72D05"/>
    <w:rsid w:val="00A745B7"/>
    <w:rsid w:val="00A752E4"/>
    <w:rsid w:val="00A759B0"/>
    <w:rsid w:val="00A75F47"/>
    <w:rsid w:val="00A76BED"/>
    <w:rsid w:val="00A809FF"/>
    <w:rsid w:val="00A83C9F"/>
    <w:rsid w:val="00A8570A"/>
    <w:rsid w:val="00A85FAC"/>
    <w:rsid w:val="00A86471"/>
    <w:rsid w:val="00A868CB"/>
    <w:rsid w:val="00A87160"/>
    <w:rsid w:val="00A87B22"/>
    <w:rsid w:val="00A903D5"/>
    <w:rsid w:val="00A9180B"/>
    <w:rsid w:val="00A919A5"/>
    <w:rsid w:val="00A93599"/>
    <w:rsid w:val="00A93DB1"/>
    <w:rsid w:val="00A96174"/>
    <w:rsid w:val="00A97343"/>
    <w:rsid w:val="00A97D4E"/>
    <w:rsid w:val="00AA0661"/>
    <w:rsid w:val="00AA0C3B"/>
    <w:rsid w:val="00AA28C3"/>
    <w:rsid w:val="00AA2D7B"/>
    <w:rsid w:val="00AA4BAC"/>
    <w:rsid w:val="00AA4E89"/>
    <w:rsid w:val="00AA52B4"/>
    <w:rsid w:val="00AA566B"/>
    <w:rsid w:val="00AA64C1"/>
    <w:rsid w:val="00AA6979"/>
    <w:rsid w:val="00AA6BA8"/>
    <w:rsid w:val="00AA6D95"/>
    <w:rsid w:val="00AA7037"/>
    <w:rsid w:val="00AA74E0"/>
    <w:rsid w:val="00AB080D"/>
    <w:rsid w:val="00AB1068"/>
    <w:rsid w:val="00AB1767"/>
    <w:rsid w:val="00AB32CF"/>
    <w:rsid w:val="00AB45FA"/>
    <w:rsid w:val="00AB5824"/>
    <w:rsid w:val="00AB5F76"/>
    <w:rsid w:val="00AB64E5"/>
    <w:rsid w:val="00AC1726"/>
    <w:rsid w:val="00AC1A40"/>
    <w:rsid w:val="00AC2461"/>
    <w:rsid w:val="00AC2583"/>
    <w:rsid w:val="00AC2F7F"/>
    <w:rsid w:val="00AC3200"/>
    <w:rsid w:val="00AC3674"/>
    <w:rsid w:val="00AC36AA"/>
    <w:rsid w:val="00AC374F"/>
    <w:rsid w:val="00AC5156"/>
    <w:rsid w:val="00AC553D"/>
    <w:rsid w:val="00AC6AF4"/>
    <w:rsid w:val="00AC7D3C"/>
    <w:rsid w:val="00AD19F0"/>
    <w:rsid w:val="00AD373F"/>
    <w:rsid w:val="00AD3894"/>
    <w:rsid w:val="00AD5483"/>
    <w:rsid w:val="00AD5644"/>
    <w:rsid w:val="00AD7197"/>
    <w:rsid w:val="00AD782C"/>
    <w:rsid w:val="00AD7948"/>
    <w:rsid w:val="00AD7FC9"/>
    <w:rsid w:val="00AE0416"/>
    <w:rsid w:val="00AE1196"/>
    <w:rsid w:val="00AE1B01"/>
    <w:rsid w:val="00AE3AB7"/>
    <w:rsid w:val="00AE5196"/>
    <w:rsid w:val="00AE590D"/>
    <w:rsid w:val="00AE62B9"/>
    <w:rsid w:val="00AE7738"/>
    <w:rsid w:val="00AF0875"/>
    <w:rsid w:val="00AF0B2F"/>
    <w:rsid w:val="00AF2E68"/>
    <w:rsid w:val="00AF35C6"/>
    <w:rsid w:val="00AF40AA"/>
    <w:rsid w:val="00AF449D"/>
    <w:rsid w:val="00AF4949"/>
    <w:rsid w:val="00AF688E"/>
    <w:rsid w:val="00AF7047"/>
    <w:rsid w:val="00AF7DB4"/>
    <w:rsid w:val="00AF7EE6"/>
    <w:rsid w:val="00B01F5D"/>
    <w:rsid w:val="00B04072"/>
    <w:rsid w:val="00B055F9"/>
    <w:rsid w:val="00B06F0F"/>
    <w:rsid w:val="00B072A7"/>
    <w:rsid w:val="00B07C5B"/>
    <w:rsid w:val="00B10EA4"/>
    <w:rsid w:val="00B115DC"/>
    <w:rsid w:val="00B11639"/>
    <w:rsid w:val="00B1172E"/>
    <w:rsid w:val="00B14036"/>
    <w:rsid w:val="00B155A1"/>
    <w:rsid w:val="00B1606B"/>
    <w:rsid w:val="00B16C68"/>
    <w:rsid w:val="00B207E6"/>
    <w:rsid w:val="00B2255D"/>
    <w:rsid w:val="00B2323E"/>
    <w:rsid w:val="00B24B40"/>
    <w:rsid w:val="00B2504C"/>
    <w:rsid w:val="00B25472"/>
    <w:rsid w:val="00B30648"/>
    <w:rsid w:val="00B31898"/>
    <w:rsid w:val="00B33163"/>
    <w:rsid w:val="00B33279"/>
    <w:rsid w:val="00B3435A"/>
    <w:rsid w:val="00B354F1"/>
    <w:rsid w:val="00B36260"/>
    <w:rsid w:val="00B37010"/>
    <w:rsid w:val="00B371DA"/>
    <w:rsid w:val="00B37A9F"/>
    <w:rsid w:val="00B37D74"/>
    <w:rsid w:val="00B40482"/>
    <w:rsid w:val="00B404DA"/>
    <w:rsid w:val="00B40BDF"/>
    <w:rsid w:val="00B41780"/>
    <w:rsid w:val="00B41887"/>
    <w:rsid w:val="00B41F39"/>
    <w:rsid w:val="00B420F5"/>
    <w:rsid w:val="00B44CC7"/>
    <w:rsid w:val="00B46A7C"/>
    <w:rsid w:val="00B47D30"/>
    <w:rsid w:val="00B52868"/>
    <w:rsid w:val="00B52B8B"/>
    <w:rsid w:val="00B52FC7"/>
    <w:rsid w:val="00B53443"/>
    <w:rsid w:val="00B5352E"/>
    <w:rsid w:val="00B54BF5"/>
    <w:rsid w:val="00B5621A"/>
    <w:rsid w:val="00B576D7"/>
    <w:rsid w:val="00B57D4E"/>
    <w:rsid w:val="00B61763"/>
    <w:rsid w:val="00B618AB"/>
    <w:rsid w:val="00B61ABE"/>
    <w:rsid w:val="00B62364"/>
    <w:rsid w:val="00B62C95"/>
    <w:rsid w:val="00B6344A"/>
    <w:rsid w:val="00B653CC"/>
    <w:rsid w:val="00B66653"/>
    <w:rsid w:val="00B708ED"/>
    <w:rsid w:val="00B70AEC"/>
    <w:rsid w:val="00B70C8A"/>
    <w:rsid w:val="00B71472"/>
    <w:rsid w:val="00B717AF"/>
    <w:rsid w:val="00B72D44"/>
    <w:rsid w:val="00B73351"/>
    <w:rsid w:val="00B74087"/>
    <w:rsid w:val="00B74451"/>
    <w:rsid w:val="00B748B9"/>
    <w:rsid w:val="00B7574E"/>
    <w:rsid w:val="00B757C8"/>
    <w:rsid w:val="00B7657B"/>
    <w:rsid w:val="00B76753"/>
    <w:rsid w:val="00B779ED"/>
    <w:rsid w:val="00B800C5"/>
    <w:rsid w:val="00B8024F"/>
    <w:rsid w:val="00B809F2"/>
    <w:rsid w:val="00B80D43"/>
    <w:rsid w:val="00B844D6"/>
    <w:rsid w:val="00B84A3D"/>
    <w:rsid w:val="00B85032"/>
    <w:rsid w:val="00B85191"/>
    <w:rsid w:val="00B86284"/>
    <w:rsid w:val="00B87A41"/>
    <w:rsid w:val="00B91CCD"/>
    <w:rsid w:val="00B91E8D"/>
    <w:rsid w:val="00B94495"/>
    <w:rsid w:val="00B9496A"/>
    <w:rsid w:val="00B94A28"/>
    <w:rsid w:val="00B94B32"/>
    <w:rsid w:val="00B94DD1"/>
    <w:rsid w:val="00B96BB0"/>
    <w:rsid w:val="00B9773A"/>
    <w:rsid w:val="00B97F3C"/>
    <w:rsid w:val="00BA021F"/>
    <w:rsid w:val="00BA3226"/>
    <w:rsid w:val="00BA33A9"/>
    <w:rsid w:val="00BA441C"/>
    <w:rsid w:val="00BA45D9"/>
    <w:rsid w:val="00BA56A6"/>
    <w:rsid w:val="00BA6ACF"/>
    <w:rsid w:val="00BA6C80"/>
    <w:rsid w:val="00BA6DB4"/>
    <w:rsid w:val="00BB111F"/>
    <w:rsid w:val="00BB2729"/>
    <w:rsid w:val="00BB286E"/>
    <w:rsid w:val="00BB324A"/>
    <w:rsid w:val="00BB4306"/>
    <w:rsid w:val="00BB67E4"/>
    <w:rsid w:val="00BB6BBF"/>
    <w:rsid w:val="00BB755F"/>
    <w:rsid w:val="00BC0D0E"/>
    <w:rsid w:val="00BC19C7"/>
    <w:rsid w:val="00BC26F9"/>
    <w:rsid w:val="00BC2E6E"/>
    <w:rsid w:val="00BC38EA"/>
    <w:rsid w:val="00BC40E2"/>
    <w:rsid w:val="00BC4D55"/>
    <w:rsid w:val="00BC5D99"/>
    <w:rsid w:val="00BC6BCF"/>
    <w:rsid w:val="00BC7D17"/>
    <w:rsid w:val="00BD023A"/>
    <w:rsid w:val="00BD06E9"/>
    <w:rsid w:val="00BD0C15"/>
    <w:rsid w:val="00BD0F0B"/>
    <w:rsid w:val="00BD2108"/>
    <w:rsid w:val="00BD2A87"/>
    <w:rsid w:val="00BD681C"/>
    <w:rsid w:val="00BE0013"/>
    <w:rsid w:val="00BE07BF"/>
    <w:rsid w:val="00BE0A7C"/>
    <w:rsid w:val="00BE1A3D"/>
    <w:rsid w:val="00BE2149"/>
    <w:rsid w:val="00BE2C95"/>
    <w:rsid w:val="00BE37C6"/>
    <w:rsid w:val="00BE3C8D"/>
    <w:rsid w:val="00BE474F"/>
    <w:rsid w:val="00BE5109"/>
    <w:rsid w:val="00BE549C"/>
    <w:rsid w:val="00BF05C0"/>
    <w:rsid w:val="00BF09AF"/>
    <w:rsid w:val="00BF0D47"/>
    <w:rsid w:val="00BF1DE8"/>
    <w:rsid w:val="00BF24F6"/>
    <w:rsid w:val="00BF3330"/>
    <w:rsid w:val="00BF48E5"/>
    <w:rsid w:val="00BF4F84"/>
    <w:rsid w:val="00BF68BB"/>
    <w:rsid w:val="00BF6BF0"/>
    <w:rsid w:val="00BF72FE"/>
    <w:rsid w:val="00C002D1"/>
    <w:rsid w:val="00C00612"/>
    <w:rsid w:val="00C010BD"/>
    <w:rsid w:val="00C01B56"/>
    <w:rsid w:val="00C01E1E"/>
    <w:rsid w:val="00C02846"/>
    <w:rsid w:val="00C037B3"/>
    <w:rsid w:val="00C046C1"/>
    <w:rsid w:val="00C04FC3"/>
    <w:rsid w:val="00C06200"/>
    <w:rsid w:val="00C1094C"/>
    <w:rsid w:val="00C10EB1"/>
    <w:rsid w:val="00C11FBE"/>
    <w:rsid w:val="00C13312"/>
    <w:rsid w:val="00C159BB"/>
    <w:rsid w:val="00C161FE"/>
    <w:rsid w:val="00C17AC8"/>
    <w:rsid w:val="00C17D26"/>
    <w:rsid w:val="00C17EB1"/>
    <w:rsid w:val="00C20EA3"/>
    <w:rsid w:val="00C21CBC"/>
    <w:rsid w:val="00C22E00"/>
    <w:rsid w:val="00C2477B"/>
    <w:rsid w:val="00C24B0D"/>
    <w:rsid w:val="00C24EC0"/>
    <w:rsid w:val="00C25638"/>
    <w:rsid w:val="00C2739B"/>
    <w:rsid w:val="00C273A7"/>
    <w:rsid w:val="00C279A4"/>
    <w:rsid w:val="00C27E56"/>
    <w:rsid w:val="00C27F3B"/>
    <w:rsid w:val="00C30901"/>
    <w:rsid w:val="00C30BAF"/>
    <w:rsid w:val="00C31213"/>
    <w:rsid w:val="00C324A8"/>
    <w:rsid w:val="00C33908"/>
    <w:rsid w:val="00C33CE2"/>
    <w:rsid w:val="00C34954"/>
    <w:rsid w:val="00C3645A"/>
    <w:rsid w:val="00C379BB"/>
    <w:rsid w:val="00C4007E"/>
    <w:rsid w:val="00C402FE"/>
    <w:rsid w:val="00C407C1"/>
    <w:rsid w:val="00C41781"/>
    <w:rsid w:val="00C41978"/>
    <w:rsid w:val="00C423B4"/>
    <w:rsid w:val="00C42D2C"/>
    <w:rsid w:val="00C436B7"/>
    <w:rsid w:val="00C43B49"/>
    <w:rsid w:val="00C44127"/>
    <w:rsid w:val="00C448C3"/>
    <w:rsid w:val="00C45A08"/>
    <w:rsid w:val="00C45B2B"/>
    <w:rsid w:val="00C463F7"/>
    <w:rsid w:val="00C46912"/>
    <w:rsid w:val="00C46E42"/>
    <w:rsid w:val="00C47237"/>
    <w:rsid w:val="00C47C7E"/>
    <w:rsid w:val="00C47CA2"/>
    <w:rsid w:val="00C47ED5"/>
    <w:rsid w:val="00C50FDB"/>
    <w:rsid w:val="00C51565"/>
    <w:rsid w:val="00C5270C"/>
    <w:rsid w:val="00C5277A"/>
    <w:rsid w:val="00C532FB"/>
    <w:rsid w:val="00C540A0"/>
    <w:rsid w:val="00C545E2"/>
    <w:rsid w:val="00C547DB"/>
    <w:rsid w:val="00C54F84"/>
    <w:rsid w:val="00C55778"/>
    <w:rsid w:val="00C55EC2"/>
    <w:rsid w:val="00C56B7A"/>
    <w:rsid w:val="00C60231"/>
    <w:rsid w:val="00C60399"/>
    <w:rsid w:val="00C60720"/>
    <w:rsid w:val="00C618CE"/>
    <w:rsid w:val="00C636FE"/>
    <w:rsid w:val="00C638A2"/>
    <w:rsid w:val="00C63EE8"/>
    <w:rsid w:val="00C65E80"/>
    <w:rsid w:val="00C65F74"/>
    <w:rsid w:val="00C677FA"/>
    <w:rsid w:val="00C67E67"/>
    <w:rsid w:val="00C70836"/>
    <w:rsid w:val="00C70AD8"/>
    <w:rsid w:val="00C71013"/>
    <w:rsid w:val="00C731B7"/>
    <w:rsid w:val="00C742A1"/>
    <w:rsid w:val="00C74C15"/>
    <w:rsid w:val="00C751AC"/>
    <w:rsid w:val="00C7555E"/>
    <w:rsid w:val="00C76C5D"/>
    <w:rsid w:val="00C774FC"/>
    <w:rsid w:val="00C80723"/>
    <w:rsid w:val="00C8074A"/>
    <w:rsid w:val="00C809FD"/>
    <w:rsid w:val="00C80C5D"/>
    <w:rsid w:val="00C82981"/>
    <w:rsid w:val="00C830F5"/>
    <w:rsid w:val="00C83AEB"/>
    <w:rsid w:val="00C847A4"/>
    <w:rsid w:val="00C84D0B"/>
    <w:rsid w:val="00C8511D"/>
    <w:rsid w:val="00C85F18"/>
    <w:rsid w:val="00C86495"/>
    <w:rsid w:val="00C874F3"/>
    <w:rsid w:val="00C87784"/>
    <w:rsid w:val="00C92304"/>
    <w:rsid w:val="00C94013"/>
    <w:rsid w:val="00C947EB"/>
    <w:rsid w:val="00C94D5A"/>
    <w:rsid w:val="00C94FC4"/>
    <w:rsid w:val="00C966A4"/>
    <w:rsid w:val="00C968DC"/>
    <w:rsid w:val="00CA0ECF"/>
    <w:rsid w:val="00CA342D"/>
    <w:rsid w:val="00CA39A5"/>
    <w:rsid w:val="00CA466B"/>
    <w:rsid w:val="00CA46CF"/>
    <w:rsid w:val="00CA5F20"/>
    <w:rsid w:val="00CA5FFD"/>
    <w:rsid w:val="00CA68B8"/>
    <w:rsid w:val="00CA7A35"/>
    <w:rsid w:val="00CA7FE2"/>
    <w:rsid w:val="00CB0845"/>
    <w:rsid w:val="00CB4F74"/>
    <w:rsid w:val="00CB5DD7"/>
    <w:rsid w:val="00CB5F35"/>
    <w:rsid w:val="00CB7A6F"/>
    <w:rsid w:val="00CC058D"/>
    <w:rsid w:val="00CC06F8"/>
    <w:rsid w:val="00CC17C7"/>
    <w:rsid w:val="00CC27FD"/>
    <w:rsid w:val="00CC33FF"/>
    <w:rsid w:val="00CC379B"/>
    <w:rsid w:val="00CC38DD"/>
    <w:rsid w:val="00CC4E01"/>
    <w:rsid w:val="00CC56E7"/>
    <w:rsid w:val="00CD02DD"/>
    <w:rsid w:val="00CD130C"/>
    <w:rsid w:val="00CD25CD"/>
    <w:rsid w:val="00CD3FF6"/>
    <w:rsid w:val="00CD4BFA"/>
    <w:rsid w:val="00CD5FDB"/>
    <w:rsid w:val="00CD68C4"/>
    <w:rsid w:val="00CD7FBE"/>
    <w:rsid w:val="00CE2627"/>
    <w:rsid w:val="00CE2B03"/>
    <w:rsid w:val="00CE2C38"/>
    <w:rsid w:val="00CE3373"/>
    <w:rsid w:val="00CE4004"/>
    <w:rsid w:val="00CE415B"/>
    <w:rsid w:val="00CE4FA0"/>
    <w:rsid w:val="00CE580F"/>
    <w:rsid w:val="00CF00A7"/>
    <w:rsid w:val="00CF16B1"/>
    <w:rsid w:val="00CF1D97"/>
    <w:rsid w:val="00CF204F"/>
    <w:rsid w:val="00CF36A0"/>
    <w:rsid w:val="00CF3766"/>
    <w:rsid w:val="00CF4741"/>
    <w:rsid w:val="00CF5288"/>
    <w:rsid w:val="00D003A8"/>
    <w:rsid w:val="00D0231D"/>
    <w:rsid w:val="00D039E0"/>
    <w:rsid w:val="00D04687"/>
    <w:rsid w:val="00D05032"/>
    <w:rsid w:val="00D063FE"/>
    <w:rsid w:val="00D067B8"/>
    <w:rsid w:val="00D079B3"/>
    <w:rsid w:val="00D10925"/>
    <w:rsid w:val="00D10B8D"/>
    <w:rsid w:val="00D14D10"/>
    <w:rsid w:val="00D14F6D"/>
    <w:rsid w:val="00D15936"/>
    <w:rsid w:val="00D15A46"/>
    <w:rsid w:val="00D174C6"/>
    <w:rsid w:val="00D200D1"/>
    <w:rsid w:val="00D21582"/>
    <w:rsid w:val="00D226D9"/>
    <w:rsid w:val="00D22E54"/>
    <w:rsid w:val="00D2390E"/>
    <w:rsid w:val="00D239D5"/>
    <w:rsid w:val="00D24816"/>
    <w:rsid w:val="00D256EE"/>
    <w:rsid w:val="00D2651F"/>
    <w:rsid w:val="00D26BFF"/>
    <w:rsid w:val="00D30361"/>
    <w:rsid w:val="00D305C8"/>
    <w:rsid w:val="00D3099D"/>
    <w:rsid w:val="00D30C5F"/>
    <w:rsid w:val="00D30F1C"/>
    <w:rsid w:val="00D3217E"/>
    <w:rsid w:val="00D32AC5"/>
    <w:rsid w:val="00D341C3"/>
    <w:rsid w:val="00D342EE"/>
    <w:rsid w:val="00D34FD5"/>
    <w:rsid w:val="00D35BE0"/>
    <w:rsid w:val="00D36A8B"/>
    <w:rsid w:val="00D36C6E"/>
    <w:rsid w:val="00D40BBC"/>
    <w:rsid w:val="00D40C31"/>
    <w:rsid w:val="00D42317"/>
    <w:rsid w:val="00D43AE9"/>
    <w:rsid w:val="00D44EB0"/>
    <w:rsid w:val="00D4518F"/>
    <w:rsid w:val="00D4610E"/>
    <w:rsid w:val="00D46E52"/>
    <w:rsid w:val="00D47DC5"/>
    <w:rsid w:val="00D50272"/>
    <w:rsid w:val="00D504A0"/>
    <w:rsid w:val="00D51396"/>
    <w:rsid w:val="00D51785"/>
    <w:rsid w:val="00D53664"/>
    <w:rsid w:val="00D54158"/>
    <w:rsid w:val="00D54392"/>
    <w:rsid w:val="00D54A7F"/>
    <w:rsid w:val="00D559F4"/>
    <w:rsid w:val="00D56903"/>
    <w:rsid w:val="00D60538"/>
    <w:rsid w:val="00D60693"/>
    <w:rsid w:val="00D610E3"/>
    <w:rsid w:val="00D612DA"/>
    <w:rsid w:val="00D61FA3"/>
    <w:rsid w:val="00D661BF"/>
    <w:rsid w:val="00D665C4"/>
    <w:rsid w:val="00D66653"/>
    <w:rsid w:val="00D66929"/>
    <w:rsid w:val="00D671D1"/>
    <w:rsid w:val="00D70406"/>
    <w:rsid w:val="00D70C54"/>
    <w:rsid w:val="00D71429"/>
    <w:rsid w:val="00D72AC1"/>
    <w:rsid w:val="00D73208"/>
    <w:rsid w:val="00D74D99"/>
    <w:rsid w:val="00D74DBD"/>
    <w:rsid w:val="00D76D60"/>
    <w:rsid w:val="00D76F87"/>
    <w:rsid w:val="00D77B06"/>
    <w:rsid w:val="00D77C10"/>
    <w:rsid w:val="00D816FB"/>
    <w:rsid w:val="00D818FA"/>
    <w:rsid w:val="00D83236"/>
    <w:rsid w:val="00D83726"/>
    <w:rsid w:val="00D83D56"/>
    <w:rsid w:val="00D844B3"/>
    <w:rsid w:val="00D85709"/>
    <w:rsid w:val="00D86EC7"/>
    <w:rsid w:val="00D90515"/>
    <w:rsid w:val="00D91025"/>
    <w:rsid w:val="00D91CB7"/>
    <w:rsid w:val="00D93BFB"/>
    <w:rsid w:val="00D95A82"/>
    <w:rsid w:val="00D96B9E"/>
    <w:rsid w:val="00D96D94"/>
    <w:rsid w:val="00D96FEA"/>
    <w:rsid w:val="00DA319D"/>
    <w:rsid w:val="00DA51C1"/>
    <w:rsid w:val="00DA7286"/>
    <w:rsid w:val="00DA7EE1"/>
    <w:rsid w:val="00DB109C"/>
    <w:rsid w:val="00DB1BE9"/>
    <w:rsid w:val="00DB26E7"/>
    <w:rsid w:val="00DB28EB"/>
    <w:rsid w:val="00DB3134"/>
    <w:rsid w:val="00DB70A9"/>
    <w:rsid w:val="00DB7ABD"/>
    <w:rsid w:val="00DC050D"/>
    <w:rsid w:val="00DC1271"/>
    <w:rsid w:val="00DC182C"/>
    <w:rsid w:val="00DC1EFD"/>
    <w:rsid w:val="00DC3CAB"/>
    <w:rsid w:val="00DC40CB"/>
    <w:rsid w:val="00DC491A"/>
    <w:rsid w:val="00DC552C"/>
    <w:rsid w:val="00DC5681"/>
    <w:rsid w:val="00DC5F48"/>
    <w:rsid w:val="00DC79C2"/>
    <w:rsid w:val="00DC7C18"/>
    <w:rsid w:val="00DC7CA5"/>
    <w:rsid w:val="00DC7F94"/>
    <w:rsid w:val="00DC7FBA"/>
    <w:rsid w:val="00DD05D6"/>
    <w:rsid w:val="00DD0C4B"/>
    <w:rsid w:val="00DD0E3B"/>
    <w:rsid w:val="00DD2513"/>
    <w:rsid w:val="00DD3644"/>
    <w:rsid w:val="00DD608A"/>
    <w:rsid w:val="00DD61B5"/>
    <w:rsid w:val="00DD678B"/>
    <w:rsid w:val="00DD6F8F"/>
    <w:rsid w:val="00DD760F"/>
    <w:rsid w:val="00DD77E9"/>
    <w:rsid w:val="00DE01FE"/>
    <w:rsid w:val="00DE0437"/>
    <w:rsid w:val="00DE27B6"/>
    <w:rsid w:val="00DE2ECF"/>
    <w:rsid w:val="00DE2ED8"/>
    <w:rsid w:val="00DE30B2"/>
    <w:rsid w:val="00DE54D4"/>
    <w:rsid w:val="00DE7014"/>
    <w:rsid w:val="00DE77C6"/>
    <w:rsid w:val="00DF0672"/>
    <w:rsid w:val="00DF08A4"/>
    <w:rsid w:val="00DF0D97"/>
    <w:rsid w:val="00DF1E28"/>
    <w:rsid w:val="00DF49A9"/>
    <w:rsid w:val="00DF56B8"/>
    <w:rsid w:val="00DF66CE"/>
    <w:rsid w:val="00DF67A5"/>
    <w:rsid w:val="00DF7662"/>
    <w:rsid w:val="00E01743"/>
    <w:rsid w:val="00E01AB7"/>
    <w:rsid w:val="00E01ADD"/>
    <w:rsid w:val="00E0221A"/>
    <w:rsid w:val="00E0398C"/>
    <w:rsid w:val="00E04790"/>
    <w:rsid w:val="00E06FAB"/>
    <w:rsid w:val="00E07354"/>
    <w:rsid w:val="00E07C42"/>
    <w:rsid w:val="00E10969"/>
    <w:rsid w:val="00E10AEF"/>
    <w:rsid w:val="00E10D73"/>
    <w:rsid w:val="00E12477"/>
    <w:rsid w:val="00E12BEB"/>
    <w:rsid w:val="00E13912"/>
    <w:rsid w:val="00E1715B"/>
    <w:rsid w:val="00E17388"/>
    <w:rsid w:val="00E2055B"/>
    <w:rsid w:val="00E215B4"/>
    <w:rsid w:val="00E2166A"/>
    <w:rsid w:val="00E222D5"/>
    <w:rsid w:val="00E22555"/>
    <w:rsid w:val="00E24915"/>
    <w:rsid w:val="00E25032"/>
    <w:rsid w:val="00E250EC"/>
    <w:rsid w:val="00E264AB"/>
    <w:rsid w:val="00E2697F"/>
    <w:rsid w:val="00E317F4"/>
    <w:rsid w:val="00E34FB7"/>
    <w:rsid w:val="00E350D2"/>
    <w:rsid w:val="00E358F0"/>
    <w:rsid w:val="00E35BB6"/>
    <w:rsid w:val="00E36F8C"/>
    <w:rsid w:val="00E379CF"/>
    <w:rsid w:val="00E414DC"/>
    <w:rsid w:val="00E41964"/>
    <w:rsid w:val="00E41CF9"/>
    <w:rsid w:val="00E430D4"/>
    <w:rsid w:val="00E43369"/>
    <w:rsid w:val="00E43A47"/>
    <w:rsid w:val="00E442AE"/>
    <w:rsid w:val="00E446CF"/>
    <w:rsid w:val="00E44BE5"/>
    <w:rsid w:val="00E44D0B"/>
    <w:rsid w:val="00E4634A"/>
    <w:rsid w:val="00E46F0E"/>
    <w:rsid w:val="00E47FFC"/>
    <w:rsid w:val="00E50107"/>
    <w:rsid w:val="00E52E15"/>
    <w:rsid w:val="00E53174"/>
    <w:rsid w:val="00E54523"/>
    <w:rsid w:val="00E551A6"/>
    <w:rsid w:val="00E55228"/>
    <w:rsid w:val="00E55E98"/>
    <w:rsid w:val="00E57F04"/>
    <w:rsid w:val="00E60312"/>
    <w:rsid w:val="00E60B7B"/>
    <w:rsid w:val="00E6315A"/>
    <w:rsid w:val="00E643B9"/>
    <w:rsid w:val="00E6608A"/>
    <w:rsid w:val="00E662A7"/>
    <w:rsid w:val="00E66B45"/>
    <w:rsid w:val="00E67131"/>
    <w:rsid w:val="00E6767E"/>
    <w:rsid w:val="00E677D5"/>
    <w:rsid w:val="00E67DF0"/>
    <w:rsid w:val="00E700A3"/>
    <w:rsid w:val="00E708FC"/>
    <w:rsid w:val="00E70A7F"/>
    <w:rsid w:val="00E71179"/>
    <w:rsid w:val="00E74731"/>
    <w:rsid w:val="00E7475D"/>
    <w:rsid w:val="00E768B2"/>
    <w:rsid w:val="00E773E0"/>
    <w:rsid w:val="00E82CCF"/>
    <w:rsid w:val="00E839FF"/>
    <w:rsid w:val="00E854BC"/>
    <w:rsid w:val="00E86C87"/>
    <w:rsid w:val="00E907FF"/>
    <w:rsid w:val="00E91B8E"/>
    <w:rsid w:val="00E91FF5"/>
    <w:rsid w:val="00E921CD"/>
    <w:rsid w:val="00E92B58"/>
    <w:rsid w:val="00E92CBE"/>
    <w:rsid w:val="00E94148"/>
    <w:rsid w:val="00E95485"/>
    <w:rsid w:val="00E95967"/>
    <w:rsid w:val="00E95FA6"/>
    <w:rsid w:val="00E9617C"/>
    <w:rsid w:val="00E96705"/>
    <w:rsid w:val="00E97C68"/>
    <w:rsid w:val="00EA2153"/>
    <w:rsid w:val="00EA25A1"/>
    <w:rsid w:val="00EA3B19"/>
    <w:rsid w:val="00EA4E26"/>
    <w:rsid w:val="00EA5D84"/>
    <w:rsid w:val="00EA5DC6"/>
    <w:rsid w:val="00EA7C77"/>
    <w:rsid w:val="00EB1D32"/>
    <w:rsid w:val="00EB1F3D"/>
    <w:rsid w:val="00EB2235"/>
    <w:rsid w:val="00EB27B2"/>
    <w:rsid w:val="00EB5933"/>
    <w:rsid w:val="00EB75CF"/>
    <w:rsid w:val="00EC006B"/>
    <w:rsid w:val="00EC0364"/>
    <w:rsid w:val="00EC105D"/>
    <w:rsid w:val="00EC2EE2"/>
    <w:rsid w:val="00EC45CB"/>
    <w:rsid w:val="00EC5554"/>
    <w:rsid w:val="00EC677D"/>
    <w:rsid w:val="00EC6B19"/>
    <w:rsid w:val="00EC7206"/>
    <w:rsid w:val="00EC7663"/>
    <w:rsid w:val="00ED28D7"/>
    <w:rsid w:val="00ED2DDC"/>
    <w:rsid w:val="00ED417D"/>
    <w:rsid w:val="00ED5586"/>
    <w:rsid w:val="00ED613E"/>
    <w:rsid w:val="00ED659F"/>
    <w:rsid w:val="00EE339B"/>
    <w:rsid w:val="00EE3A53"/>
    <w:rsid w:val="00EE3E0E"/>
    <w:rsid w:val="00EE4030"/>
    <w:rsid w:val="00EE41A0"/>
    <w:rsid w:val="00EE46C5"/>
    <w:rsid w:val="00EE4799"/>
    <w:rsid w:val="00EE48AE"/>
    <w:rsid w:val="00EE50E8"/>
    <w:rsid w:val="00EE5112"/>
    <w:rsid w:val="00EE51F8"/>
    <w:rsid w:val="00EE6E0D"/>
    <w:rsid w:val="00EE7330"/>
    <w:rsid w:val="00EE7C35"/>
    <w:rsid w:val="00EF0E41"/>
    <w:rsid w:val="00EF10FE"/>
    <w:rsid w:val="00EF17F2"/>
    <w:rsid w:val="00EF2321"/>
    <w:rsid w:val="00EF2747"/>
    <w:rsid w:val="00EF3DBD"/>
    <w:rsid w:val="00EF3FA7"/>
    <w:rsid w:val="00EF4750"/>
    <w:rsid w:val="00EF4914"/>
    <w:rsid w:val="00EF4999"/>
    <w:rsid w:val="00EF5704"/>
    <w:rsid w:val="00EF59CB"/>
    <w:rsid w:val="00EF59FB"/>
    <w:rsid w:val="00EF654E"/>
    <w:rsid w:val="00EF6DD7"/>
    <w:rsid w:val="00EF77B5"/>
    <w:rsid w:val="00EF7E79"/>
    <w:rsid w:val="00F00519"/>
    <w:rsid w:val="00F008DD"/>
    <w:rsid w:val="00F00E96"/>
    <w:rsid w:val="00F0192F"/>
    <w:rsid w:val="00F030AE"/>
    <w:rsid w:val="00F03F36"/>
    <w:rsid w:val="00F04165"/>
    <w:rsid w:val="00F0420F"/>
    <w:rsid w:val="00F0433D"/>
    <w:rsid w:val="00F04875"/>
    <w:rsid w:val="00F04EF8"/>
    <w:rsid w:val="00F0501E"/>
    <w:rsid w:val="00F050FF"/>
    <w:rsid w:val="00F05215"/>
    <w:rsid w:val="00F05AA8"/>
    <w:rsid w:val="00F060BA"/>
    <w:rsid w:val="00F07194"/>
    <w:rsid w:val="00F075DC"/>
    <w:rsid w:val="00F11A59"/>
    <w:rsid w:val="00F11CAD"/>
    <w:rsid w:val="00F13136"/>
    <w:rsid w:val="00F13696"/>
    <w:rsid w:val="00F1603D"/>
    <w:rsid w:val="00F1630F"/>
    <w:rsid w:val="00F207E8"/>
    <w:rsid w:val="00F21220"/>
    <w:rsid w:val="00F212C0"/>
    <w:rsid w:val="00F216E9"/>
    <w:rsid w:val="00F2232F"/>
    <w:rsid w:val="00F23147"/>
    <w:rsid w:val="00F24638"/>
    <w:rsid w:val="00F247C9"/>
    <w:rsid w:val="00F265A2"/>
    <w:rsid w:val="00F26E07"/>
    <w:rsid w:val="00F3072D"/>
    <w:rsid w:val="00F30937"/>
    <w:rsid w:val="00F31672"/>
    <w:rsid w:val="00F318F5"/>
    <w:rsid w:val="00F31B77"/>
    <w:rsid w:val="00F320D9"/>
    <w:rsid w:val="00F33729"/>
    <w:rsid w:val="00F36ABC"/>
    <w:rsid w:val="00F3754A"/>
    <w:rsid w:val="00F3782D"/>
    <w:rsid w:val="00F378EC"/>
    <w:rsid w:val="00F37AF1"/>
    <w:rsid w:val="00F41AFE"/>
    <w:rsid w:val="00F41E76"/>
    <w:rsid w:val="00F448C6"/>
    <w:rsid w:val="00F4508F"/>
    <w:rsid w:val="00F45A12"/>
    <w:rsid w:val="00F54DFE"/>
    <w:rsid w:val="00F556A7"/>
    <w:rsid w:val="00F6009A"/>
    <w:rsid w:val="00F6065F"/>
    <w:rsid w:val="00F614DC"/>
    <w:rsid w:val="00F62429"/>
    <w:rsid w:val="00F63234"/>
    <w:rsid w:val="00F63CBD"/>
    <w:rsid w:val="00F65299"/>
    <w:rsid w:val="00F6552F"/>
    <w:rsid w:val="00F65D75"/>
    <w:rsid w:val="00F66008"/>
    <w:rsid w:val="00F66E5B"/>
    <w:rsid w:val="00F72065"/>
    <w:rsid w:val="00F7595D"/>
    <w:rsid w:val="00F76738"/>
    <w:rsid w:val="00F80278"/>
    <w:rsid w:val="00F81319"/>
    <w:rsid w:val="00F8154C"/>
    <w:rsid w:val="00F8329B"/>
    <w:rsid w:val="00F84786"/>
    <w:rsid w:val="00F85317"/>
    <w:rsid w:val="00F8690B"/>
    <w:rsid w:val="00F87C8B"/>
    <w:rsid w:val="00F909A2"/>
    <w:rsid w:val="00F91593"/>
    <w:rsid w:val="00F9251F"/>
    <w:rsid w:val="00F92896"/>
    <w:rsid w:val="00F942E5"/>
    <w:rsid w:val="00F948E6"/>
    <w:rsid w:val="00F94A61"/>
    <w:rsid w:val="00F94A7D"/>
    <w:rsid w:val="00F94B49"/>
    <w:rsid w:val="00F94CB1"/>
    <w:rsid w:val="00F95350"/>
    <w:rsid w:val="00F968BE"/>
    <w:rsid w:val="00F97D85"/>
    <w:rsid w:val="00FA144F"/>
    <w:rsid w:val="00FA16C3"/>
    <w:rsid w:val="00FA32C0"/>
    <w:rsid w:val="00FA38A2"/>
    <w:rsid w:val="00FA3D47"/>
    <w:rsid w:val="00FA62D0"/>
    <w:rsid w:val="00FA6F19"/>
    <w:rsid w:val="00FA70B2"/>
    <w:rsid w:val="00FA7989"/>
    <w:rsid w:val="00FB1345"/>
    <w:rsid w:val="00FB1DB5"/>
    <w:rsid w:val="00FB2BC6"/>
    <w:rsid w:val="00FB2EEA"/>
    <w:rsid w:val="00FB374F"/>
    <w:rsid w:val="00FB3C58"/>
    <w:rsid w:val="00FB3FB8"/>
    <w:rsid w:val="00FB569A"/>
    <w:rsid w:val="00FB68F1"/>
    <w:rsid w:val="00FB6CED"/>
    <w:rsid w:val="00FB6E19"/>
    <w:rsid w:val="00FB6FE0"/>
    <w:rsid w:val="00FB75A9"/>
    <w:rsid w:val="00FC0FD7"/>
    <w:rsid w:val="00FC15E8"/>
    <w:rsid w:val="00FC1ABA"/>
    <w:rsid w:val="00FC1D26"/>
    <w:rsid w:val="00FC2647"/>
    <w:rsid w:val="00FC3C43"/>
    <w:rsid w:val="00FC476D"/>
    <w:rsid w:val="00FC4DCE"/>
    <w:rsid w:val="00FC5FC1"/>
    <w:rsid w:val="00FC6223"/>
    <w:rsid w:val="00FC7E3E"/>
    <w:rsid w:val="00FD0818"/>
    <w:rsid w:val="00FD0994"/>
    <w:rsid w:val="00FD0A85"/>
    <w:rsid w:val="00FD14CB"/>
    <w:rsid w:val="00FD169A"/>
    <w:rsid w:val="00FD6AD6"/>
    <w:rsid w:val="00FE01BA"/>
    <w:rsid w:val="00FE0384"/>
    <w:rsid w:val="00FE1308"/>
    <w:rsid w:val="00FE137F"/>
    <w:rsid w:val="00FE1705"/>
    <w:rsid w:val="00FE30DD"/>
    <w:rsid w:val="00FE3787"/>
    <w:rsid w:val="00FE3BDE"/>
    <w:rsid w:val="00FE3E48"/>
    <w:rsid w:val="00FE506F"/>
    <w:rsid w:val="00FE6BFC"/>
    <w:rsid w:val="00FE76FD"/>
    <w:rsid w:val="00FF0008"/>
    <w:rsid w:val="00FF0A8C"/>
    <w:rsid w:val="00FF1095"/>
    <w:rsid w:val="00FF2314"/>
    <w:rsid w:val="00FF2335"/>
    <w:rsid w:val="00FF2EE0"/>
    <w:rsid w:val="00FF330C"/>
    <w:rsid w:val="00FF403D"/>
    <w:rsid w:val="00FF4268"/>
    <w:rsid w:val="00FF50A8"/>
    <w:rsid w:val="00FF5627"/>
    <w:rsid w:val="00FF5A9B"/>
    <w:rsid w:val="00FF6175"/>
    <w:rsid w:val="00FF764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088FD17B-A15E-4B4E-ABF9-EB208D0D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BB2E67"/>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BB2E67"/>
    <w:pPr>
      <w:tabs>
        <w:tab w:val="center" w:pos="4819"/>
        <w:tab w:val="right" w:pos="9638"/>
      </w:tabs>
    </w:pPr>
  </w:style>
  <w:style w:type="character" w:customStyle="1" w:styleId="HeaderChar">
    <w:name w:val="Header Char"/>
    <w:basedOn w:val="DefaultParagraphFont"/>
    <w:link w:val="Header"/>
    <w:uiPriority w:val="99"/>
    <w:rsid w:val="00BB2E67"/>
    <w:rPr>
      <w:rFonts w:ascii="Times New Roman" w:eastAsia="Times New Roman" w:hAnsi="Times New Roman" w:cs="Times New Roman"/>
      <w:sz w:val="24"/>
      <w:szCs w:val="24"/>
      <w:lang w:eastAsia="lt-LT"/>
    </w:rPr>
  </w:style>
  <w:style w:type="paragraph" w:styleId="BalloonText">
    <w:name w:val="Balloon Text"/>
    <w:basedOn w:val="Normal"/>
    <w:link w:val="BalloonTextChar1"/>
    <w:uiPriority w:val="99"/>
    <w:semiHidden/>
    <w:unhideWhenUsed/>
    <w:rsid w:val="00BB2E67"/>
    <w:rPr>
      <w:rFonts w:ascii="Tahoma" w:hAnsi="Tahoma" w:cs="Tahoma"/>
      <w:sz w:val="16"/>
      <w:szCs w:val="16"/>
    </w:rPr>
  </w:style>
  <w:style w:type="character" w:customStyle="1" w:styleId="BalloonTextChar1">
    <w:name w:val="Balloon Text Char1"/>
    <w:basedOn w:val="DefaultParagraphFont"/>
    <w:link w:val="BalloonText"/>
    <w:uiPriority w:val="99"/>
    <w:semiHidden/>
    <w:rsid w:val="00BB2E67"/>
    <w:rPr>
      <w:rFonts w:ascii="Tahoma" w:eastAsia="Times New Roman" w:hAnsi="Tahoma" w:cs="Tahoma"/>
      <w:sz w:val="16"/>
      <w:szCs w:val="16"/>
      <w:lang w:eastAsia="lt-LT"/>
    </w:rPr>
  </w:style>
  <w:style w:type="paragraph" w:styleId="Footer">
    <w:name w:val="footer"/>
    <w:basedOn w:val="Normal"/>
    <w:link w:val="FooterChar"/>
    <w:uiPriority w:val="99"/>
    <w:unhideWhenUsed/>
    <w:rsid w:val="00965EA0"/>
    <w:pPr>
      <w:tabs>
        <w:tab w:val="center" w:pos="4819"/>
        <w:tab w:val="right" w:pos="9638"/>
      </w:tabs>
    </w:pPr>
  </w:style>
  <w:style w:type="character" w:customStyle="1" w:styleId="FooterChar">
    <w:name w:val="Footer Char"/>
    <w:basedOn w:val="DefaultParagraphFont"/>
    <w:link w:val="Footer"/>
    <w:uiPriority w:val="99"/>
    <w:rsid w:val="00965EA0"/>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51488"/>
    <w:rPr>
      <w:sz w:val="16"/>
      <w:szCs w:val="16"/>
    </w:rPr>
  </w:style>
  <w:style w:type="paragraph" w:styleId="CommentText">
    <w:name w:val="annotation text"/>
    <w:basedOn w:val="Normal"/>
    <w:link w:val="CommentTextChar"/>
    <w:uiPriority w:val="99"/>
    <w:semiHidden/>
    <w:unhideWhenUsed/>
    <w:rsid w:val="00E51488"/>
    <w:rPr>
      <w:sz w:val="20"/>
      <w:szCs w:val="20"/>
    </w:rPr>
  </w:style>
  <w:style w:type="character" w:customStyle="1" w:styleId="CommentTextChar">
    <w:name w:val="Comment Text Char"/>
    <w:basedOn w:val="DefaultParagraphFont"/>
    <w:link w:val="CommentText"/>
    <w:uiPriority w:val="99"/>
    <w:semiHidden/>
    <w:rsid w:val="00E5148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51488"/>
    <w:rPr>
      <w:b/>
      <w:bCs/>
    </w:rPr>
  </w:style>
  <w:style w:type="character" w:customStyle="1" w:styleId="CommentSubjectChar">
    <w:name w:val="Comment Subject Char"/>
    <w:basedOn w:val="CommentTextChar"/>
    <w:link w:val="CommentSubject"/>
    <w:uiPriority w:val="99"/>
    <w:semiHidden/>
    <w:rsid w:val="00E51488"/>
    <w:rPr>
      <w:rFonts w:ascii="Times New Roman" w:eastAsia="Times New Roman" w:hAnsi="Times New Roman" w:cs="Times New Roman"/>
      <w:b/>
      <w:bCs/>
      <w:sz w:val="20"/>
      <w:szCs w:val="20"/>
      <w:lang w:eastAsia="lt-LT"/>
    </w:rPr>
  </w:style>
  <w:style w:type="paragraph" w:styleId="Revision">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22096"/>
    <w:rPr>
      <w:rFonts w:ascii="Calibri" w:eastAsia="Times New Roman" w:hAnsi="Calibri" w:cs="Times New Roman"/>
      <w:lang w:eastAsia="lt-LT"/>
    </w:rPr>
  </w:style>
  <w:style w:type="character" w:styleId="Hyperlink">
    <w:name w:val="Hyperlink"/>
    <w:basedOn w:val="DefaultParagraphFont"/>
    <w:uiPriority w:val="99"/>
    <w:unhideWhenUsed/>
    <w:rsid w:val="00F841BF"/>
    <w:rPr>
      <w:strike w:val="0"/>
      <w:dstrike w:val="0"/>
      <w:color w:val="6E717F"/>
      <w:u w:val="none"/>
      <w:effect w:val="none"/>
    </w:rPr>
  </w:style>
  <w:style w:type="character" w:customStyle="1" w:styleId="clear">
    <w:name w:val="clear"/>
    <w:basedOn w:val="DefaultParagraphFont"/>
    <w:rsid w:val="008624F3"/>
  </w:style>
  <w:style w:type="character" w:customStyle="1" w:styleId="Bodytext2Bold">
    <w:name w:val="Body text (2) + Bold"/>
    <w:basedOn w:val="DefaultParagraphFont"/>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NormalWeb">
    <w:name w:val="Normal (Web)"/>
    <w:basedOn w:val="Normal"/>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DefaultParagraphFont"/>
    <w:rsid w:val="00442E1C"/>
  </w:style>
  <w:style w:type="character" w:customStyle="1" w:styleId="CharChar1">
    <w:name w:val="Char Char1"/>
    <w:uiPriority w:val="99"/>
    <w:locked/>
    <w:rsid w:val="007F3660"/>
    <w:rPr>
      <w:rFonts w:ascii="Courier New" w:hAnsi="Courier New" w:cs="Courier New"/>
    </w:rPr>
  </w:style>
  <w:style w:type="paragraph" w:styleId="PlainText">
    <w:name w:val="Plain Text"/>
    <w:basedOn w:val="Normal"/>
    <w:link w:val="PlainTextChar1"/>
    <w:rsid w:val="007F3660"/>
    <w:rPr>
      <w:rFonts w:ascii="Courier New" w:eastAsia="Calibri" w:hAnsi="Courier New" w:cs="Courier New"/>
      <w:sz w:val="20"/>
      <w:szCs w:val="20"/>
      <w:lang w:val="en-US" w:eastAsia="en-US"/>
    </w:rPr>
  </w:style>
  <w:style w:type="character" w:customStyle="1" w:styleId="PlainTextChar1">
    <w:name w:val="Plain Text Char1"/>
    <w:basedOn w:val="DefaultParagraphFont"/>
    <w:link w:val="PlainText"/>
    <w:rsid w:val="007F3660"/>
    <w:rPr>
      <w:rFonts w:ascii="Courier New" w:eastAsia="Calibri" w:hAnsi="Courier New" w:cs="Courier New"/>
      <w:sz w:val="20"/>
      <w:szCs w:val="20"/>
      <w:lang w:val="en-US"/>
    </w:rPr>
  </w:style>
  <w:style w:type="character" w:customStyle="1" w:styleId="PlainTextChar">
    <w:name w:val="Plain Text Char"/>
    <w:basedOn w:val="DefaultParagraphFont"/>
    <w:uiPriority w:val="99"/>
    <w:semiHidden/>
    <w:locked/>
    <w:rsid w:val="007F3660"/>
    <w:rPr>
      <w:rFonts w:ascii="Courier New" w:hAnsi="Courier New" w:cs="Courier New"/>
      <w:sz w:val="20"/>
      <w:szCs w:val="20"/>
      <w:lang w:val="lt-LT"/>
    </w:rPr>
  </w:style>
  <w:style w:type="character" w:customStyle="1" w:styleId="BalloonTextChar">
    <w:name w:val="Balloon Text Char"/>
    <w:basedOn w:val="DefaultParagraphFont"/>
    <w:uiPriority w:val="99"/>
    <w:semiHidden/>
    <w:locked/>
    <w:rsid w:val="007F3660"/>
    <w:rPr>
      <w:sz w:val="2"/>
      <w:szCs w:val="2"/>
      <w:lang w:val="lt-LT"/>
    </w:rPr>
  </w:style>
  <w:style w:type="character" w:customStyle="1" w:styleId="Bodytext">
    <w:name w:val="Body text_"/>
    <w:basedOn w:val="DefaultParagraphFont"/>
    <w:link w:val="Bodytext1"/>
    <w:locked/>
    <w:rsid w:val="007F3660"/>
    <w:rPr>
      <w:shd w:val="clear" w:color="auto" w:fill="FFFFFF"/>
    </w:rPr>
  </w:style>
  <w:style w:type="paragraph" w:customStyle="1" w:styleId="Bodytext1">
    <w:name w:val="Body text1"/>
    <w:basedOn w:val="Normal"/>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Normal"/>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Normal"/>
    <w:rsid w:val="007F3660"/>
    <w:pPr>
      <w:spacing w:after="120"/>
      <w:ind w:left="357" w:hanging="357"/>
      <w:jc w:val="center"/>
    </w:pPr>
    <w:rPr>
      <w:rFonts w:eastAsia="Calibri"/>
      <w:szCs w:val="22"/>
      <w:lang w:eastAsia="en-US"/>
    </w:rPr>
  </w:style>
  <w:style w:type="paragraph" w:customStyle="1" w:styleId="KAUNOAPYGARDOSTEISMAS">
    <w:name w:val="KAUNO APYGARDOS TEISMAS"/>
    <w:basedOn w:val="Normal"/>
    <w:rsid w:val="007F3660"/>
    <w:pPr>
      <w:spacing w:after="120"/>
      <w:ind w:left="357" w:hanging="357"/>
      <w:jc w:val="center"/>
    </w:pPr>
    <w:rPr>
      <w:rFonts w:eastAsia="Calibri"/>
      <w:b/>
      <w:caps/>
      <w:sz w:val="28"/>
      <w:szCs w:val="22"/>
      <w:lang w:eastAsia="en-US"/>
    </w:rPr>
  </w:style>
  <w:style w:type="paragraph" w:customStyle="1" w:styleId="NUTARTIS">
    <w:name w:val="NUTARTIS"/>
    <w:basedOn w:val="Normal"/>
    <w:rsid w:val="007F3660"/>
    <w:pPr>
      <w:spacing w:after="120"/>
      <w:ind w:left="357" w:hanging="357"/>
      <w:jc w:val="center"/>
    </w:pPr>
    <w:rPr>
      <w:rFonts w:eastAsia="Calibri"/>
      <w:b/>
      <w:caps/>
      <w:sz w:val="28"/>
      <w:szCs w:val="22"/>
      <w:lang w:eastAsia="en-US"/>
    </w:rPr>
  </w:style>
  <w:style w:type="paragraph" w:customStyle="1" w:styleId="Kaunas">
    <w:name w:val="Kaunas"/>
    <w:basedOn w:val="Normal"/>
    <w:rsid w:val="007F3660"/>
    <w:pPr>
      <w:spacing w:after="120"/>
      <w:ind w:left="357" w:hanging="357"/>
      <w:jc w:val="center"/>
    </w:pPr>
    <w:rPr>
      <w:rFonts w:eastAsia="Calibri"/>
      <w:szCs w:val="22"/>
      <w:lang w:eastAsia="en-US"/>
    </w:rPr>
  </w:style>
  <w:style w:type="paragraph" w:customStyle="1" w:styleId="201xmd">
    <w:name w:val="201x m.         d."/>
    <w:basedOn w:val="Normal"/>
    <w:qFormat/>
    <w:rsid w:val="007F3660"/>
    <w:pPr>
      <w:keepNext/>
      <w:ind w:left="357" w:hanging="357"/>
      <w:jc w:val="center"/>
      <w:outlineLvl w:val="0"/>
    </w:pPr>
    <w:rPr>
      <w:bCs/>
    </w:rPr>
  </w:style>
  <w:style w:type="character" w:customStyle="1" w:styleId="Bodytext2">
    <w:name w:val="Body text (2)_"/>
    <w:basedOn w:val="DefaultParagraphFont"/>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Normal"/>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7F3660"/>
    <w:rPr>
      <w:rFonts w:eastAsia="Times New Roman"/>
      <w:b/>
      <w:bCs/>
      <w:i/>
      <w:iCs/>
      <w:shd w:val="clear" w:color="auto" w:fill="FFFFFF"/>
    </w:rPr>
  </w:style>
  <w:style w:type="paragraph" w:customStyle="1" w:styleId="Bodytext40">
    <w:name w:val="Body text (4)"/>
    <w:basedOn w:val="Normal"/>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DefaultParagraphFont"/>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Normal"/>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BodyText21">
    <w:name w:val="Body Text 2"/>
    <w:basedOn w:val="Normal"/>
    <w:link w:val="BodyText2Char"/>
    <w:uiPriority w:val="99"/>
    <w:rsid w:val="007F3660"/>
    <w:pPr>
      <w:spacing w:after="120" w:line="480" w:lineRule="auto"/>
    </w:pPr>
    <w:rPr>
      <w:sz w:val="20"/>
      <w:szCs w:val="20"/>
      <w:lang w:eastAsia="en-US"/>
    </w:rPr>
  </w:style>
  <w:style w:type="character" w:customStyle="1" w:styleId="BodyText2Char">
    <w:name w:val="Body Text 2 Char"/>
    <w:basedOn w:val="DefaultParagraphFont"/>
    <w:link w:val="BodyText21"/>
    <w:uiPriority w:val="99"/>
    <w:rsid w:val="007F3660"/>
    <w:rPr>
      <w:rFonts w:ascii="Times New Roman" w:eastAsia="Times New Roman" w:hAnsi="Times New Roman" w:cs="Times New Roman"/>
      <w:sz w:val="20"/>
      <w:szCs w:val="20"/>
    </w:rPr>
  </w:style>
  <w:style w:type="paragraph" w:customStyle="1" w:styleId="tin">
    <w:name w:val="tin"/>
    <w:basedOn w:val="Normal"/>
    <w:rsid w:val="00860C1A"/>
    <w:pPr>
      <w:spacing w:after="150"/>
    </w:pPr>
  </w:style>
  <w:style w:type="paragraph" w:styleId="BodyText0">
    <w:name w:val="Body Text"/>
    <w:basedOn w:val="Normal"/>
    <w:link w:val="BodyTextChar"/>
    <w:unhideWhenUsed/>
    <w:rsid w:val="006F28C8"/>
    <w:pPr>
      <w:spacing w:after="120"/>
    </w:pPr>
  </w:style>
  <w:style w:type="character" w:customStyle="1" w:styleId="BodyTextChar">
    <w:name w:val="Body Text Char"/>
    <w:basedOn w:val="DefaultParagraphFont"/>
    <w:link w:val="BodyText0"/>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DefaultParagraphFont"/>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2F1DC0"/>
    <w:pPr>
      <w:spacing w:after="120" w:line="480" w:lineRule="auto"/>
      <w:ind w:left="360"/>
    </w:pPr>
  </w:style>
  <w:style w:type="character" w:customStyle="1" w:styleId="BodyTextIndent2Char">
    <w:name w:val="Body Text Indent 2 Char"/>
    <w:basedOn w:val="DefaultParagraphFont"/>
    <w:link w:val="BodyTextIndent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Normal"/>
    <w:uiPriority w:val="99"/>
    <w:rsid w:val="00711579"/>
    <w:pPr>
      <w:widowControl w:val="0"/>
      <w:autoSpaceDE w:val="0"/>
      <w:autoSpaceDN w:val="0"/>
      <w:adjustRightInd w:val="0"/>
      <w:spacing w:line="403" w:lineRule="exact"/>
      <w:ind w:firstLine="1080"/>
      <w:jc w:val="both"/>
    </w:pPr>
    <w:rPr>
      <w:lang w:val="en-GB" w:eastAsia="en-GB"/>
    </w:rPr>
  </w:style>
  <w:style w:type="paragraph" w:styleId="BodyTextIndent">
    <w:name w:val="Body Text Indent"/>
    <w:basedOn w:val="Normal"/>
    <w:link w:val="BodyTextIndentChar"/>
    <w:uiPriority w:val="99"/>
    <w:semiHidden/>
    <w:unhideWhenUsed/>
    <w:rsid w:val="00B82D95"/>
    <w:pPr>
      <w:spacing w:after="120"/>
      <w:ind w:left="360"/>
    </w:pPr>
  </w:style>
  <w:style w:type="character" w:customStyle="1" w:styleId="BodyTextIndentChar">
    <w:name w:val="Body Text Indent Char"/>
    <w:basedOn w:val="DefaultParagraphFont"/>
    <w:link w:val="BodyTextIndent"/>
    <w:uiPriority w:val="99"/>
    <w:semiHidden/>
    <w:rsid w:val="00B82D95"/>
    <w:rPr>
      <w:rFonts w:ascii="Times New Roman" w:eastAsia="Times New Roman" w:hAnsi="Times New Roman" w:cs="Times New Roman"/>
      <w:sz w:val="24"/>
      <w:szCs w:val="24"/>
      <w:lang w:eastAsia="lt-LT"/>
    </w:rPr>
  </w:style>
  <w:style w:type="table" w:styleId="TableGrid">
    <w:name w:val="Table Grid"/>
    <w:basedOn w:val="TableNorma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DefaultParagraphFont"/>
    <w:rsid w:val="00E44D0B"/>
  </w:style>
  <w:style w:type="paragraph" w:styleId="NoSpacing">
    <w:name w:val="No Spacing"/>
    <w:link w:val="NoSpacingChar"/>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UnresolvedMention">
    <w:name w:val="Unresolved Mention"/>
    <w:basedOn w:val="DefaultParagraphFont"/>
    <w:uiPriority w:val="99"/>
    <w:semiHidden/>
    <w:unhideWhenUsed/>
    <w:rsid w:val="00FB2EEA"/>
    <w:rPr>
      <w:color w:val="605E5C"/>
      <w:shd w:val="clear" w:color="auto" w:fill="E1DFDD"/>
    </w:rPr>
  </w:style>
  <w:style w:type="character" w:customStyle="1" w:styleId="NoSpacingChar">
    <w:name w:val="No Spacing Char"/>
    <w:basedOn w:val="DefaultParagraphFont"/>
    <w:link w:val="NoSpacing"/>
    <w:uiPriority w:val="1"/>
    <w:rsid w:val="000827DB"/>
  </w:style>
  <w:style w:type="paragraph" w:customStyle="1" w:styleId="doc-ti">
    <w:name w:val="doc-ti"/>
    <w:basedOn w:val="Normal"/>
    <w:rsid w:val="007F77E3"/>
    <w:pPr>
      <w:spacing w:before="100" w:beforeAutospacing="1" w:after="100" w:afterAutospacing="1"/>
    </w:pPr>
  </w:style>
  <w:style w:type="paragraph" w:styleId="FootnoteText">
    <w:name w:val="footnote text"/>
    <w:basedOn w:val="Normal"/>
    <w:link w:val="FootnoteTextChar"/>
    <w:unhideWhenUsed/>
    <w:rsid w:val="007F77E3"/>
    <w:pPr>
      <w:spacing w:after="200" w:line="276" w:lineRule="auto"/>
    </w:pPr>
    <w:rPr>
      <w:rFonts w:ascii="Calibri" w:eastAsia="Calibri" w:hAnsi="Calibri"/>
      <w:sz w:val="20"/>
      <w:szCs w:val="20"/>
      <w:lang w:val="en-GB" w:eastAsia="en-US"/>
    </w:rPr>
  </w:style>
  <w:style w:type="character" w:customStyle="1" w:styleId="FootnoteTextChar">
    <w:name w:val="Footnote Text Char"/>
    <w:basedOn w:val="DefaultParagraphFont"/>
    <w:link w:val="FootnoteText"/>
    <w:rsid w:val="007F77E3"/>
    <w:rPr>
      <w:rFonts w:ascii="Calibri" w:eastAsia="Calibri" w:hAnsi="Calibri" w:cs="Times New Roman"/>
      <w:sz w:val="20"/>
      <w:szCs w:val="20"/>
      <w:lang w:val="en-GB"/>
    </w:rPr>
  </w:style>
  <w:style w:type="character" w:styleId="FootnoteReference">
    <w:name w:val="footnote reference"/>
    <w:unhideWhenUsed/>
    <w:rsid w:val="007F77E3"/>
    <w:rPr>
      <w:vertAlign w:val="superscript"/>
    </w:rPr>
  </w:style>
  <w:style w:type="paragraph" w:customStyle="1" w:styleId="tajtip">
    <w:name w:val="tajtip"/>
    <w:basedOn w:val="Normal"/>
    <w:rsid w:val="007F77E3"/>
    <w:pPr>
      <w:spacing w:before="100" w:beforeAutospacing="1" w:after="100" w:afterAutospacing="1"/>
    </w:pPr>
  </w:style>
  <w:style w:type="paragraph" w:customStyle="1" w:styleId="n">
    <w:name w:val="n"/>
    <w:basedOn w:val="Normal"/>
    <w:rsid w:val="007F77E3"/>
    <w:pPr>
      <w:spacing w:before="100" w:beforeAutospacing="1" w:after="100" w:afterAutospacing="1"/>
    </w:pPr>
  </w:style>
  <w:style w:type="paragraph" w:customStyle="1" w:styleId="list-paragraph">
    <w:name w:val="list-paragraph"/>
    <w:basedOn w:val="Normal"/>
    <w:rsid w:val="007F77E3"/>
    <w:pPr>
      <w:spacing w:before="100" w:beforeAutospacing="1" w:after="100" w:afterAutospacing="1"/>
    </w:pPr>
  </w:style>
  <w:style w:type="paragraph" w:customStyle="1" w:styleId="c01pointnumerotealtn">
    <w:name w:val="c01pointnumerotealtn"/>
    <w:basedOn w:val="Normal"/>
    <w:rsid w:val="007F77E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43185">
      <w:bodyDiv w:val="1"/>
      <w:marLeft w:val="0"/>
      <w:marRight w:val="0"/>
      <w:marTop w:val="0"/>
      <w:marBottom w:val="0"/>
      <w:divBdr>
        <w:top w:val="none" w:sz="0" w:space="0" w:color="auto"/>
        <w:left w:val="none" w:sz="0" w:space="0" w:color="auto"/>
        <w:bottom w:val="none" w:sz="0" w:space="0" w:color="auto"/>
        <w:right w:val="none" w:sz="0" w:space="0" w:color="auto"/>
      </w:divBdr>
    </w:div>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263195528">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342193">
      <w:bodyDiv w:val="1"/>
      <w:marLeft w:val="0"/>
      <w:marRight w:val="0"/>
      <w:marTop w:val="0"/>
      <w:marBottom w:val="0"/>
      <w:divBdr>
        <w:top w:val="none" w:sz="0" w:space="0" w:color="auto"/>
        <w:left w:val="none" w:sz="0" w:space="0" w:color="auto"/>
        <w:bottom w:val="none" w:sz="0" w:space="0" w:color="auto"/>
        <w:right w:val="none" w:sz="0" w:space="0" w:color="auto"/>
      </w:divBdr>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44425650">
      <w:bodyDiv w:val="1"/>
      <w:marLeft w:val="0"/>
      <w:marRight w:val="0"/>
      <w:marTop w:val="0"/>
      <w:marBottom w:val="0"/>
      <w:divBdr>
        <w:top w:val="none" w:sz="0" w:space="0" w:color="auto"/>
        <w:left w:val="none" w:sz="0" w:space="0" w:color="auto"/>
        <w:bottom w:val="none" w:sz="0" w:space="0" w:color="auto"/>
        <w:right w:val="none" w:sz="0" w:space="0" w:color="auto"/>
      </w:divBdr>
    </w:div>
    <w:div w:id="459539171">
      <w:bodyDiv w:val="1"/>
      <w:marLeft w:val="0"/>
      <w:marRight w:val="0"/>
      <w:marTop w:val="0"/>
      <w:marBottom w:val="0"/>
      <w:divBdr>
        <w:top w:val="none" w:sz="0" w:space="0" w:color="auto"/>
        <w:left w:val="none" w:sz="0" w:space="0" w:color="auto"/>
        <w:bottom w:val="none" w:sz="0" w:space="0" w:color="auto"/>
        <w:right w:val="none" w:sz="0" w:space="0" w:color="auto"/>
      </w:divBdr>
    </w:div>
    <w:div w:id="470831325">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573512913">
      <w:bodyDiv w:val="1"/>
      <w:marLeft w:val="0"/>
      <w:marRight w:val="0"/>
      <w:marTop w:val="0"/>
      <w:marBottom w:val="0"/>
      <w:divBdr>
        <w:top w:val="none" w:sz="0" w:space="0" w:color="auto"/>
        <w:left w:val="none" w:sz="0" w:space="0" w:color="auto"/>
        <w:bottom w:val="none" w:sz="0" w:space="0" w:color="auto"/>
        <w:right w:val="none" w:sz="0" w:space="0" w:color="auto"/>
      </w:divBdr>
    </w:div>
    <w:div w:id="646787105">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08408613">
      <w:bodyDiv w:val="1"/>
      <w:marLeft w:val="0"/>
      <w:marRight w:val="0"/>
      <w:marTop w:val="0"/>
      <w:marBottom w:val="0"/>
      <w:divBdr>
        <w:top w:val="none" w:sz="0" w:space="0" w:color="auto"/>
        <w:left w:val="none" w:sz="0" w:space="0" w:color="auto"/>
        <w:bottom w:val="none" w:sz="0" w:space="0" w:color="auto"/>
        <w:right w:val="none" w:sz="0" w:space="0" w:color="auto"/>
      </w:divBdr>
      <w:divsChild>
        <w:div w:id="200283839">
          <w:marLeft w:val="0"/>
          <w:marRight w:val="0"/>
          <w:marTop w:val="0"/>
          <w:marBottom w:val="0"/>
          <w:divBdr>
            <w:top w:val="none" w:sz="0" w:space="0" w:color="auto"/>
            <w:left w:val="none" w:sz="0" w:space="0" w:color="auto"/>
            <w:bottom w:val="none" w:sz="0" w:space="0" w:color="auto"/>
            <w:right w:val="none" w:sz="0" w:space="0" w:color="auto"/>
          </w:divBdr>
          <w:divsChild>
            <w:div w:id="1684623753">
              <w:marLeft w:val="0"/>
              <w:marRight w:val="0"/>
              <w:marTop w:val="0"/>
              <w:marBottom w:val="0"/>
              <w:divBdr>
                <w:top w:val="none" w:sz="0" w:space="0" w:color="auto"/>
                <w:left w:val="none" w:sz="0" w:space="0" w:color="auto"/>
                <w:bottom w:val="none" w:sz="0" w:space="0" w:color="auto"/>
                <w:right w:val="none" w:sz="0" w:space="0" w:color="auto"/>
              </w:divBdr>
              <w:divsChild>
                <w:div w:id="620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55746">
      <w:bodyDiv w:val="1"/>
      <w:marLeft w:val="0"/>
      <w:marRight w:val="0"/>
      <w:marTop w:val="0"/>
      <w:marBottom w:val="0"/>
      <w:divBdr>
        <w:top w:val="none" w:sz="0" w:space="0" w:color="auto"/>
        <w:left w:val="none" w:sz="0" w:space="0" w:color="auto"/>
        <w:bottom w:val="none" w:sz="0" w:space="0" w:color="auto"/>
        <w:right w:val="none" w:sz="0" w:space="0" w:color="auto"/>
      </w:divBdr>
    </w:div>
    <w:div w:id="750856693">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78645107">
      <w:bodyDiv w:val="1"/>
      <w:marLeft w:val="0"/>
      <w:marRight w:val="0"/>
      <w:marTop w:val="0"/>
      <w:marBottom w:val="0"/>
      <w:divBdr>
        <w:top w:val="none" w:sz="0" w:space="0" w:color="auto"/>
        <w:left w:val="none" w:sz="0" w:space="0" w:color="auto"/>
        <w:bottom w:val="none" w:sz="0" w:space="0" w:color="auto"/>
        <w:right w:val="none" w:sz="0" w:space="0" w:color="auto"/>
      </w:divBdr>
    </w:div>
    <w:div w:id="784933571">
      <w:bodyDiv w:val="1"/>
      <w:marLeft w:val="0"/>
      <w:marRight w:val="0"/>
      <w:marTop w:val="0"/>
      <w:marBottom w:val="0"/>
      <w:divBdr>
        <w:top w:val="none" w:sz="0" w:space="0" w:color="auto"/>
        <w:left w:val="none" w:sz="0" w:space="0" w:color="auto"/>
        <w:bottom w:val="none" w:sz="0" w:space="0" w:color="auto"/>
        <w:right w:val="none" w:sz="0" w:space="0" w:color="auto"/>
      </w:divBdr>
      <w:divsChild>
        <w:div w:id="947467616">
          <w:marLeft w:val="0"/>
          <w:marRight w:val="0"/>
          <w:marTop w:val="0"/>
          <w:marBottom w:val="0"/>
          <w:divBdr>
            <w:top w:val="none" w:sz="0" w:space="0" w:color="auto"/>
            <w:left w:val="none" w:sz="0" w:space="0" w:color="auto"/>
            <w:bottom w:val="none" w:sz="0" w:space="0" w:color="auto"/>
            <w:right w:val="none" w:sz="0" w:space="0" w:color="auto"/>
          </w:divBdr>
          <w:divsChild>
            <w:div w:id="116140513">
              <w:marLeft w:val="0"/>
              <w:marRight w:val="0"/>
              <w:marTop w:val="0"/>
              <w:marBottom w:val="0"/>
              <w:divBdr>
                <w:top w:val="none" w:sz="0" w:space="0" w:color="auto"/>
                <w:left w:val="none" w:sz="0" w:space="0" w:color="auto"/>
                <w:bottom w:val="none" w:sz="0" w:space="0" w:color="auto"/>
                <w:right w:val="none" w:sz="0" w:space="0" w:color="auto"/>
              </w:divBdr>
              <w:divsChild>
                <w:div w:id="253560906">
                  <w:marLeft w:val="0"/>
                  <w:marRight w:val="0"/>
                  <w:marTop w:val="0"/>
                  <w:marBottom w:val="0"/>
                  <w:divBdr>
                    <w:top w:val="none" w:sz="0" w:space="0" w:color="auto"/>
                    <w:left w:val="none" w:sz="0" w:space="0" w:color="auto"/>
                    <w:bottom w:val="none" w:sz="0" w:space="0" w:color="auto"/>
                    <w:right w:val="none" w:sz="0" w:space="0" w:color="auto"/>
                  </w:divBdr>
                  <w:divsChild>
                    <w:div w:id="1234197484">
                      <w:marLeft w:val="0"/>
                      <w:marRight w:val="0"/>
                      <w:marTop w:val="0"/>
                      <w:marBottom w:val="0"/>
                      <w:divBdr>
                        <w:top w:val="none" w:sz="0" w:space="0" w:color="auto"/>
                        <w:left w:val="none" w:sz="0" w:space="0" w:color="auto"/>
                        <w:bottom w:val="none" w:sz="0" w:space="0" w:color="auto"/>
                        <w:right w:val="none" w:sz="0" w:space="0" w:color="auto"/>
                      </w:divBdr>
                      <w:divsChild>
                        <w:div w:id="1527140196">
                          <w:marLeft w:val="0"/>
                          <w:marRight w:val="0"/>
                          <w:marTop w:val="0"/>
                          <w:marBottom w:val="0"/>
                          <w:divBdr>
                            <w:top w:val="none" w:sz="0" w:space="0" w:color="auto"/>
                            <w:left w:val="none" w:sz="0" w:space="0" w:color="auto"/>
                            <w:bottom w:val="none" w:sz="0" w:space="0" w:color="auto"/>
                            <w:right w:val="none" w:sz="0" w:space="0" w:color="auto"/>
                          </w:divBdr>
                          <w:divsChild>
                            <w:div w:id="1244756786">
                              <w:marLeft w:val="0"/>
                              <w:marRight w:val="0"/>
                              <w:marTop w:val="0"/>
                              <w:marBottom w:val="0"/>
                              <w:divBdr>
                                <w:top w:val="none" w:sz="0" w:space="0" w:color="auto"/>
                                <w:left w:val="none" w:sz="0" w:space="0" w:color="auto"/>
                                <w:bottom w:val="none" w:sz="0" w:space="0" w:color="auto"/>
                                <w:right w:val="none" w:sz="0" w:space="0" w:color="auto"/>
                              </w:divBdr>
                              <w:divsChild>
                                <w:div w:id="301038706">
                                  <w:marLeft w:val="0"/>
                                  <w:marRight w:val="0"/>
                                  <w:marTop w:val="0"/>
                                  <w:marBottom w:val="0"/>
                                  <w:divBdr>
                                    <w:top w:val="none" w:sz="0" w:space="0" w:color="auto"/>
                                    <w:left w:val="none" w:sz="0" w:space="0" w:color="auto"/>
                                    <w:bottom w:val="none" w:sz="0" w:space="0" w:color="auto"/>
                                    <w:right w:val="none" w:sz="0" w:space="0" w:color="auto"/>
                                  </w:divBdr>
                                  <w:divsChild>
                                    <w:div w:id="1895695634">
                                      <w:marLeft w:val="0"/>
                                      <w:marRight w:val="0"/>
                                      <w:marTop w:val="0"/>
                                      <w:marBottom w:val="0"/>
                                      <w:divBdr>
                                        <w:top w:val="none" w:sz="0" w:space="0" w:color="auto"/>
                                        <w:left w:val="none" w:sz="0" w:space="0" w:color="auto"/>
                                        <w:bottom w:val="none" w:sz="0" w:space="0" w:color="auto"/>
                                        <w:right w:val="none" w:sz="0" w:space="0" w:color="auto"/>
                                      </w:divBdr>
                                      <w:divsChild>
                                        <w:div w:id="13348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257553">
          <w:marLeft w:val="0"/>
          <w:marRight w:val="0"/>
          <w:marTop w:val="0"/>
          <w:marBottom w:val="0"/>
          <w:divBdr>
            <w:top w:val="none" w:sz="0" w:space="0" w:color="auto"/>
            <w:left w:val="none" w:sz="0" w:space="0" w:color="auto"/>
            <w:bottom w:val="none" w:sz="0" w:space="0" w:color="auto"/>
            <w:right w:val="none" w:sz="0" w:space="0" w:color="auto"/>
          </w:divBdr>
          <w:divsChild>
            <w:div w:id="226309065">
              <w:marLeft w:val="0"/>
              <w:marRight w:val="0"/>
              <w:marTop w:val="0"/>
              <w:marBottom w:val="0"/>
              <w:divBdr>
                <w:top w:val="none" w:sz="0" w:space="0" w:color="auto"/>
                <w:left w:val="none" w:sz="0" w:space="0" w:color="auto"/>
                <w:bottom w:val="none" w:sz="0" w:space="0" w:color="auto"/>
                <w:right w:val="none" w:sz="0" w:space="0" w:color="auto"/>
              </w:divBdr>
              <w:divsChild>
                <w:div w:id="1640182131">
                  <w:marLeft w:val="0"/>
                  <w:marRight w:val="0"/>
                  <w:marTop w:val="0"/>
                  <w:marBottom w:val="0"/>
                  <w:divBdr>
                    <w:top w:val="none" w:sz="0" w:space="0" w:color="auto"/>
                    <w:left w:val="none" w:sz="0" w:space="0" w:color="auto"/>
                    <w:bottom w:val="none" w:sz="0" w:space="0" w:color="auto"/>
                    <w:right w:val="none" w:sz="0" w:space="0" w:color="auto"/>
                  </w:divBdr>
                  <w:divsChild>
                    <w:div w:id="320238859">
                      <w:marLeft w:val="0"/>
                      <w:marRight w:val="0"/>
                      <w:marTop w:val="0"/>
                      <w:marBottom w:val="0"/>
                      <w:divBdr>
                        <w:top w:val="none" w:sz="0" w:space="0" w:color="auto"/>
                        <w:left w:val="none" w:sz="0" w:space="0" w:color="auto"/>
                        <w:bottom w:val="none" w:sz="0" w:space="0" w:color="auto"/>
                        <w:right w:val="none" w:sz="0" w:space="0" w:color="auto"/>
                      </w:divBdr>
                      <w:divsChild>
                        <w:div w:id="346836000">
                          <w:marLeft w:val="0"/>
                          <w:marRight w:val="0"/>
                          <w:marTop w:val="0"/>
                          <w:marBottom w:val="0"/>
                          <w:divBdr>
                            <w:top w:val="none" w:sz="0" w:space="0" w:color="auto"/>
                            <w:left w:val="none" w:sz="0" w:space="0" w:color="auto"/>
                            <w:bottom w:val="none" w:sz="0" w:space="0" w:color="auto"/>
                            <w:right w:val="none" w:sz="0" w:space="0" w:color="auto"/>
                          </w:divBdr>
                          <w:divsChild>
                            <w:div w:id="663165844">
                              <w:marLeft w:val="0"/>
                              <w:marRight w:val="0"/>
                              <w:marTop w:val="0"/>
                              <w:marBottom w:val="0"/>
                              <w:divBdr>
                                <w:top w:val="none" w:sz="0" w:space="0" w:color="auto"/>
                                <w:left w:val="none" w:sz="0" w:space="0" w:color="auto"/>
                                <w:bottom w:val="none" w:sz="0" w:space="0" w:color="auto"/>
                                <w:right w:val="none" w:sz="0" w:space="0" w:color="auto"/>
                              </w:divBdr>
                              <w:divsChild>
                                <w:div w:id="1694726560">
                                  <w:marLeft w:val="0"/>
                                  <w:marRight w:val="0"/>
                                  <w:marTop w:val="0"/>
                                  <w:marBottom w:val="0"/>
                                  <w:divBdr>
                                    <w:top w:val="none" w:sz="0" w:space="0" w:color="auto"/>
                                    <w:left w:val="none" w:sz="0" w:space="0" w:color="auto"/>
                                    <w:bottom w:val="none" w:sz="0" w:space="0" w:color="auto"/>
                                    <w:right w:val="none" w:sz="0" w:space="0" w:color="auto"/>
                                  </w:divBdr>
                                  <w:divsChild>
                                    <w:div w:id="663162393">
                                      <w:marLeft w:val="0"/>
                                      <w:marRight w:val="0"/>
                                      <w:marTop w:val="0"/>
                                      <w:marBottom w:val="0"/>
                                      <w:divBdr>
                                        <w:top w:val="none" w:sz="0" w:space="0" w:color="auto"/>
                                        <w:left w:val="none" w:sz="0" w:space="0" w:color="auto"/>
                                        <w:bottom w:val="none" w:sz="0" w:space="0" w:color="auto"/>
                                        <w:right w:val="none" w:sz="0" w:space="0" w:color="auto"/>
                                      </w:divBdr>
                                      <w:divsChild>
                                        <w:div w:id="1158304766">
                                          <w:marLeft w:val="0"/>
                                          <w:marRight w:val="0"/>
                                          <w:marTop w:val="0"/>
                                          <w:marBottom w:val="0"/>
                                          <w:divBdr>
                                            <w:top w:val="none" w:sz="0" w:space="0" w:color="auto"/>
                                            <w:left w:val="none" w:sz="0" w:space="0" w:color="auto"/>
                                            <w:bottom w:val="none" w:sz="0" w:space="0" w:color="auto"/>
                                            <w:right w:val="none" w:sz="0" w:space="0" w:color="auto"/>
                                          </w:divBdr>
                                          <w:divsChild>
                                            <w:div w:id="568417305">
                                              <w:marLeft w:val="0"/>
                                              <w:marRight w:val="0"/>
                                              <w:marTop w:val="0"/>
                                              <w:marBottom w:val="0"/>
                                              <w:divBdr>
                                                <w:top w:val="none" w:sz="0" w:space="0" w:color="auto"/>
                                                <w:left w:val="none" w:sz="0" w:space="0" w:color="auto"/>
                                                <w:bottom w:val="none" w:sz="0" w:space="0" w:color="auto"/>
                                                <w:right w:val="none" w:sz="0" w:space="0" w:color="auto"/>
                                              </w:divBdr>
                                            </w:div>
                                          </w:divsChild>
                                        </w:div>
                                        <w:div w:id="1190028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860053783">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36981109">
      <w:bodyDiv w:val="1"/>
      <w:marLeft w:val="0"/>
      <w:marRight w:val="0"/>
      <w:marTop w:val="0"/>
      <w:marBottom w:val="0"/>
      <w:divBdr>
        <w:top w:val="none" w:sz="0" w:space="0" w:color="auto"/>
        <w:left w:val="none" w:sz="0" w:space="0" w:color="auto"/>
        <w:bottom w:val="none" w:sz="0" w:space="0" w:color="auto"/>
        <w:right w:val="none" w:sz="0" w:space="0" w:color="auto"/>
      </w:divBdr>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47996241">
      <w:bodyDiv w:val="1"/>
      <w:marLeft w:val="0"/>
      <w:marRight w:val="0"/>
      <w:marTop w:val="0"/>
      <w:marBottom w:val="0"/>
      <w:divBdr>
        <w:top w:val="none" w:sz="0" w:space="0" w:color="auto"/>
        <w:left w:val="none" w:sz="0" w:space="0" w:color="auto"/>
        <w:bottom w:val="none" w:sz="0" w:space="0" w:color="auto"/>
        <w:right w:val="none" w:sz="0" w:space="0" w:color="auto"/>
      </w:divBdr>
    </w:div>
    <w:div w:id="1064840168">
      <w:bodyDiv w:val="1"/>
      <w:marLeft w:val="0"/>
      <w:marRight w:val="0"/>
      <w:marTop w:val="0"/>
      <w:marBottom w:val="0"/>
      <w:divBdr>
        <w:top w:val="none" w:sz="0" w:space="0" w:color="auto"/>
        <w:left w:val="none" w:sz="0" w:space="0" w:color="auto"/>
        <w:bottom w:val="none" w:sz="0" w:space="0" w:color="auto"/>
        <w:right w:val="none" w:sz="0" w:space="0" w:color="auto"/>
      </w:divBdr>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089037248">
      <w:bodyDiv w:val="1"/>
      <w:marLeft w:val="0"/>
      <w:marRight w:val="0"/>
      <w:marTop w:val="0"/>
      <w:marBottom w:val="0"/>
      <w:divBdr>
        <w:top w:val="none" w:sz="0" w:space="0" w:color="auto"/>
        <w:left w:val="none" w:sz="0" w:space="0" w:color="auto"/>
        <w:bottom w:val="none" w:sz="0" w:space="0" w:color="auto"/>
        <w:right w:val="none" w:sz="0" w:space="0" w:color="auto"/>
      </w:divBdr>
    </w:div>
    <w:div w:id="1194031397">
      <w:bodyDiv w:val="1"/>
      <w:marLeft w:val="0"/>
      <w:marRight w:val="0"/>
      <w:marTop w:val="0"/>
      <w:marBottom w:val="0"/>
      <w:divBdr>
        <w:top w:val="none" w:sz="0" w:space="0" w:color="auto"/>
        <w:left w:val="none" w:sz="0" w:space="0" w:color="auto"/>
        <w:bottom w:val="none" w:sz="0" w:space="0" w:color="auto"/>
        <w:right w:val="none" w:sz="0" w:space="0" w:color="auto"/>
      </w:divBdr>
      <w:divsChild>
        <w:div w:id="1684815945">
          <w:marLeft w:val="0"/>
          <w:marRight w:val="0"/>
          <w:marTop w:val="0"/>
          <w:marBottom w:val="0"/>
          <w:divBdr>
            <w:top w:val="none" w:sz="0" w:space="0" w:color="auto"/>
            <w:left w:val="none" w:sz="0" w:space="0" w:color="auto"/>
            <w:bottom w:val="none" w:sz="0" w:space="0" w:color="auto"/>
            <w:right w:val="none" w:sz="0" w:space="0" w:color="auto"/>
          </w:divBdr>
        </w:div>
      </w:divsChild>
    </w:div>
    <w:div w:id="1240018890">
      <w:bodyDiv w:val="1"/>
      <w:marLeft w:val="0"/>
      <w:marRight w:val="0"/>
      <w:marTop w:val="0"/>
      <w:marBottom w:val="0"/>
      <w:divBdr>
        <w:top w:val="none" w:sz="0" w:space="0" w:color="auto"/>
        <w:left w:val="none" w:sz="0" w:space="0" w:color="auto"/>
        <w:bottom w:val="none" w:sz="0" w:space="0" w:color="auto"/>
        <w:right w:val="none" w:sz="0" w:space="0" w:color="auto"/>
      </w:divBdr>
    </w:div>
    <w:div w:id="1256671072">
      <w:bodyDiv w:val="1"/>
      <w:marLeft w:val="0"/>
      <w:marRight w:val="0"/>
      <w:marTop w:val="0"/>
      <w:marBottom w:val="0"/>
      <w:divBdr>
        <w:top w:val="none" w:sz="0" w:space="0" w:color="auto"/>
        <w:left w:val="none" w:sz="0" w:space="0" w:color="auto"/>
        <w:bottom w:val="none" w:sz="0" w:space="0" w:color="auto"/>
        <w:right w:val="none" w:sz="0" w:space="0" w:color="auto"/>
      </w:divBdr>
      <w:divsChild>
        <w:div w:id="1422919483">
          <w:marLeft w:val="0"/>
          <w:marRight w:val="0"/>
          <w:marTop w:val="0"/>
          <w:marBottom w:val="0"/>
          <w:divBdr>
            <w:top w:val="none" w:sz="0" w:space="0" w:color="auto"/>
            <w:left w:val="none" w:sz="0" w:space="0" w:color="auto"/>
            <w:bottom w:val="none" w:sz="0" w:space="0" w:color="auto"/>
            <w:right w:val="none" w:sz="0" w:space="0" w:color="auto"/>
          </w:divBdr>
        </w:div>
        <w:div w:id="1843353541">
          <w:marLeft w:val="0"/>
          <w:marRight w:val="0"/>
          <w:marTop w:val="0"/>
          <w:marBottom w:val="0"/>
          <w:divBdr>
            <w:top w:val="none" w:sz="0" w:space="0" w:color="auto"/>
            <w:left w:val="none" w:sz="0" w:space="0" w:color="auto"/>
            <w:bottom w:val="none" w:sz="0" w:space="0" w:color="auto"/>
            <w:right w:val="none" w:sz="0" w:space="0" w:color="auto"/>
          </w:divBdr>
        </w:div>
        <w:div w:id="1922369658">
          <w:marLeft w:val="0"/>
          <w:marRight w:val="0"/>
          <w:marTop w:val="0"/>
          <w:marBottom w:val="0"/>
          <w:divBdr>
            <w:top w:val="none" w:sz="0" w:space="0" w:color="auto"/>
            <w:left w:val="none" w:sz="0" w:space="0" w:color="auto"/>
            <w:bottom w:val="none" w:sz="0" w:space="0" w:color="auto"/>
            <w:right w:val="none" w:sz="0" w:space="0" w:color="auto"/>
          </w:divBdr>
        </w:div>
      </w:divsChild>
    </w:div>
    <w:div w:id="1278373941">
      <w:bodyDiv w:val="1"/>
      <w:marLeft w:val="0"/>
      <w:marRight w:val="0"/>
      <w:marTop w:val="0"/>
      <w:marBottom w:val="0"/>
      <w:divBdr>
        <w:top w:val="none" w:sz="0" w:space="0" w:color="auto"/>
        <w:left w:val="none" w:sz="0" w:space="0" w:color="auto"/>
        <w:bottom w:val="none" w:sz="0" w:space="0" w:color="auto"/>
        <w:right w:val="none" w:sz="0" w:space="0" w:color="auto"/>
      </w:divBdr>
    </w:div>
    <w:div w:id="1299142267">
      <w:bodyDiv w:val="1"/>
      <w:marLeft w:val="0"/>
      <w:marRight w:val="0"/>
      <w:marTop w:val="0"/>
      <w:marBottom w:val="0"/>
      <w:divBdr>
        <w:top w:val="none" w:sz="0" w:space="0" w:color="auto"/>
        <w:left w:val="none" w:sz="0" w:space="0" w:color="auto"/>
        <w:bottom w:val="none" w:sz="0" w:space="0" w:color="auto"/>
        <w:right w:val="none" w:sz="0" w:space="0" w:color="auto"/>
      </w:divBdr>
      <w:divsChild>
        <w:div w:id="1880314577">
          <w:marLeft w:val="0"/>
          <w:marRight w:val="0"/>
          <w:marTop w:val="0"/>
          <w:marBottom w:val="0"/>
          <w:divBdr>
            <w:top w:val="none" w:sz="0" w:space="0" w:color="auto"/>
            <w:left w:val="none" w:sz="0" w:space="0" w:color="auto"/>
            <w:bottom w:val="none" w:sz="0" w:space="0" w:color="auto"/>
            <w:right w:val="none" w:sz="0" w:space="0" w:color="auto"/>
          </w:divBdr>
        </w:div>
      </w:divsChild>
    </w:div>
    <w:div w:id="130338635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760761">
      <w:bodyDiv w:val="1"/>
      <w:marLeft w:val="0"/>
      <w:marRight w:val="0"/>
      <w:marTop w:val="0"/>
      <w:marBottom w:val="0"/>
      <w:divBdr>
        <w:top w:val="none" w:sz="0" w:space="0" w:color="auto"/>
        <w:left w:val="none" w:sz="0" w:space="0" w:color="auto"/>
        <w:bottom w:val="none" w:sz="0" w:space="0" w:color="auto"/>
        <w:right w:val="none" w:sz="0" w:space="0" w:color="auto"/>
      </w:divBdr>
    </w:div>
    <w:div w:id="1336303300">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392658793">
      <w:bodyDiv w:val="1"/>
      <w:marLeft w:val="0"/>
      <w:marRight w:val="0"/>
      <w:marTop w:val="0"/>
      <w:marBottom w:val="0"/>
      <w:divBdr>
        <w:top w:val="none" w:sz="0" w:space="0" w:color="auto"/>
        <w:left w:val="none" w:sz="0" w:space="0" w:color="auto"/>
        <w:bottom w:val="none" w:sz="0" w:space="0" w:color="auto"/>
        <w:right w:val="none" w:sz="0" w:space="0" w:color="auto"/>
      </w:divBdr>
    </w:div>
    <w:div w:id="1403065478">
      <w:bodyDiv w:val="1"/>
      <w:marLeft w:val="0"/>
      <w:marRight w:val="0"/>
      <w:marTop w:val="0"/>
      <w:marBottom w:val="0"/>
      <w:divBdr>
        <w:top w:val="none" w:sz="0" w:space="0" w:color="auto"/>
        <w:left w:val="none" w:sz="0" w:space="0" w:color="auto"/>
        <w:bottom w:val="none" w:sz="0" w:space="0" w:color="auto"/>
        <w:right w:val="none" w:sz="0" w:space="0" w:color="auto"/>
      </w:divBdr>
      <w:divsChild>
        <w:div w:id="1361051988">
          <w:marLeft w:val="0"/>
          <w:marRight w:val="0"/>
          <w:marTop w:val="0"/>
          <w:marBottom w:val="0"/>
          <w:divBdr>
            <w:top w:val="none" w:sz="0" w:space="0" w:color="auto"/>
            <w:left w:val="none" w:sz="0" w:space="0" w:color="auto"/>
            <w:bottom w:val="none" w:sz="0" w:space="0" w:color="auto"/>
            <w:right w:val="none" w:sz="0" w:space="0" w:color="auto"/>
          </w:divBdr>
        </w:div>
        <w:div w:id="2062556995">
          <w:marLeft w:val="0"/>
          <w:marRight w:val="0"/>
          <w:marTop w:val="0"/>
          <w:marBottom w:val="0"/>
          <w:divBdr>
            <w:top w:val="none" w:sz="0" w:space="0" w:color="auto"/>
            <w:left w:val="none" w:sz="0" w:space="0" w:color="auto"/>
            <w:bottom w:val="none" w:sz="0" w:space="0" w:color="auto"/>
            <w:right w:val="none" w:sz="0" w:space="0" w:color="auto"/>
          </w:divBdr>
        </w:div>
      </w:divsChild>
    </w:div>
    <w:div w:id="1411079316">
      <w:bodyDiv w:val="1"/>
      <w:marLeft w:val="0"/>
      <w:marRight w:val="0"/>
      <w:marTop w:val="0"/>
      <w:marBottom w:val="0"/>
      <w:divBdr>
        <w:top w:val="none" w:sz="0" w:space="0" w:color="auto"/>
        <w:left w:val="none" w:sz="0" w:space="0" w:color="auto"/>
        <w:bottom w:val="none" w:sz="0" w:space="0" w:color="auto"/>
        <w:right w:val="none" w:sz="0" w:space="0" w:color="auto"/>
      </w:divBdr>
      <w:divsChild>
        <w:div w:id="1008366238">
          <w:marLeft w:val="0"/>
          <w:marRight w:val="0"/>
          <w:marTop w:val="0"/>
          <w:marBottom w:val="0"/>
          <w:divBdr>
            <w:top w:val="none" w:sz="0" w:space="0" w:color="auto"/>
            <w:left w:val="none" w:sz="0" w:space="0" w:color="auto"/>
            <w:bottom w:val="none" w:sz="0" w:space="0" w:color="auto"/>
            <w:right w:val="none" w:sz="0" w:space="0" w:color="auto"/>
          </w:divBdr>
        </w:div>
        <w:div w:id="1416167544">
          <w:marLeft w:val="0"/>
          <w:marRight w:val="0"/>
          <w:marTop w:val="0"/>
          <w:marBottom w:val="0"/>
          <w:divBdr>
            <w:top w:val="none" w:sz="0" w:space="0" w:color="auto"/>
            <w:left w:val="none" w:sz="0" w:space="0" w:color="auto"/>
            <w:bottom w:val="none" w:sz="0" w:space="0" w:color="auto"/>
            <w:right w:val="none" w:sz="0" w:space="0" w:color="auto"/>
          </w:divBdr>
        </w:div>
        <w:div w:id="1969387577">
          <w:marLeft w:val="0"/>
          <w:marRight w:val="0"/>
          <w:marTop w:val="0"/>
          <w:marBottom w:val="0"/>
          <w:divBdr>
            <w:top w:val="none" w:sz="0" w:space="0" w:color="auto"/>
            <w:left w:val="none" w:sz="0" w:space="0" w:color="auto"/>
            <w:bottom w:val="none" w:sz="0" w:space="0" w:color="auto"/>
            <w:right w:val="none" w:sz="0" w:space="0" w:color="auto"/>
          </w:divBdr>
        </w:div>
      </w:divsChild>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33433439">
      <w:bodyDiv w:val="1"/>
      <w:marLeft w:val="0"/>
      <w:marRight w:val="0"/>
      <w:marTop w:val="0"/>
      <w:marBottom w:val="0"/>
      <w:divBdr>
        <w:top w:val="none" w:sz="0" w:space="0" w:color="auto"/>
        <w:left w:val="none" w:sz="0" w:space="0" w:color="auto"/>
        <w:bottom w:val="none" w:sz="0" w:space="0" w:color="auto"/>
        <w:right w:val="none" w:sz="0" w:space="0" w:color="auto"/>
      </w:divBdr>
    </w:div>
    <w:div w:id="1446001814">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5723107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626539153">
      <w:bodyDiv w:val="1"/>
      <w:marLeft w:val="0"/>
      <w:marRight w:val="0"/>
      <w:marTop w:val="0"/>
      <w:marBottom w:val="0"/>
      <w:divBdr>
        <w:top w:val="none" w:sz="0" w:space="0" w:color="auto"/>
        <w:left w:val="none" w:sz="0" w:space="0" w:color="auto"/>
        <w:bottom w:val="none" w:sz="0" w:space="0" w:color="auto"/>
        <w:right w:val="none" w:sz="0" w:space="0" w:color="auto"/>
      </w:divBdr>
    </w:div>
    <w:div w:id="1627808103">
      <w:bodyDiv w:val="1"/>
      <w:marLeft w:val="0"/>
      <w:marRight w:val="0"/>
      <w:marTop w:val="0"/>
      <w:marBottom w:val="0"/>
      <w:divBdr>
        <w:top w:val="none" w:sz="0" w:space="0" w:color="auto"/>
        <w:left w:val="none" w:sz="0" w:space="0" w:color="auto"/>
        <w:bottom w:val="none" w:sz="0" w:space="0" w:color="auto"/>
        <w:right w:val="none" w:sz="0" w:space="0" w:color="auto"/>
      </w:divBdr>
    </w:div>
    <w:div w:id="1641378009">
      <w:bodyDiv w:val="1"/>
      <w:marLeft w:val="0"/>
      <w:marRight w:val="0"/>
      <w:marTop w:val="0"/>
      <w:marBottom w:val="0"/>
      <w:divBdr>
        <w:top w:val="none" w:sz="0" w:space="0" w:color="auto"/>
        <w:left w:val="none" w:sz="0" w:space="0" w:color="auto"/>
        <w:bottom w:val="none" w:sz="0" w:space="0" w:color="auto"/>
        <w:right w:val="none" w:sz="0" w:space="0" w:color="auto"/>
      </w:divBdr>
    </w:div>
    <w:div w:id="1721511210">
      <w:bodyDiv w:val="1"/>
      <w:marLeft w:val="0"/>
      <w:marRight w:val="0"/>
      <w:marTop w:val="0"/>
      <w:marBottom w:val="0"/>
      <w:divBdr>
        <w:top w:val="none" w:sz="0" w:space="0" w:color="auto"/>
        <w:left w:val="none" w:sz="0" w:space="0" w:color="auto"/>
        <w:bottom w:val="none" w:sz="0" w:space="0" w:color="auto"/>
        <w:right w:val="none" w:sz="0" w:space="0" w:color="auto"/>
      </w:divBdr>
    </w:div>
    <w:div w:id="174753324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767919193">
      <w:bodyDiv w:val="1"/>
      <w:marLeft w:val="0"/>
      <w:marRight w:val="0"/>
      <w:marTop w:val="0"/>
      <w:marBottom w:val="0"/>
      <w:divBdr>
        <w:top w:val="none" w:sz="0" w:space="0" w:color="auto"/>
        <w:left w:val="none" w:sz="0" w:space="0" w:color="auto"/>
        <w:bottom w:val="none" w:sz="0" w:space="0" w:color="auto"/>
        <w:right w:val="none" w:sz="0" w:space="0" w:color="auto"/>
      </w:divBdr>
    </w:div>
    <w:div w:id="1778597051">
      <w:bodyDiv w:val="1"/>
      <w:marLeft w:val="0"/>
      <w:marRight w:val="0"/>
      <w:marTop w:val="0"/>
      <w:marBottom w:val="0"/>
      <w:divBdr>
        <w:top w:val="none" w:sz="0" w:space="0" w:color="auto"/>
        <w:left w:val="none" w:sz="0" w:space="0" w:color="auto"/>
        <w:bottom w:val="none" w:sz="0" w:space="0" w:color="auto"/>
        <w:right w:val="none" w:sz="0" w:space="0" w:color="auto"/>
      </w:divBdr>
    </w:div>
    <w:div w:id="1820462945">
      <w:bodyDiv w:val="1"/>
      <w:marLeft w:val="0"/>
      <w:marRight w:val="0"/>
      <w:marTop w:val="0"/>
      <w:marBottom w:val="0"/>
      <w:divBdr>
        <w:top w:val="none" w:sz="0" w:space="0" w:color="auto"/>
        <w:left w:val="none" w:sz="0" w:space="0" w:color="auto"/>
        <w:bottom w:val="none" w:sz="0" w:space="0" w:color="auto"/>
        <w:right w:val="none" w:sz="0" w:space="0" w:color="auto"/>
      </w:divBdr>
    </w:div>
    <w:div w:id="1857765611">
      <w:bodyDiv w:val="1"/>
      <w:marLeft w:val="0"/>
      <w:marRight w:val="0"/>
      <w:marTop w:val="0"/>
      <w:marBottom w:val="0"/>
      <w:divBdr>
        <w:top w:val="none" w:sz="0" w:space="0" w:color="auto"/>
        <w:left w:val="none" w:sz="0" w:space="0" w:color="auto"/>
        <w:bottom w:val="none" w:sz="0" w:space="0" w:color="auto"/>
        <w:right w:val="none" w:sz="0" w:space="0" w:color="auto"/>
      </w:divBdr>
    </w:div>
    <w:div w:id="1911691739">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60643181">
      <w:bodyDiv w:val="1"/>
      <w:marLeft w:val="0"/>
      <w:marRight w:val="0"/>
      <w:marTop w:val="0"/>
      <w:marBottom w:val="0"/>
      <w:divBdr>
        <w:top w:val="none" w:sz="0" w:space="0" w:color="auto"/>
        <w:left w:val="none" w:sz="0" w:space="0" w:color="auto"/>
        <w:bottom w:val="none" w:sz="0" w:space="0" w:color="auto"/>
        <w:right w:val="none" w:sz="0" w:space="0" w:color="auto"/>
      </w:divBdr>
      <w:divsChild>
        <w:div w:id="1481312590">
          <w:marLeft w:val="0"/>
          <w:marRight w:val="0"/>
          <w:marTop w:val="0"/>
          <w:marBottom w:val="0"/>
          <w:divBdr>
            <w:top w:val="none" w:sz="0" w:space="0" w:color="auto"/>
            <w:left w:val="none" w:sz="0" w:space="0" w:color="auto"/>
            <w:bottom w:val="none" w:sz="0" w:space="0" w:color="auto"/>
            <w:right w:val="none" w:sz="0" w:space="0" w:color="auto"/>
          </w:divBdr>
        </w:div>
        <w:div w:id="1637447290">
          <w:marLeft w:val="0"/>
          <w:marRight w:val="0"/>
          <w:marTop w:val="0"/>
          <w:marBottom w:val="0"/>
          <w:divBdr>
            <w:top w:val="none" w:sz="0" w:space="0" w:color="auto"/>
            <w:left w:val="none" w:sz="0" w:space="0" w:color="auto"/>
            <w:bottom w:val="none" w:sz="0" w:space="0" w:color="auto"/>
            <w:right w:val="none" w:sz="0" w:space="0" w:color="auto"/>
          </w:divBdr>
        </w:div>
      </w:divsChild>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47440142">
      <w:bodyDiv w:val="1"/>
      <w:marLeft w:val="0"/>
      <w:marRight w:val="0"/>
      <w:marTop w:val="0"/>
      <w:marBottom w:val="0"/>
      <w:divBdr>
        <w:top w:val="none" w:sz="0" w:space="0" w:color="auto"/>
        <w:left w:val="none" w:sz="0" w:space="0" w:color="auto"/>
        <w:bottom w:val="none" w:sz="0" w:space="0" w:color="auto"/>
        <w:right w:val="none" w:sz="0" w:space="0" w:color="auto"/>
      </w:divBdr>
      <w:divsChild>
        <w:div w:id="2137527981">
          <w:marLeft w:val="0"/>
          <w:marRight w:val="0"/>
          <w:marTop w:val="0"/>
          <w:marBottom w:val="0"/>
          <w:divBdr>
            <w:top w:val="none" w:sz="0" w:space="0" w:color="auto"/>
            <w:left w:val="none" w:sz="0" w:space="0" w:color="auto"/>
            <w:bottom w:val="none" w:sz="0" w:space="0" w:color="auto"/>
            <w:right w:val="none" w:sz="0" w:space="0" w:color="auto"/>
          </w:divBdr>
          <w:divsChild>
            <w:div w:id="1738747240">
              <w:marLeft w:val="0"/>
              <w:marRight w:val="0"/>
              <w:marTop w:val="0"/>
              <w:marBottom w:val="0"/>
              <w:divBdr>
                <w:top w:val="none" w:sz="0" w:space="0" w:color="auto"/>
                <w:left w:val="none" w:sz="0" w:space="0" w:color="auto"/>
                <w:bottom w:val="none" w:sz="0" w:space="0" w:color="auto"/>
                <w:right w:val="none" w:sz="0" w:space="0" w:color="auto"/>
              </w:divBdr>
              <w:divsChild>
                <w:div w:id="1132675546">
                  <w:marLeft w:val="0"/>
                  <w:marRight w:val="0"/>
                  <w:marTop w:val="0"/>
                  <w:marBottom w:val="0"/>
                  <w:divBdr>
                    <w:top w:val="none" w:sz="0" w:space="0" w:color="auto"/>
                    <w:left w:val="none" w:sz="0" w:space="0" w:color="auto"/>
                    <w:bottom w:val="none" w:sz="0" w:space="0" w:color="auto"/>
                    <w:right w:val="none" w:sz="0" w:space="0" w:color="auto"/>
                  </w:divBdr>
                  <w:divsChild>
                    <w:div w:id="2111966024">
                      <w:marLeft w:val="0"/>
                      <w:marRight w:val="0"/>
                      <w:marTop w:val="0"/>
                      <w:marBottom w:val="0"/>
                      <w:divBdr>
                        <w:top w:val="none" w:sz="0" w:space="0" w:color="auto"/>
                        <w:left w:val="none" w:sz="0" w:space="0" w:color="auto"/>
                        <w:bottom w:val="none" w:sz="0" w:space="0" w:color="auto"/>
                        <w:right w:val="none" w:sz="0" w:space="0" w:color="auto"/>
                      </w:divBdr>
                      <w:divsChild>
                        <w:div w:id="2031951520">
                          <w:marLeft w:val="0"/>
                          <w:marRight w:val="0"/>
                          <w:marTop w:val="0"/>
                          <w:marBottom w:val="0"/>
                          <w:divBdr>
                            <w:top w:val="none" w:sz="0" w:space="0" w:color="auto"/>
                            <w:left w:val="none" w:sz="0" w:space="0" w:color="auto"/>
                            <w:bottom w:val="none" w:sz="0" w:space="0" w:color="auto"/>
                            <w:right w:val="none" w:sz="0" w:space="0" w:color="auto"/>
                          </w:divBdr>
                          <w:divsChild>
                            <w:div w:id="1320883234">
                              <w:marLeft w:val="0"/>
                              <w:marRight w:val="0"/>
                              <w:marTop w:val="0"/>
                              <w:marBottom w:val="0"/>
                              <w:divBdr>
                                <w:top w:val="none" w:sz="0" w:space="0" w:color="auto"/>
                                <w:left w:val="none" w:sz="0" w:space="0" w:color="auto"/>
                                <w:bottom w:val="none" w:sz="0" w:space="0" w:color="auto"/>
                                <w:right w:val="none" w:sz="0" w:space="0" w:color="auto"/>
                              </w:divBdr>
                              <w:divsChild>
                                <w:div w:id="545222729">
                                  <w:marLeft w:val="0"/>
                                  <w:marRight w:val="0"/>
                                  <w:marTop w:val="0"/>
                                  <w:marBottom w:val="0"/>
                                  <w:divBdr>
                                    <w:top w:val="none" w:sz="0" w:space="0" w:color="auto"/>
                                    <w:left w:val="none" w:sz="0" w:space="0" w:color="auto"/>
                                    <w:bottom w:val="none" w:sz="0" w:space="0" w:color="auto"/>
                                    <w:right w:val="none" w:sz="0" w:space="0" w:color="auto"/>
                                  </w:divBdr>
                                  <w:divsChild>
                                    <w:div w:id="1624457985">
                                      <w:marLeft w:val="0"/>
                                      <w:marRight w:val="0"/>
                                      <w:marTop w:val="0"/>
                                      <w:marBottom w:val="0"/>
                                      <w:divBdr>
                                        <w:top w:val="none" w:sz="0" w:space="0" w:color="auto"/>
                                        <w:left w:val="none" w:sz="0" w:space="0" w:color="auto"/>
                                        <w:bottom w:val="none" w:sz="0" w:space="0" w:color="auto"/>
                                        <w:right w:val="none" w:sz="0" w:space="0" w:color="auto"/>
                                      </w:divBdr>
                                      <w:divsChild>
                                        <w:div w:id="155211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9887657">
          <w:marLeft w:val="0"/>
          <w:marRight w:val="0"/>
          <w:marTop w:val="0"/>
          <w:marBottom w:val="0"/>
          <w:divBdr>
            <w:top w:val="none" w:sz="0" w:space="0" w:color="auto"/>
            <w:left w:val="none" w:sz="0" w:space="0" w:color="auto"/>
            <w:bottom w:val="none" w:sz="0" w:space="0" w:color="auto"/>
            <w:right w:val="none" w:sz="0" w:space="0" w:color="auto"/>
          </w:divBdr>
          <w:divsChild>
            <w:div w:id="1201092536">
              <w:marLeft w:val="0"/>
              <w:marRight w:val="0"/>
              <w:marTop w:val="0"/>
              <w:marBottom w:val="0"/>
              <w:divBdr>
                <w:top w:val="none" w:sz="0" w:space="0" w:color="auto"/>
                <w:left w:val="none" w:sz="0" w:space="0" w:color="auto"/>
                <w:bottom w:val="none" w:sz="0" w:space="0" w:color="auto"/>
                <w:right w:val="none" w:sz="0" w:space="0" w:color="auto"/>
              </w:divBdr>
              <w:divsChild>
                <w:div w:id="83695936">
                  <w:marLeft w:val="0"/>
                  <w:marRight w:val="0"/>
                  <w:marTop w:val="0"/>
                  <w:marBottom w:val="0"/>
                  <w:divBdr>
                    <w:top w:val="none" w:sz="0" w:space="0" w:color="auto"/>
                    <w:left w:val="none" w:sz="0" w:space="0" w:color="auto"/>
                    <w:bottom w:val="none" w:sz="0" w:space="0" w:color="auto"/>
                    <w:right w:val="none" w:sz="0" w:space="0" w:color="auto"/>
                  </w:divBdr>
                  <w:divsChild>
                    <w:div w:id="637413706">
                      <w:marLeft w:val="0"/>
                      <w:marRight w:val="0"/>
                      <w:marTop w:val="0"/>
                      <w:marBottom w:val="0"/>
                      <w:divBdr>
                        <w:top w:val="none" w:sz="0" w:space="0" w:color="auto"/>
                        <w:left w:val="none" w:sz="0" w:space="0" w:color="auto"/>
                        <w:bottom w:val="none" w:sz="0" w:space="0" w:color="auto"/>
                        <w:right w:val="none" w:sz="0" w:space="0" w:color="auto"/>
                      </w:divBdr>
                      <w:divsChild>
                        <w:div w:id="1583031883">
                          <w:marLeft w:val="0"/>
                          <w:marRight w:val="0"/>
                          <w:marTop w:val="0"/>
                          <w:marBottom w:val="0"/>
                          <w:divBdr>
                            <w:top w:val="none" w:sz="0" w:space="0" w:color="auto"/>
                            <w:left w:val="none" w:sz="0" w:space="0" w:color="auto"/>
                            <w:bottom w:val="none" w:sz="0" w:space="0" w:color="auto"/>
                            <w:right w:val="none" w:sz="0" w:space="0" w:color="auto"/>
                          </w:divBdr>
                          <w:divsChild>
                            <w:div w:id="688217314">
                              <w:marLeft w:val="0"/>
                              <w:marRight w:val="0"/>
                              <w:marTop w:val="0"/>
                              <w:marBottom w:val="0"/>
                              <w:divBdr>
                                <w:top w:val="none" w:sz="0" w:space="0" w:color="auto"/>
                                <w:left w:val="none" w:sz="0" w:space="0" w:color="auto"/>
                                <w:bottom w:val="none" w:sz="0" w:space="0" w:color="auto"/>
                                <w:right w:val="none" w:sz="0" w:space="0" w:color="auto"/>
                              </w:divBdr>
                              <w:divsChild>
                                <w:div w:id="294526115">
                                  <w:marLeft w:val="0"/>
                                  <w:marRight w:val="0"/>
                                  <w:marTop w:val="0"/>
                                  <w:marBottom w:val="0"/>
                                  <w:divBdr>
                                    <w:top w:val="none" w:sz="0" w:space="0" w:color="auto"/>
                                    <w:left w:val="none" w:sz="0" w:space="0" w:color="auto"/>
                                    <w:bottom w:val="none" w:sz="0" w:space="0" w:color="auto"/>
                                    <w:right w:val="none" w:sz="0" w:space="0" w:color="auto"/>
                                  </w:divBdr>
                                  <w:divsChild>
                                    <w:div w:id="1126894747">
                                      <w:marLeft w:val="0"/>
                                      <w:marRight w:val="0"/>
                                      <w:marTop w:val="0"/>
                                      <w:marBottom w:val="0"/>
                                      <w:divBdr>
                                        <w:top w:val="none" w:sz="0" w:space="0" w:color="auto"/>
                                        <w:left w:val="none" w:sz="0" w:space="0" w:color="auto"/>
                                        <w:bottom w:val="none" w:sz="0" w:space="0" w:color="auto"/>
                                        <w:right w:val="none" w:sz="0" w:space="0" w:color="auto"/>
                                      </w:divBdr>
                                      <w:divsChild>
                                        <w:div w:id="720205584">
                                          <w:marLeft w:val="0"/>
                                          <w:marRight w:val="0"/>
                                          <w:marTop w:val="0"/>
                                          <w:marBottom w:val="0"/>
                                          <w:divBdr>
                                            <w:top w:val="none" w:sz="0" w:space="0" w:color="auto"/>
                                            <w:left w:val="none" w:sz="0" w:space="0" w:color="auto"/>
                                            <w:bottom w:val="none" w:sz="0" w:space="0" w:color="auto"/>
                                            <w:right w:val="none" w:sz="0" w:space="0" w:color="auto"/>
                                          </w:divBdr>
                                          <w:divsChild>
                                            <w:div w:id="1980766241">
                                              <w:marLeft w:val="0"/>
                                              <w:marRight w:val="0"/>
                                              <w:marTop w:val="0"/>
                                              <w:marBottom w:val="0"/>
                                              <w:divBdr>
                                                <w:top w:val="none" w:sz="0" w:space="0" w:color="auto"/>
                                                <w:left w:val="none" w:sz="0" w:space="0" w:color="auto"/>
                                                <w:bottom w:val="none" w:sz="0" w:space="0" w:color="auto"/>
                                                <w:right w:val="none" w:sz="0" w:space="0" w:color="auto"/>
                                              </w:divBdr>
                                            </w:div>
                                          </w:divsChild>
                                        </w:div>
                                        <w:div w:id="15871055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 w:id="2106994035">
      <w:bodyDiv w:val="1"/>
      <w:marLeft w:val="0"/>
      <w:marRight w:val="0"/>
      <w:marTop w:val="0"/>
      <w:marBottom w:val="0"/>
      <w:divBdr>
        <w:top w:val="none" w:sz="0" w:space="0" w:color="auto"/>
        <w:left w:val="none" w:sz="0" w:space="0" w:color="auto"/>
        <w:bottom w:val="none" w:sz="0" w:space="0" w:color="auto"/>
        <w:right w:val="none" w:sz="0" w:space="0" w:color="auto"/>
      </w:divBdr>
    </w:div>
    <w:div w:id="2132555389">
      <w:bodyDiv w:val="1"/>
      <w:marLeft w:val="0"/>
      <w:marRight w:val="0"/>
      <w:marTop w:val="0"/>
      <w:marBottom w:val="0"/>
      <w:divBdr>
        <w:top w:val="none" w:sz="0" w:space="0" w:color="auto"/>
        <w:left w:val="none" w:sz="0" w:space="0" w:color="auto"/>
        <w:bottom w:val="none" w:sz="0" w:space="0" w:color="auto"/>
        <w:right w:val="none" w:sz="0" w:space="0" w:color="auto"/>
      </w:divBdr>
    </w:div>
    <w:div w:id="213779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54202</Words>
  <Characters>30896</Characters>
  <Application>Microsoft Office Word</Application>
  <DocSecurity>0</DocSecurity>
  <Lines>257</Lines>
  <Paragraphs>169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Kungienė</dc:creator>
  <cp:keywords/>
  <dc:description/>
  <cp:lastModifiedBy>Nerija Surblytė-Rimkienė</cp:lastModifiedBy>
  <cp:revision>2</cp:revision>
  <cp:lastPrinted>2023-10-18T10:20:00Z</cp:lastPrinted>
  <dcterms:created xsi:type="dcterms:W3CDTF">2025-06-25T11:05:00Z</dcterms:created>
  <dcterms:modified xsi:type="dcterms:W3CDTF">2025-06-25T11:05:00Z</dcterms:modified>
</cp:coreProperties>
</file>